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6" w:rsidRPr="00225AAA" w:rsidRDefault="00463C5A" w:rsidP="00241B16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="00241B16">
        <w:rPr>
          <w:rFonts w:ascii="Times New Roman" w:eastAsiaTheme="minorEastAsia" w:hAnsi="Times New Roman" w:cs="Times New Roman"/>
          <w:b/>
          <w:bCs/>
          <w:sz w:val="24"/>
          <w:szCs w:val="24"/>
        </w:rPr>
        <w:t>endim nr. 26 dat</w:t>
      </w:r>
      <w:r w:rsidR="00241B16" w:rsidRPr="00225AAA">
        <w:rPr>
          <w:rFonts w:ascii="Times New Roman" w:eastAsia="Times New Roman" w:hAnsi="Times New Roman" w:cs="Times New Roman"/>
          <w:b/>
          <w:bCs/>
          <w:sz w:val="24"/>
          <w:szCs w:val="24"/>
        </w:rPr>
        <w:t>ë 29.02.2016</w:t>
      </w:r>
    </w:p>
    <w:p w:rsidR="00463C5A" w:rsidRPr="00225AAA" w:rsidRDefault="00463C5A" w:rsidP="008267D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63C5A" w:rsidRPr="00225AAA" w:rsidRDefault="00463C5A" w:rsidP="008267DB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5AAA">
        <w:rPr>
          <w:rFonts w:ascii="Times New Roman" w:eastAsiaTheme="minorEastAsia" w:hAnsi="Times New Roman" w:cs="Times New Roman"/>
          <w:sz w:val="24"/>
          <w:szCs w:val="24"/>
        </w:rPr>
        <w:tab/>
        <w:t>Kolegji i Gjykatës Kushtetuese të Republikës së Shqipërisë (Kolegji), i përbërë nga:</w:t>
      </w:r>
    </w:p>
    <w:p w:rsidR="00463C5A" w:rsidRPr="00225AAA" w:rsidRDefault="00463C5A" w:rsidP="008267DB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>Sokol Berberi,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>Anëtar    i    Gjykatës  Kushtetuese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>Altina Xhoxhaj,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Anëtare  e 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“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“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267DB" w:rsidRPr="00225AAA" w:rsidRDefault="008267DB" w:rsidP="008267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>Gani Dizdari,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Anëtar    i 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“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“</w:t>
      </w:r>
      <w:r w:rsidRPr="00225AA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63C5A" w:rsidRPr="00225AAA" w:rsidRDefault="00463C5A" w:rsidP="008267D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5AAA">
        <w:rPr>
          <w:rFonts w:ascii="Times New Roman" w:eastAsiaTheme="minorEastAsia" w:hAnsi="Times New Roman" w:cs="Times New Roman"/>
          <w:sz w:val="24"/>
          <w:szCs w:val="24"/>
        </w:rPr>
        <w:t xml:space="preserve">në datën </w:t>
      </w:r>
      <w:r w:rsidR="008267DB" w:rsidRPr="00225AAA">
        <w:rPr>
          <w:rFonts w:ascii="Times New Roman" w:eastAsiaTheme="minorEastAsia" w:hAnsi="Times New Roman" w:cs="Times New Roman"/>
          <w:sz w:val="24"/>
          <w:szCs w:val="24"/>
        </w:rPr>
        <w:t>29</w:t>
      </w:r>
      <w:r w:rsidRPr="00225AA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267DB" w:rsidRPr="00225AAA">
        <w:rPr>
          <w:rFonts w:ascii="Times New Roman" w:eastAsiaTheme="minorEastAsia" w:hAnsi="Times New Roman" w:cs="Times New Roman"/>
          <w:sz w:val="24"/>
          <w:szCs w:val="24"/>
        </w:rPr>
        <w:t>02</w:t>
      </w:r>
      <w:r w:rsidRPr="00225AAA">
        <w:rPr>
          <w:rFonts w:ascii="Times New Roman" w:eastAsiaTheme="minorEastAsia" w:hAnsi="Times New Roman" w:cs="Times New Roman"/>
          <w:sz w:val="24"/>
          <w:szCs w:val="24"/>
        </w:rPr>
        <w:t>.201</w:t>
      </w:r>
      <w:r w:rsidR="008267DB" w:rsidRPr="00225AAA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225AAA">
        <w:rPr>
          <w:rFonts w:ascii="Times New Roman" w:eastAsiaTheme="minorEastAsia" w:hAnsi="Times New Roman" w:cs="Times New Roman"/>
          <w:sz w:val="24"/>
          <w:szCs w:val="24"/>
        </w:rPr>
        <w:t xml:space="preserve"> mori në shqyrtim paraprak kërkesën me nr.</w:t>
      </w:r>
      <w:r w:rsidR="00AB3D20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8267DB" w:rsidRPr="00225A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5AAA">
        <w:rPr>
          <w:rFonts w:ascii="Times New Roman" w:eastAsiaTheme="minorEastAsia" w:hAnsi="Times New Roman" w:cs="Times New Roman"/>
          <w:sz w:val="24"/>
          <w:szCs w:val="24"/>
        </w:rPr>
        <w:t xml:space="preserve"> Akti, që i përket:</w:t>
      </w:r>
    </w:p>
    <w:p w:rsidR="00463C5A" w:rsidRPr="00225AAA" w:rsidRDefault="00463C5A" w:rsidP="008267DB">
      <w:pPr>
        <w:spacing w:after="0" w:line="360" w:lineRule="auto"/>
        <w:ind w:left="2160" w:hanging="14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3C5A" w:rsidRPr="00225AAA" w:rsidRDefault="008267DB" w:rsidP="008267DB">
      <w:pPr>
        <w:spacing w:after="0" w:line="360" w:lineRule="auto"/>
        <w:ind w:left="2160" w:hanging="14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25AAA">
        <w:rPr>
          <w:rFonts w:ascii="Times New Roman" w:eastAsia="MS Mincho" w:hAnsi="Times New Roman" w:cs="Times New Roman"/>
          <w:b/>
          <w:sz w:val="24"/>
          <w:szCs w:val="24"/>
        </w:rPr>
        <w:t>KËRKUES:</w:t>
      </w:r>
      <w:r w:rsidRPr="00225AAA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225AAA">
        <w:rPr>
          <w:rFonts w:ascii="Times New Roman" w:eastAsia="MS Mincho" w:hAnsi="Times New Roman" w:cs="Times New Roman"/>
          <w:b/>
          <w:sz w:val="24"/>
          <w:szCs w:val="24"/>
        </w:rPr>
        <w:tab/>
        <w:t>KONSTANDIN DHIMITRI ETJ</w:t>
      </w:r>
      <w:r w:rsidR="00225AAA" w:rsidRPr="00225AAA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63C5A" w:rsidRPr="00225AAA" w:rsidRDefault="00463C5A" w:rsidP="008267DB">
      <w:pPr>
        <w:spacing w:after="0" w:line="360" w:lineRule="auto"/>
        <w:ind w:left="2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ind w:left="2160" w:hanging="14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25AAA">
        <w:rPr>
          <w:rFonts w:ascii="Times New Roman" w:eastAsia="MS Mincho" w:hAnsi="Times New Roman" w:cs="Times New Roman"/>
          <w:b/>
          <w:sz w:val="24"/>
          <w:szCs w:val="24"/>
        </w:rPr>
        <w:t>SUBJEKT I INTERESUAR:</w:t>
      </w:r>
    </w:p>
    <w:p w:rsidR="00463C5A" w:rsidRPr="00225AAA" w:rsidRDefault="00463C5A" w:rsidP="008267DB">
      <w:pPr>
        <w:spacing w:after="0" w:line="360" w:lineRule="auto"/>
        <w:ind w:left="28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25AAA">
        <w:rPr>
          <w:rFonts w:ascii="Times New Roman" w:eastAsia="MS Mincho" w:hAnsi="Times New Roman" w:cs="Times New Roman"/>
          <w:b/>
          <w:sz w:val="24"/>
          <w:szCs w:val="24"/>
        </w:rPr>
        <w:t xml:space="preserve">RUDOLF ZAHARIA </w:t>
      </w:r>
    </w:p>
    <w:p w:rsidR="00463C5A" w:rsidRPr="00225AAA" w:rsidRDefault="00463C5A" w:rsidP="008267DB">
      <w:pPr>
        <w:spacing w:after="0" w:line="360" w:lineRule="auto"/>
        <w:ind w:left="28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ind w:left="2970" w:hanging="225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25AAA">
        <w:rPr>
          <w:rFonts w:ascii="Times New Roman" w:eastAsia="MS Mincho" w:hAnsi="Times New Roman" w:cs="Times New Roman"/>
          <w:b/>
          <w:sz w:val="24"/>
          <w:szCs w:val="24"/>
        </w:rPr>
        <w:t xml:space="preserve">OBJEKTI: </w:t>
      </w:r>
      <w:r w:rsidRPr="00225AAA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267DB" w:rsidRPr="00225AAA">
        <w:rPr>
          <w:rFonts w:ascii="Times New Roman" w:eastAsia="MS Mincho" w:hAnsi="Times New Roman" w:cs="Times New Roman"/>
          <w:b/>
          <w:bCs/>
          <w:sz w:val="24"/>
          <w:szCs w:val="24"/>
        </w:rPr>
        <w:t>Shfuqizimi si të papajtueshme me Kushtetutën i vendimeve nr. 00-2015-31, datë 19.01.2015 të Gjykatës së Lartë; nr. 38, datë 27.01.2012 të Gjykatës së Apelit Gjirokastër.</w:t>
      </w:r>
    </w:p>
    <w:p w:rsidR="00225AAA" w:rsidRPr="00225AAA" w:rsidRDefault="00225AAA" w:rsidP="008267DB">
      <w:pPr>
        <w:spacing w:after="0" w:line="360" w:lineRule="auto"/>
        <w:ind w:left="2970" w:hanging="225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ind w:left="2970" w:hanging="22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AAA">
        <w:rPr>
          <w:rFonts w:ascii="Times New Roman" w:eastAsia="MS Mincho" w:hAnsi="Times New Roman" w:cs="Times New Roman"/>
          <w:b/>
          <w:sz w:val="24"/>
          <w:szCs w:val="24"/>
        </w:rPr>
        <w:t xml:space="preserve">BAZA LIGJORE: </w:t>
      </w:r>
      <w:r w:rsidRPr="00225AAA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225AAA">
        <w:rPr>
          <w:rFonts w:ascii="Times New Roman" w:eastAsia="MS Mincho" w:hAnsi="Times New Roman" w:cs="Times New Roman"/>
          <w:sz w:val="24"/>
          <w:szCs w:val="24"/>
        </w:rPr>
        <w:t>Nenet 42, 131/f dhe 134/1/g të Kushtetutës së Republikës së Shqipërisë</w:t>
      </w:r>
      <w:r w:rsidR="00225AAA">
        <w:rPr>
          <w:rFonts w:ascii="Times New Roman" w:eastAsia="MS Mincho" w:hAnsi="Times New Roman" w:cs="Times New Roman"/>
          <w:sz w:val="24"/>
          <w:szCs w:val="24"/>
        </w:rPr>
        <w:t>;</w:t>
      </w:r>
      <w:r w:rsidR="00225AAA" w:rsidRPr="00225A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AAA">
        <w:rPr>
          <w:rFonts w:ascii="Times New Roman" w:eastAsia="MS Mincho" w:hAnsi="Times New Roman" w:cs="Times New Roman"/>
          <w:sz w:val="24"/>
          <w:szCs w:val="24"/>
        </w:rPr>
        <w:t>neni 6 i Konventës Evropiane për të Drejtat e Njeriut</w:t>
      </w:r>
      <w:r w:rsidRPr="00225AAA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63C5A" w:rsidRPr="00225AAA" w:rsidRDefault="00463C5A" w:rsidP="008267DB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463C5A" w:rsidRDefault="00463C5A" w:rsidP="008267DB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225AAA">
        <w:rPr>
          <w:rFonts w:ascii="Times New Roman" w:eastAsiaTheme="minorEastAsia" w:hAnsi="Times New Roman" w:cs="Times New Roman"/>
          <w:sz w:val="24"/>
          <w:szCs w:val="24"/>
          <w:lang w:eastAsia="fr-FR"/>
        </w:rPr>
        <w:t>Kolegji i Gjykatës Kushtetuese, pasi shqyrtoi kërkesën, dokumentet shoqëruese dhe diskutoi çështjen në tërësi,</w:t>
      </w:r>
    </w:p>
    <w:p w:rsidR="00636B0F" w:rsidRPr="00225AAA" w:rsidRDefault="00636B0F" w:rsidP="008267DB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463C5A" w:rsidRDefault="00463C5A" w:rsidP="0082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/>
          <w:bCs/>
          <w:sz w:val="24"/>
          <w:szCs w:val="24"/>
        </w:rPr>
        <w:t>V Ë R E N:</w:t>
      </w:r>
    </w:p>
    <w:p w:rsidR="00463C5A" w:rsidRPr="00225AAA" w:rsidRDefault="00463C5A" w:rsidP="00826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I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1. Subjekti i interesuar, Rudolf Zaharia, është njëri prej trashëgimtarëve të ish-pronarit Agathokli Xhitomi. Ky i fundit, me vendimin nr. 345/1, datë 07.02.1997 të Komisionit të Kthimit dhe Kompensimit të Pronave pranë Bashkisë Përmet, është njohur pronar, midis të tjerash</w:t>
      </w:r>
      <w:r w:rsidR="006606AC">
        <w:rPr>
          <w:rFonts w:ascii="Times New Roman" w:hAnsi="Times New Roman" w:cs="Times New Roman"/>
          <w:sz w:val="24"/>
          <w:szCs w:val="24"/>
        </w:rPr>
        <w:t>,</w:t>
      </w:r>
      <w:r w:rsidRPr="00225AAA">
        <w:rPr>
          <w:rFonts w:ascii="Times New Roman" w:hAnsi="Times New Roman" w:cs="Times New Roman"/>
          <w:sz w:val="24"/>
          <w:szCs w:val="24"/>
        </w:rPr>
        <w:t xml:space="preserve"> edhe mbi një truall mbi të cilin ngrihen godina e lavanderisë dhe konvikti i shkollave të mesme Përmet. 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2. Me vendimin nr. 360, datë 01.12.1998, Gjykata e Rrethit Gjyqësor Përmet ka vendosur, ndërmjet të tjerave, ndryshimin e vendimit nr. 345/1, datë 07.02.1997 duke i njohur ish-pronarit të drejtën e parablerjes në rast privatizimi të anekseve të objektit “Konvikti i shkollave të mesme Përmet”. 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3. Këshilli Bashkiak Përmet, me vendimet nr. 27, datë 25.09.2003 dhe nr. 04, datë 08.02.2005, ka vendosur </w:t>
      </w:r>
      <w:r w:rsidR="00DE0673" w:rsidRPr="005E25E1">
        <w:rPr>
          <w:rFonts w:ascii="Times New Roman" w:hAnsi="Times New Roman" w:cs="Times New Roman"/>
          <w:sz w:val="24"/>
          <w:szCs w:val="24"/>
        </w:rPr>
        <w:t>që pjesë të këtyre godinave</w:t>
      </w:r>
      <w:r w:rsidRPr="00225AAA">
        <w:rPr>
          <w:rFonts w:ascii="Times New Roman" w:hAnsi="Times New Roman" w:cs="Times New Roman"/>
          <w:sz w:val="24"/>
          <w:szCs w:val="24"/>
        </w:rPr>
        <w:t xml:space="preserve"> të kalojnë në varësi të Entit Kombëtar të Banesave (EKB-ja) si fond strehimi për t’u privatizuar nga personat e tretë që banojnë në to prej shumë vitesh. Në vijim, EKB-ja ka realizuar shitjen </w:t>
      </w:r>
      <w:r w:rsidR="00DE0673" w:rsidRPr="005E25E1">
        <w:rPr>
          <w:rFonts w:ascii="Times New Roman" w:hAnsi="Times New Roman" w:cs="Times New Roman"/>
          <w:sz w:val="24"/>
          <w:szCs w:val="24"/>
        </w:rPr>
        <w:t xml:space="preserve">e </w:t>
      </w:r>
      <w:r w:rsidR="00D33E3B" w:rsidRPr="005E25E1">
        <w:rPr>
          <w:rFonts w:ascii="Times New Roman" w:hAnsi="Times New Roman" w:cs="Times New Roman"/>
          <w:sz w:val="24"/>
          <w:szCs w:val="24"/>
        </w:rPr>
        <w:t>një pjese të këtyre godinave</w:t>
      </w:r>
      <w:r w:rsidRPr="00225AAA">
        <w:rPr>
          <w:rFonts w:ascii="Times New Roman" w:hAnsi="Times New Roman" w:cs="Times New Roman"/>
          <w:sz w:val="24"/>
          <w:szCs w:val="24"/>
        </w:rPr>
        <w:t xml:space="preserve"> personave të tretë, ndër të cilët edhe shtetasi Kostandin  Dhimitri, sipas përcaktimeve në kontratat përkatëse. 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4. Kërkuesit, Kostandin Dhimitri dhe Marjeta Dhimitri, me kontratën e shitjes nr. 2145 rep. e 28-1 kol., datë 29.06.2005, i kanë shitur shtetasit Llazo Kokthit (babai i Arben Kokthit, njëri nga kërkuesit) objektin “Dushet e konviktit”. Në këto kushte, subjekti i interesuar, Rudolf Zaharia, i është drejtuar Gjykatës së Rrethit Gjyqësor Gjirokastër, ku ka kërkuar pavlefshmërinë e këtyre kontratave.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5. Gjykata e Rrethit Gjyqësor Gjirokastër, me vendimin nr. 308, datë 18.04.2006, ka vendosur, ndër të tjera, pavlefshmërinë absolute të kontratës së shitjes të lidhur midis EKB-së dhe personit të tretë Konstandin Dhimitri, si dhe fshirjen nga regjistri hipotekor të pasurisë së specifikuar në vendim.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6. Gjykata e Apelit Gjirokastër, me vendimin nr. 395, datë 15.11.2006, ka vendosur lënien në fuqi të vendimit supra të  Gjykatës së Rrethit Gjyqësor Gjirokastër.  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7. Gjykata e Lartë, me vendimin nr. 455, datë 22.12.2009, ka vendosur prishjen e vendimeve të mësipërme dhe dërgimin e çështjes për rigjykim pranë Gjykatës së Rrethit Gjyqësor Gjirokastër, por me tjetër trup gjykues.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8. Gjykata e Rrethit Gjyqësor Gjirokastër, me vendimin nr. 490, datë 23.05.2011, ka vendosur, ndër të tjera, konstatimin e pavlefshmërisë absolute të kontratës së shitjes të lidhur midis EKB-së dhe personit të tretë Konstandin Dhimitri, si dhe kontratës së lidhur ndërmjet shitësve Kostandin Dhimitri e Marjeta Dhimitri  dhe blerësit Llazo Kokthi.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9. Gjykata e Apelit Gjirokastër, me vendimin nr. 38, datë 27.01.2012, ka vendosur lënien në fuqi të vendimit nr. 490, datë 23.03.2011 të Gjykatës së Rrethit Gjyqësor Gjirokastër.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10. Gjykata e Lartë, me vendimin nr. 31, datë 19.01.2015, ka vendosur në dhomë këshillimi mospranimin e rekurseve të paraqitura kundër vendimeve të mësipërme gjyqësore.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11. Kolegji i Gjykatës Kushtetuese, me vendimin nr.144, datë 03.11.2015, mbi kërkesën e Arben Kokthit, njërit prej kërkuesve që ka riparaqitur kërkesën para kësaj Gjykate, vendosi: “Moskalimin e çështjes në seancë si haptazi të pabazuar.”</w:t>
      </w:r>
      <w:r w:rsidR="001660CD">
        <w:rPr>
          <w:rFonts w:ascii="Times New Roman" w:hAnsi="Times New Roman" w:cs="Times New Roman"/>
          <w:sz w:val="24"/>
          <w:szCs w:val="24"/>
        </w:rPr>
        <w:t>.</w:t>
      </w:r>
    </w:p>
    <w:p w:rsidR="008267DB" w:rsidRPr="00225AAA" w:rsidRDefault="008267DB" w:rsidP="0082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DB" w:rsidRPr="00225AAA" w:rsidRDefault="008267DB" w:rsidP="008267DB">
      <w:pPr>
        <w:tabs>
          <w:tab w:val="left" w:pos="-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225AAA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II</w:t>
      </w:r>
    </w:p>
    <w:p w:rsidR="008267DB" w:rsidRPr="00225AAA" w:rsidRDefault="008267DB" w:rsidP="008267DB">
      <w:pPr>
        <w:pStyle w:val="BodyTextIndent2"/>
        <w:spacing w:after="0" w:line="360" w:lineRule="auto"/>
        <w:ind w:left="0"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225AAA">
        <w:rPr>
          <w:rFonts w:ascii="Times New Roman" w:hAnsi="Times New Roman"/>
          <w:noProof w:val="0"/>
          <w:sz w:val="24"/>
          <w:szCs w:val="24"/>
        </w:rPr>
        <w:t>12. Kërkuesit kundërshtojnë sërish vendimet e mësipërme</w:t>
      </w:r>
      <w:r w:rsidR="001660CD">
        <w:rPr>
          <w:rFonts w:ascii="Times New Roman" w:hAnsi="Times New Roman"/>
          <w:noProof w:val="0"/>
          <w:sz w:val="24"/>
          <w:szCs w:val="24"/>
        </w:rPr>
        <w:t>,</w:t>
      </w:r>
      <w:r w:rsidRPr="00225AAA">
        <w:rPr>
          <w:rFonts w:ascii="Times New Roman" w:hAnsi="Times New Roman"/>
          <w:noProof w:val="0"/>
          <w:sz w:val="24"/>
          <w:szCs w:val="24"/>
        </w:rPr>
        <w:t xml:space="preserve"> duke pretenduar se ato janë antikushtetuese, pasi:</w:t>
      </w:r>
    </w:p>
    <w:p w:rsidR="008267DB" w:rsidRPr="00225AAA" w:rsidRDefault="008267DB" w:rsidP="00225AAA">
      <w:pPr>
        <w:tabs>
          <w:tab w:val="left" w:pos="720"/>
        </w:tabs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12.1</w:t>
      </w:r>
      <w:r w:rsidR="00225AAA" w:rsidRPr="00225AAA">
        <w:rPr>
          <w:rFonts w:ascii="Times New Roman" w:hAnsi="Times New Roman" w:cs="Times New Roman"/>
          <w:sz w:val="24"/>
          <w:szCs w:val="24"/>
        </w:rPr>
        <w:t>.</w:t>
      </w:r>
      <w:r w:rsidRPr="00225AAA">
        <w:rPr>
          <w:rFonts w:ascii="Times New Roman" w:hAnsi="Times New Roman" w:cs="Times New Roman"/>
          <w:sz w:val="24"/>
          <w:szCs w:val="24"/>
        </w:rPr>
        <w:t xml:space="preserve"> </w:t>
      </w:r>
      <w:r w:rsidRPr="00225AAA">
        <w:rPr>
          <w:rFonts w:ascii="Times New Roman" w:hAnsi="Times New Roman" w:cs="Times New Roman"/>
          <w:i/>
          <w:sz w:val="24"/>
          <w:szCs w:val="24"/>
        </w:rPr>
        <w:t>Është cenuar e drejta e aksesit në Gjykatë të Lartë</w:t>
      </w:r>
      <w:r w:rsidRPr="00225AAA">
        <w:rPr>
          <w:rFonts w:ascii="Times New Roman" w:hAnsi="Times New Roman" w:cs="Times New Roman"/>
          <w:sz w:val="24"/>
          <w:szCs w:val="24"/>
        </w:rPr>
        <w:t>, pasi rekursi kishte shkaqe për t’u shqyrtuar në seancë.</w:t>
      </w:r>
    </w:p>
    <w:p w:rsidR="008267DB" w:rsidRPr="00301628" w:rsidRDefault="008267DB" w:rsidP="00225AAA">
      <w:pPr>
        <w:tabs>
          <w:tab w:val="left" w:pos="720"/>
        </w:tabs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12.2</w:t>
      </w:r>
      <w:r w:rsidR="00225AAA" w:rsidRPr="00225AAA">
        <w:rPr>
          <w:rFonts w:ascii="Times New Roman" w:hAnsi="Times New Roman" w:cs="Times New Roman"/>
          <w:sz w:val="24"/>
          <w:szCs w:val="24"/>
        </w:rPr>
        <w:t>.</w:t>
      </w:r>
      <w:r w:rsidRPr="00225AAA">
        <w:rPr>
          <w:rFonts w:ascii="Times New Roman" w:hAnsi="Times New Roman" w:cs="Times New Roman"/>
          <w:sz w:val="24"/>
          <w:szCs w:val="24"/>
        </w:rPr>
        <w:t xml:space="preserve"> Është zbatuar keq ligji për privatizimet dhe ligjet e tjera</w:t>
      </w:r>
      <w:r w:rsidR="001660CD">
        <w:rPr>
          <w:rFonts w:ascii="Times New Roman" w:hAnsi="Times New Roman" w:cs="Times New Roman"/>
          <w:sz w:val="24"/>
          <w:szCs w:val="24"/>
        </w:rPr>
        <w:t>,</w:t>
      </w:r>
      <w:r w:rsidRPr="00225AAA">
        <w:rPr>
          <w:rFonts w:ascii="Times New Roman" w:hAnsi="Times New Roman" w:cs="Times New Roman"/>
          <w:sz w:val="24"/>
          <w:szCs w:val="24"/>
        </w:rPr>
        <w:t xml:space="preserve"> si KPC</w:t>
      </w:r>
      <w:r w:rsidR="001660CD">
        <w:rPr>
          <w:rFonts w:ascii="Times New Roman" w:hAnsi="Times New Roman" w:cs="Times New Roman"/>
          <w:sz w:val="24"/>
          <w:szCs w:val="24"/>
        </w:rPr>
        <w:t>-ja</w:t>
      </w:r>
      <w:r w:rsidRPr="00225AAA">
        <w:rPr>
          <w:rFonts w:ascii="Times New Roman" w:hAnsi="Times New Roman" w:cs="Times New Roman"/>
          <w:sz w:val="24"/>
          <w:szCs w:val="24"/>
        </w:rPr>
        <w:t xml:space="preserve"> dhe ai për transferimin e </w:t>
      </w:r>
      <w:r w:rsidR="00DE0673" w:rsidRPr="00301628">
        <w:rPr>
          <w:rFonts w:ascii="Times New Roman" w:hAnsi="Times New Roman" w:cs="Times New Roman"/>
          <w:sz w:val="24"/>
          <w:szCs w:val="24"/>
        </w:rPr>
        <w:t xml:space="preserve">pronave të paluajtshme </w:t>
      </w:r>
      <w:r w:rsidR="00301628" w:rsidRPr="00301628">
        <w:rPr>
          <w:rFonts w:ascii="Times New Roman" w:hAnsi="Times New Roman" w:cs="Times New Roman"/>
          <w:sz w:val="24"/>
          <w:szCs w:val="24"/>
        </w:rPr>
        <w:t xml:space="preserve">nga </w:t>
      </w:r>
      <w:r w:rsidR="00DE0673" w:rsidRPr="00301628">
        <w:rPr>
          <w:rFonts w:ascii="Times New Roman" w:hAnsi="Times New Roman" w:cs="Times New Roman"/>
          <w:sz w:val="24"/>
          <w:szCs w:val="24"/>
        </w:rPr>
        <w:t>shteti në njësinë e qeverisjes vendore.</w:t>
      </w:r>
    </w:p>
    <w:p w:rsidR="008267DB" w:rsidRPr="00225AAA" w:rsidRDefault="008267DB" w:rsidP="00225AAA">
      <w:pPr>
        <w:tabs>
          <w:tab w:val="left" w:pos="720"/>
        </w:tabs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12.3</w:t>
      </w:r>
      <w:r w:rsidR="00225AAA" w:rsidRPr="00225AAA">
        <w:rPr>
          <w:rFonts w:ascii="Times New Roman" w:hAnsi="Times New Roman" w:cs="Times New Roman"/>
          <w:sz w:val="24"/>
          <w:szCs w:val="24"/>
        </w:rPr>
        <w:t>.</w:t>
      </w:r>
      <w:r w:rsidRPr="00225AAA">
        <w:rPr>
          <w:rFonts w:ascii="Times New Roman" w:hAnsi="Times New Roman" w:cs="Times New Roman"/>
          <w:sz w:val="24"/>
          <w:szCs w:val="24"/>
        </w:rPr>
        <w:t xml:space="preserve"> </w:t>
      </w:r>
      <w:r w:rsidRPr="00225AAA">
        <w:rPr>
          <w:rFonts w:ascii="Times New Roman" w:hAnsi="Times New Roman" w:cs="Times New Roman"/>
          <w:i/>
          <w:sz w:val="24"/>
          <w:szCs w:val="24"/>
        </w:rPr>
        <w:t>Është cenuar e drejta e aksesit</w:t>
      </w:r>
      <w:r w:rsidRPr="00225AAA">
        <w:rPr>
          <w:rFonts w:ascii="Times New Roman" w:hAnsi="Times New Roman" w:cs="Times New Roman"/>
          <w:sz w:val="24"/>
          <w:szCs w:val="24"/>
        </w:rPr>
        <w:t xml:space="preserve">, pasi </w:t>
      </w:r>
      <w:r w:rsidR="001304DB">
        <w:rPr>
          <w:rFonts w:ascii="Times New Roman" w:hAnsi="Times New Roman" w:cs="Times New Roman"/>
          <w:sz w:val="24"/>
          <w:szCs w:val="24"/>
        </w:rPr>
        <w:t>g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jykata </w:t>
      </w:r>
      <w:r w:rsidRPr="00225AAA">
        <w:rPr>
          <w:rFonts w:ascii="Times New Roman" w:hAnsi="Times New Roman" w:cs="Times New Roman"/>
          <w:sz w:val="24"/>
          <w:szCs w:val="24"/>
        </w:rPr>
        <w:t xml:space="preserve">e </w:t>
      </w:r>
      <w:r w:rsidR="001304DB">
        <w:rPr>
          <w:rFonts w:ascii="Times New Roman" w:hAnsi="Times New Roman" w:cs="Times New Roman"/>
          <w:sz w:val="24"/>
          <w:szCs w:val="24"/>
        </w:rPr>
        <w:t>s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hkallës </w:t>
      </w:r>
      <w:r w:rsidRPr="00225AAA">
        <w:rPr>
          <w:rFonts w:ascii="Times New Roman" w:hAnsi="Times New Roman" w:cs="Times New Roman"/>
          <w:sz w:val="24"/>
          <w:szCs w:val="24"/>
        </w:rPr>
        <w:t xml:space="preserve">së </w:t>
      </w:r>
      <w:r w:rsidR="001304DB">
        <w:rPr>
          <w:rFonts w:ascii="Times New Roman" w:hAnsi="Times New Roman" w:cs="Times New Roman"/>
          <w:sz w:val="24"/>
          <w:szCs w:val="24"/>
        </w:rPr>
        <w:t>p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arë </w:t>
      </w:r>
      <w:r w:rsidRPr="00225AAA">
        <w:rPr>
          <w:rFonts w:ascii="Times New Roman" w:hAnsi="Times New Roman" w:cs="Times New Roman"/>
          <w:sz w:val="24"/>
          <w:szCs w:val="24"/>
        </w:rPr>
        <w:t>dhe Gjykata e Apelit kanë shkelur dispozitat procedurale lidhur me njoftimet.</w:t>
      </w:r>
    </w:p>
    <w:p w:rsidR="00225AAA" w:rsidRDefault="00225AAA" w:rsidP="0022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AA" w:rsidRPr="00225AAA" w:rsidRDefault="00225AAA" w:rsidP="0022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III</w:t>
      </w:r>
    </w:p>
    <w:p w:rsidR="00225AAA" w:rsidRPr="00225AAA" w:rsidRDefault="00225AAA" w:rsidP="0022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Vlerësimi i Kolegjit</w:t>
      </w:r>
    </w:p>
    <w:p w:rsidR="00225AAA" w:rsidRPr="001660CD" w:rsidRDefault="00DE0673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673">
        <w:rPr>
          <w:rFonts w:ascii="Times New Roman" w:hAnsi="Times New Roman" w:cs="Times New Roman"/>
          <w:i/>
          <w:sz w:val="24"/>
          <w:szCs w:val="24"/>
        </w:rPr>
        <w:t>A. Për legjitimimin e kërkuesve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13. Kërkuesit legjitimohen </w:t>
      </w:r>
      <w:r w:rsidRPr="00225AAA">
        <w:rPr>
          <w:rFonts w:ascii="Times New Roman" w:hAnsi="Times New Roman" w:cs="Times New Roman"/>
          <w:i/>
          <w:sz w:val="24"/>
          <w:szCs w:val="24"/>
        </w:rPr>
        <w:t>ratione personae</w:t>
      </w:r>
      <w:r w:rsidRPr="00225AAA">
        <w:rPr>
          <w:rFonts w:ascii="Times New Roman" w:hAnsi="Times New Roman" w:cs="Times New Roman"/>
          <w:sz w:val="24"/>
          <w:szCs w:val="24"/>
        </w:rPr>
        <w:t xml:space="preserve"> në lidhje me pretendimet e tyre, të cilat i ka</w:t>
      </w:r>
      <w:r w:rsidR="001660CD">
        <w:rPr>
          <w:rFonts w:ascii="Times New Roman" w:hAnsi="Times New Roman" w:cs="Times New Roman"/>
          <w:sz w:val="24"/>
          <w:szCs w:val="24"/>
        </w:rPr>
        <w:t>në</w:t>
      </w:r>
      <w:r w:rsidRPr="00225AAA">
        <w:rPr>
          <w:rFonts w:ascii="Times New Roman" w:hAnsi="Times New Roman" w:cs="Times New Roman"/>
          <w:sz w:val="24"/>
          <w:szCs w:val="24"/>
        </w:rPr>
        <w:t xml:space="preserve"> paraqitur në kërkesë, në kuptim të neneve 131/f dhe 134/1/g të Kushtetutës dhe </w:t>
      </w:r>
      <w:r w:rsidRPr="00225AAA">
        <w:rPr>
          <w:rFonts w:ascii="Times New Roman" w:hAnsi="Times New Roman" w:cs="Times New Roman"/>
          <w:i/>
          <w:sz w:val="24"/>
          <w:szCs w:val="24"/>
        </w:rPr>
        <w:t>ratione temporis</w:t>
      </w:r>
      <w:r w:rsidRPr="00225AAA">
        <w:rPr>
          <w:rFonts w:ascii="Times New Roman" w:hAnsi="Times New Roman" w:cs="Times New Roman"/>
          <w:sz w:val="24"/>
          <w:szCs w:val="24"/>
        </w:rPr>
        <w:t>, pasi kërkesa është paraqitur në Gjykatën Kushtetuese brenda afatit të parashikuar nga neni 30 i ligjit nr. 8577, datë 10.02.2000 “Për organizimin dhe funksionimin e Gjykatës Kushtetuese të Republikës së Shqipërisë”.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14. Në lidhje me legjitimimin </w:t>
      </w:r>
      <w:r w:rsidRPr="00225AAA">
        <w:rPr>
          <w:rFonts w:ascii="Times New Roman" w:hAnsi="Times New Roman" w:cs="Times New Roman"/>
          <w:i/>
          <w:sz w:val="24"/>
          <w:szCs w:val="24"/>
        </w:rPr>
        <w:t>ratione materiae</w:t>
      </w:r>
      <w:r w:rsidRPr="00225AAA">
        <w:rPr>
          <w:rFonts w:ascii="Times New Roman" w:hAnsi="Times New Roman" w:cs="Times New Roman"/>
          <w:sz w:val="24"/>
          <w:szCs w:val="24"/>
        </w:rPr>
        <w:t>, pretendimet e kërkuesit, pavarësisht se ndryshojnë në formulim</w:t>
      </w:r>
      <w:r w:rsidR="008A121C">
        <w:rPr>
          <w:rFonts w:ascii="Times New Roman" w:hAnsi="Times New Roman" w:cs="Times New Roman"/>
          <w:sz w:val="24"/>
          <w:szCs w:val="24"/>
        </w:rPr>
        <w:t>,</w:t>
      </w:r>
      <w:r w:rsidRPr="00225AAA">
        <w:rPr>
          <w:rFonts w:ascii="Times New Roman" w:hAnsi="Times New Roman" w:cs="Times New Roman"/>
          <w:sz w:val="24"/>
          <w:szCs w:val="24"/>
        </w:rPr>
        <w:t xml:space="preserve"> lidhen me të njëjtat vendime dhe me të njëjtat shkaqe të cilat janë analizuar më parë nga Kolegji i kësaj Gjykate dhe janë gjetur si haptazi të pabazuara.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734F" w:rsidRDefault="008267DB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1170" w:hanging="450"/>
        <w:jc w:val="both"/>
        <w:rPr>
          <w:i/>
        </w:rPr>
      </w:pPr>
      <w:r w:rsidRPr="001660CD">
        <w:rPr>
          <w:i/>
        </w:rPr>
        <w:t>Për cenimin e së drejtës së aksesit në Gjykatën e Lartë</w:t>
      </w:r>
    </w:p>
    <w:p w:rsidR="008267DB" w:rsidRPr="00225AAA" w:rsidRDefault="008267DB" w:rsidP="008267DB">
      <w:pPr>
        <w:tabs>
          <w:tab w:val="left" w:pos="72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ab/>
        <w:t>15</w:t>
      </w:r>
      <w:r w:rsidRPr="00225A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5AAA">
        <w:rPr>
          <w:rFonts w:ascii="Times New Roman" w:hAnsi="Times New Roman" w:cs="Times New Roman"/>
          <w:iCs/>
          <w:sz w:val="24"/>
          <w:szCs w:val="24"/>
        </w:rPr>
        <w:t>Kërkuesit pretendojnë se u është cenuar e drejta e aksesit në Gjykatë</w:t>
      </w:r>
      <w:r w:rsidR="008D1E8A">
        <w:rPr>
          <w:rFonts w:ascii="Times New Roman" w:hAnsi="Times New Roman" w:cs="Times New Roman"/>
          <w:iCs/>
          <w:sz w:val="24"/>
          <w:szCs w:val="24"/>
        </w:rPr>
        <w:t>n e</w:t>
      </w:r>
      <w:r w:rsidRPr="00225AAA">
        <w:rPr>
          <w:rFonts w:ascii="Times New Roman" w:hAnsi="Times New Roman" w:cs="Times New Roman"/>
          <w:iCs/>
          <w:sz w:val="24"/>
          <w:szCs w:val="24"/>
        </w:rPr>
        <w:t xml:space="preserve"> Lartë,</w:t>
      </w:r>
      <w:r w:rsidRPr="00225AAA">
        <w:rPr>
          <w:rFonts w:ascii="Times New Roman" w:hAnsi="Times New Roman" w:cs="Times New Roman"/>
          <w:sz w:val="24"/>
          <w:szCs w:val="24"/>
        </w:rPr>
        <w:t xml:space="preserve"> pasi rekursi kishte shkaqe për t’u shqyrtuar në seancë. Në lidhje me këtë pretendim, kërkuesit i kanë përqendruar </w:t>
      </w:r>
      <w:r w:rsidR="00DE0673" w:rsidRPr="005E25E1">
        <w:rPr>
          <w:rFonts w:ascii="Times New Roman" w:hAnsi="Times New Roman" w:cs="Times New Roman"/>
          <w:sz w:val="24"/>
          <w:szCs w:val="24"/>
        </w:rPr>
        <w:t xml:space="preserve">argumentet </w:t>
      </w:r>
      <w:r w:rsidR="001304DB" w:rsidRPr="005E25E1">
        <w:rPr>
          <w:rFonts w:ascii="Times New Roman" w:hAnsi="Times New Roman" w:cs="Times New Roman"/>
          <w:sz w:val="24"/>
          <w:szCs w:val="24"/>
        </w:rPr>
        <w:t xml:space="preserve">në </w:t>
      </w:r>
      <w:r w:rsidR="00DE0673" w:rsidRPr="005E25E1">
        <w:rPr>
          <w:rFonts w:ascii="Times New Roman" w:hAnsi="Times New Roman" w:cs="Times New Roman"/>
          <w:sz w:val="24"/>
          <w:szCs w:val="24"/>
        </w:rPr>
        <w:t>shkaqe</w:t>
      </w:r>
      <w:r w:rsidRPr="00225AAA">
        <w:rPr>
          <w:rFonts w:ascii="Times New Roman" w:hAnsi="Times New Roman" w:cs="Times New Roman"/>
          <w:sz w:val="24"/>
          <w:szCs w:val="24"/>
        </w:rPr>
        <w:t xml:space="preserve"> që lidhen me analizën ligjore të pretendimeve të tyre. Kolegji i Gjykatës, në vendimin e tij, pavarësisht se kërkuesi ka pretenduar mosarsyetimin e vendimit të Kolegjit Civil të GJL</w:t>
      </w:r>
      <w:r w:rsidR="001304DB">
        <w:rPr>
          <w:rFonts w:ascii="Times New Roman" w:hAnsi="Times New Roman" w:cs="Times New Roman"/>
          <w:sz w:val="24"/>
          <w:szCs w:val="24"/>
        </w:rPr>
        <w:t>-së</w:t>
      </w:r>
      <w:r w:rsidRPr="00225AAA">
        <w:rPr>
          <w:rFonts w:ascii="Times New Roman" w:hAnsi="Times New Roman" w:cs="Times New Roman"/>
          <w:sz w:val="24"/>
          <w:szCs w:val="24"/>
        </w:rPr>
        <w:t xml:space="preserve">, </w:t>
      </w:r>
      <w:r w:rsidR="001304DB">
        <w:rPr>
          <w:rFonts w:ascii="Times New Roman" w:hAnsi="Times New Roman" w:cs="Times New Roman"/>
          <w:sz w:val="24"/>
          <w:szCs w:val="24"/>
        </w:rPr>
        <w:t xml:space="preserve">e </w:t>
      </w:r>
      <w:r w:rsidRPr="00225AAA">
        <w:rPr>
          <w:rFonts w:ascii="Times New Roman" w:hAnsi="Times New Roman" w:cs="Times New Roman"/>
          <w:sz w:val="24"/>
          <w:szCs w:val="24"/>
        </w:rPr>
        <w:t xml:space="preserve">ka marrë në shqyrtim atë vendim duke e gjetur në përputhje me standardin kushtetues të vendosur nga Gjykata Kushtetuese për këtë qëllim. Kolegji i Gjykatës ka theksuar në vendimin e mëparshëm me të njëjtin kërkues se 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>“...</w:t>
      </w:r>
      <w:r w:rsidR="001304D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304DB" w:rsidRPr="00225AAA">
        <w:rPr>
          <w:rFonts w:ascii="Times New Roman" w:hAnsi="Times New Roman" w:cs="Times New Roman"/>
          <w:i/>
          <w:iCs/>
          <w:sz w:val="24"/>
          <w:szCs w:val="24"/>
        </w:rPr>
        <w:t xml:space="preserve">eni 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>310/1 i KPC-së parashikon se vendimi i gjykatës duhet të përmbajë hyrjen, pjesën përshkruese-arsyetuese dhe pjesën urdhëruese, duke përcaktuar në paragrafët e tjerë elementet që duhet të përmenden në secilën prej këtyre pjesëve. Ndërsa për gjykimin në Gjykatën e Lartë, KPC-ja sanksionon se rekursi, ndër të tjera, duhet të përmbajë shkaqet për të cilat kërkohet prishja e vendimit, duke iu referuar normave ligjore mbi të cilat mbështetet (neni 475/ç) dhe se shqyrtimi i çështjes në kolegjet seleksionuese konsiston në një vlerësim të këtyre shkaqeve. Nëse rekursi bëhet për shkaqe të ndryshme nga ato që i lejon ligji, ai nuk pranohet dhe mospranimi i tij vendoset nga Kolegji i Gjykatës së Lartë në dhomën e këshillimit (neni 480). Vlerësimi i rekursit është atribut i Gjykatës së Lartë dhe veprimtaria seleksionuese e dhomës së këshillimit është një veprimtari e domosdoshme në funksion të aksesit në gjykatë vetëm të atyre çështjeve që i parashikon ligji, duke lënë jashtë përzgjedhjes kërkesat e paarsyeshme dhe haptazi të pambështetura në ligj (shih vendimet nr. 45, datë 23.07.2012; nr. 4, datë 25.02.2009; nr. 5, datë 26.01.2007; nr. 8, datë 02.05.2006 të Gjykatës Kushtetuese). Nisur nga parashikimet e dispozitave të lartpërmendura të KPC-së, si dhe bazuar në veçoritë e gjykimit në Gjykatën e Lartë dhe në praktikën e saj, Gjykata ka nënvizuar se në funksion të realizimit të vëzhgimit publik të administrimit të drejtësisë dhe të aksesit në gjykatë, brenda kuadrit të procesit të rregullt ligjor, përmbajtja e vendimit duhet të plotësojë kriteret e përcaktuara nga dispozitat ligjore përkatëse dhe ato të elaboruara nga jurisprudenca kushtetuese e konsoliduar (shih vendimin nr. 26, datë 24.06.2013 të Gjykatës Kushtetuese).”.</w:t>
      </w:r>
    </w:p>
    <w:p w:rsidR="008267DB" w:rsidRPr="00225AAA" w:rsidRDefault="008267DB" w:rsidP="008267DB">
      <w:pPr>
        <w:tabs>
          <w:tab w:val="left" w:pos="72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ab/>
        <w:t xml:space="preserve">16. Nisur nga kërkesa e riparaqitur nga kërkuesit nuk </w:t>
      </w:r>
      <w:r w:rsidR="00225AAA" w:rsidRPr="00225AAA">
        <w:rPr>
          <w:rFonts w:ascii="Times New Roman" w:hAnsi="Times New Roman" w:cs="Times New Roman"/>
          <w:sz w:val="24"/>
          <w:szCs w:val="24"/>
        </w:rPr>
        <w:t>rezulton</w:t>
      </w:r>
      <w:r w:rsidRPr="00225AAA">
        <w:rPr>
          <w:rFonts w:ascii="Times New Roman" w:hAnsi="Times New Roman" w:cs="Times New Roman"/>
          <w:sz w:val="24"/>
          <w:szCs w:val="24"/>
        </w:rPr>
        <w:t xml:space="preserve"> të ketë shkaqe të reja të nivelit kushtetues të ndryshme nga ato të shqyrtuara më parë nga Kolegji i Gjykatës. Për këtë arsye, Kolegji vlerëson se nuk mund të rimarrë në shqyrtim të njëjtat pretendime dhe shkaqe për të cilat ky kolegj është shprehur më parë.  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7C734F" w:rsidRDefault="001660CD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hanging="630"/>
        <w:jc w:val="both"/>
        <w:rPr>
          <w:i/>
        </w:rPr>
      </w:pPr>
      <w:r>
        <w:rPr>
          <w:i/>
        </w:rPr>
        <w:t xml:space="preserve"> </w:t>
      </w:r>
      <w:r w:rsidR="00DE0673" w:rsidRPr="00DE0673">
        <w:rPr>
          <w:i/>
        </w:rPr>
        <w:t xml:space="preserve">Për cenimin e së drejtës së aksesit në </w:t>
      </w:r>
      <w:r w:rsidR="001304DB">
        <w:rPr>
          <w:i/>
        </w:rPr>
        <w:t>g</w:t>
      </w:r>
      <w:r w:rsidR="00DE0673" w:rsidRPr="00DE0673">
        <w:rPr>
          <w:i/>
        </w:rPr>
        <w:t xml:space="preserve">jykatën e </w:t>
      </w:r>
      <w:r w:rsidR="001304DB">
        <w:rPr>
          <w:i/>
        </w:rPr>
        <w:t>s</w:t>
      </w:r>
      <w:r w:rsidR="00DE0673" w:rsidRPr="00DE0673">
        <w:rPr>
          <w:i/>
        </w:rPr>
        <w:t xml:space="preserve">hkallës së </w:t>
      </w:r>
      <w:r w:rsidR="001304DB">
        <w:rPr>
          <w:i/>
        </w:rPr>
        <w:t>p</w:t>
      </w:r>
      <w:r w:rsidR="00DE0673" w:rsidRPr="00DE0673">
        <w:rPr>
          <w:i/>
        </w:rPr>
        <w:t>arë dhe Gjykatën e Apelit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AA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17. Kërkuesit pretendojnë se u është cenuar </w:t>
      </w:r>
      <w:r w:rsidRPr="00225AAA">
        <w:rPr>
          <w:rFonts w:ascii="Times New Roman" w:hAnsi="Times New Roman" w:cs="Times New Roman"/>
          <w:i/>
          <w:sz w:val="24"/>
          <w:szCs w:val="24"/>
        </w:rPr>
        <w:t>e drejta e aksesit</w:t>
      </w:r>
      <w:r w:rsidRPr="00225AAA">
        <w:rPr>
          <w:rFonts w:ascii="Times New Roman" w:hAnsi="Times New Roman" w:cs="Times New Roman"/>
          <w:sz w:val="24"/>
          <w:szCs w:val="24"/>
        </w:rPr>
        <w:t xml:space="preserve">, pasi </w:t>
      </w:r>
      <w:r w:rsidR="001304DB">
        <w:rPr>
          <w:rFonts w:ascii="Times New Roman" w:hAnsi="Times New Roman" w:cs="Times New Roman"/>
          <w:sz w:val="24"/>
          <w:szCs w:val="24"/>
        </w:rPr>
        <w:t>g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jykata </w:t>
      </w:r>
      <w:r w:rsidRPr="00225AAA">
        <w:rPr>
          <w:rFonts w:ascii="Times New Roman" w:hAnsi="Times New Roman" w:cs="Times New Roman"/>
          <w:sz w:val="24"/>
          <w:szCs w:val="24"/>
        </w:rPr>
        <w:t xml:space="preserve">e </w:t>
      </w:r>
      <w:r w:rsidR="001304DB">
        <w:rPr>
          <w:rFonts w:ascii="Times New Roman" w:hAnsi="Times New Roman" w:cs="Times New Roman"/>
          <w:sz w:val="24"/>
          <w:szCs w:val="24"/>
        </w:rPr>
        <w:t>s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hkallës </w:t>
      </w:r>
      <w:r w:rsidRPr="00225AAA">
        <w:rPr>
          <w:rFonts w:ascii="Times New Roman" w:hAnsi="Times New Roman" w:cs="Times New Roman"/>
          <w:sz w:val="24"/>
          <w:szCs w:val="24"/>
        </w:rPr>
        <w:t xml:space="preserve">së </w:t>
      </w:r>
      <w:r w:rsidR="001304DB">
        <w:rPr>
          <w:rFonts w:ascii="Times New Roman" w:hAnsi="Times New Roman" w:cs="Times New Roman"/>
          <w:sz w:val="24"/>
          <w:szCs w:val="24"/>
        </w:rPr>
        <w:t>p</w:t>
      </w:r>
      <w:r w:rsidR="001304DB" w:rsidRPr="00225AAA">
        <w:rPr>
          <w:rFonts w:ascii="Times New Roman" w:hAnsi="Times New Roman" w:cs="Times New Roman"/>
          <w:sz w:val="24"/>
          <w:szCs w:val="24"/>
        </w:rPr>
        <w:t xml:space="preserve">arë </w:t>
      </w:r>
      <w:r w:rsidRPr="00225AAA">
        <w:rPr>
          <w:rFonts w:ascii="Times New Roman" w:hAnsi="Times New Roman" w:cs="Times New Roman"/>
          <w:sz w:val="24"/>
          <w:szCs w:val="24"/>
        </w:rPr>
        <w:t>dhe Gjykata e Apelit kanë shkelur dispozitat procedurale lidhur me njoftimet. E</w:t>
      </w:r>
      <w:r w:rsidRPr="00225AAA">
        <w:rPr>
          <w:rFonts w:ascii="Times New Roman" w:eastAsia="Calibri" w:hAnsi="Times New Roman" w:cs="Times New Roman"/>
          <w:sz w:val="24"/>
          <w:szCs w:val="24"/>
        </w:rPr>
        <w:t xml:space="preserve">dhe ky pretendim është analizuar nga Kolegji i Gjykatës, i cili ka mbajtur </w:t>
      </w:r>
      <w:r w:rsidR="008614FE">
        <w:rPr>
          <w:rFonts w:ascii="Times New Roman" w:eastAsia="Calibri" w:hAnsi="Times New Roman" w:cs="Times New Roman"/>
          <w:sz w:val="24"/>
          <w:szCs w:val="24"/>
        </w:rPr>
        <w:t xml:space="preserve">këtë </w:t>
      </w:r>
      <w:r w:rsidRPr="00225AAA">
        <w:rPr>
          <w:rFonts w:ascii="Times New Roman" w:eastAsia="Calibri" w:hAnsi="Times New Roman" w:cs="Times New Roman"/>
          <w:sz w:val="24"/>
          <w:szCs w:val="24"/>
        </w:rPr>
        <w:t xml:space="preserve">qëndrim: </w:t>
      </w:r>
      <w:r w:rsidRPr="00225AAA">
        <w:rPr>
          <w:rFonts w:ascii="Times New Roman" w:eastAsia="Calibri" w:hAnsi="Times New Roman" w:cs="Times New Roman"/>
          <w:i/>
          <w:iCs/>
          <w:sz w:val="24"/>
          <w:szCs w:val="24"/>
        </w:rPr>
        <w:t>“Në nenin 42, pika 2, të Kushtetutës parashikohet se “kushdo, për mbrojtjen e të drejtave, të lirive dhe interesave të tij kushtetues dhe ligjorë, ose në rastin e akuzave të ngritura kundër tij, ka të drejtën e një gjykimi të drejtë dhe publik brenda një afati të arsyeshëm nga një gjykatë e pavarur dhe e paanshme e caktuar me ligj”. Gjykata është shprehur se n</w:t>
      </w:r>
      <w:r w:rsidRPr="00225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ë një shoqëri demokratike e drejta për administrim të mirë të drejtësisë zë një vend të dallueshëm dhe asnjë interpretim i ngushtë i nenit 42 të Kushtetutës dhe i nenit 6 të Konventës Europiane për të Drejtat e Njeriut (KEDNJ) nuk përputhet me qëllimet dhe objektin e tyre. Administrimi i mirë i drejtësisë fillon me garancinë që një individ të ketë akses në gjykatë, për t’i siguruar atij të gjitha aspektet e një forme gjyqësore të shqyrtimit të çështjes. Aksesi në gjykatë duhet të jetë substantiv dhe jo thjesht formal (vendimi nr. 14, datë 03.06.2009 i Gjykatës Kushtetuese).</w:t>
      </w:r>
      <w:r w:rsidRPr="00225A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Gjykata ka pranuar se e drejta për të qenë i pranishëm në gjykim është pjesë përbërëse e së drejtës për një proces të rregullt ligjor. Kjo e drejtë i ngarkon autoritetet me detyrën që të njoftojnë, në kohë të mjaftueshme, palët dhe mbrojtësit e tyre për datën dhe vendin e mbajtjes së procedurave gjyqësore, për të kërkuar praninë e tyre dhe për të mos i përjashtuar ata padrejtësisht nga gjykimi. Kjo është tashmë një praktikë e njohur dhe e konsoliduar e Gjykatës Kushtetuese dhe e Gjykatës Europiane të të Drejtave të Njeriut (GJEDNJ), sipas së cilës do të ishte pa vlerë përshkrimi në detaje i garancive procedurale të palëve në proces, në rast se atyre nuk do t’u sigurohej ajo që në fakt bën të mundur respektimin e këtyre të drejtave dhe që është pjesëmarrja në gjykim (shih vendimet nr. 42, datë 29.09.2011; nr. 11, datë 18.05.2005 të Gjykatës Kushtetuese). 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>Referuar çështjes konkrete, nga dosja gjyqësore rezulton se pas lëshimit të dëshmisë së trashëgimisë për shkak të vdekjes së Llazo Kokthit (babai i kërkuesit), Gjykata e Rrethit Gjyqësor Gjirokastër ka thërritur në gjykim trashëgimtarët e tij ndërmjet të cilëve edhe kërkuesin. Sipas dosjes gjyqësore rezulton se kërkuesi është thirrur për t</w:t>
      </w:r>
      <w:r w:rsidR="008614F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>u dëgjuar në seancën gjyqësore të datës 11.02.2011 me fletëthirrje</w:t>
      </w:r>
      <w:r w:rsidR="008614F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 xml:space="preserve"> e cila mban nr. akti 538/30, nga ku rezulton shënimi “kërkuesi ndodhet në Greqi”. Në vijim, në procesverbalin e datës 11.03.2011 është vendosur nga gjykata njoftimi i kërkuesit me shpallje. Ky dokument është pjesë e dosjes gjyqësore dhe mban numrin 538/30 të regjistrit themeltar, datë 14.02.2011. Në datën 18.03.2011 rezulton njoftimi i dytë me shpallje për kërkuesin, i cili njofton për seancën gjyqësore të datës 07.04.2011. Shpallja e radhës mban datën 07.04.2011 për seancën gjyqësore të datës 22.04.2011. Gjithashtu, Gjykata e Rrethit Gjyqësor Gjirokastër, me dëftesën e komunikimit, që mban datën 25.05.2011, u ka dërguar kopjen e vendimit palëve në proces, nga kur rezulton shënimi “në Greqi” për kërkuesin. Me këtë shënim është administruar edhe dëftesa e komunikimit për njoftimin e ankimit, që mban datën 11.06.2011. Lidhur me gjykimin në apel rezulton se njoftimi i seancave gjyqësore është bërë me shpallje (lista është e administruar në dosje) dhe në seancë (në prezencë të palëve). Në vijim rezulton se në disa seanca kërkuesi ka qenë i përfaqësuar me avokat, i cili ka marrë dijeni për seancat gjyqësore. Mungesa e përfaqësimit të kërkuesit në seancën e fundit është vlerësuar e pajustifikuar nga gjykata, për sa kohë avokati përfaqësues kishte marrë dijeni në seancën e mëparshme gjyqësore.</w:t>
      </w:r>
      <w:r w:rsidRPr="00225A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5AAA">
        <w:rPr>
          <w:rFonts w:ascii="Times New Roman" w:hAnsi="Times New Roman" w:cs="Times New Roman"/>
          <w:i/>
          <w:iCs/>
          <w:sz w:val="24"/>
          <w:szCs w:val="24"/>
        </w:rPr>
        <w:t>Për sa më sipër, Kolegji vlerëson se Gjykata e Shkallës së Parë dhe Gjykata e Apelit i kanë ezauruar të gjitha mjetet procedurale të njoftimit, si me anë të fletëthirrjeve për seancë gjyqësore, ashtu edhe me shpallje, dëftesat e komunikimit për vendimet gjyqësore, ankimin, shpalljet e listës për gjykimet etj. Për rrjedhojë, bazuar në standardet e mësipërme dhe faktet e çështjes konkrete, Kolegji çmon se ky pretendim i kërkuesit është haptazi i pabazuar.</w:t>
      </w:r>
      <w:r w:rsidRPr="00225AAA">
        <w:rPr>
          <w:rFonts w:ascii="Times New Roman" w:hAnsi="Times New Roman" w:cs="Times New Roman"/>
          <w:i/>
          <w:sz w:val="24"/>
          <w:szCs w:val="24"/>
        </w:rPr>
        <w:t>“.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AAA">
        <w:rPr>
          <w:rFonts w:ascii="Times New Roman" w:hAnsi="Times New Roman" w:cs="Times New Roman"/>
          <w:iCs/>
          <w:sz w:val="24"/>
          <w:szCs w:val="24"/>
        </w:rPr>
        <w:t xml:space="preserve">18. Nga sa më lart, </w:t>
      </w:r>
      <w:r w:rsidRPr="00225AAA">
        <w:rPr>
          <w:rFonts w:ascii="Times New Roman" w:hAnsi="Times New Roman" w:cs="Times New Roman"/>
          <w:sz w:val="24"/>
          <w:szCs w:val="24"/>
        </w:rPr>
        <w:t>Kolegji vlerëson se nuk mund të rimarrë në shqyrtim të njëjtat pretendime dhe shkaqe për të cilat ky kolegj është shprehur më parë</w:t>
      </w:r>
      <w:r w:rsidR="008614FE">
        <w:rPr>
          <w:rFonts w:ascii="Times New Roman" w:hAnsi="Times New Roman" w:cs="Times New Roman"/>
          <w:sz w:val="24"/>
          <w:szCs w:val="24"/>
        </w:rPr>
        <w:t>.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34F" w:rsidRDefault="001304DB">
      <w:pPr>
        <w:pStyle w:val="ListParagraph"/>
        <w:numPr>
          <w:ilvl w:val="0"/>
          <w:numId w:val="2"/>
        </w:numPr>
        <w:spacing w:line="360" w:lineRule="auto"/>
        <w:ind w:left="1260" w:hanging="540"/>
        <w:jc w:val="both"/>
        <w:rPr>
          <w:i/>
        </w:rPr>
      </w:pPr>
      <w:r>
        <w:rPr>
          <w:i/>
        </w:rPr>
        <w:t>Për</w:t>
      </w:r>
      <w:r w:rsidR="008267DB" w:rsidRPr="00225AAA">
        <w:rPr>
          <w:i/>
        </w:rPr>
        <w:t xml:space="preserve"> pretendimin për zbatim të gabuar të ligjit nga gjykatat</w:t>
      </w:r>
    </w:p>
    <w:p w:rsidR="008267DB" w:rsidRPr="00225AAA" w:rsidRDefault="008267DB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>19. Kërkuesit kanë pretenduar se gjykatat nuk kanë zbatuar si duhet ligjin gjatë procesit gjyqësor</w:t>
      </w:r>
      <w:r w:rsidR="00202AC5" w:rsidRPr="00225AAA">
        <w:rPr>
          <w:rFonts w:ascii="Times New Roman" w:hAnsi="Times New Roman" w:cs="Times New Roman"/>
          <w:sz w:val="24"/>
          <w:szCs w:val="24"/>
        </w:rPr>
        <w:t>.</w:t>
      </w:r>
      <w:r w:rsidRPr="0022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DB" w:rsidRPr="00225AAA" w:rsidRDefault="00202AC5" w:rsidP="00826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 xml:space="preserve">20. </w:t>
      </w:r>
      <w:r w:rsidR="008267DB" w:rsidRPr="00225AAA">
        <w:rPr>
          <w:rFonts w:ascii="Times New Roman" w:hAnsi="Times New Roman" w:cs="Times New Roman"/>
          <w:sz w:val="24"/>
          <w:szCs w:val="24"/>
        </w:rPr>
        <w:t>Në jurisprudencë të vazhdueshme Gjykata ka theksuar se interpretimi i ligjit, zbatimi i tij në çështjet konkrete, si dhe vlerësimi i fakteve dhe rrethanave janë çështje që ndajnë juridiksionin e gjykatave të zakonshme nga juridiksioni kushtetues. Kontrolli kushtetues që kjo Gjykatë ushtron ndaj vendimeve gjyqësore është i kufizuar vetëm në funksion të mbrojtjes së të drejtave kushtetuese të individit për një proces të rregullt ligjor. Problemet e interpretimit dhe të zbatimit të ligjit për zgjidhjen e çështjeve konkrete nuk përbëjnë juridiksion kushtetues</w:t>
      </w:r>
      <w:r w:rsidR="00551E1F">
        <w:rPr>
          <w:rFonts w:ascii="Times New Roman" w:hAnsi="Times New Roman" w:cs="Times New Roman"/>
          <w:sz w:val="24"/>
          <w:szCs w:val="24"/>
        </w:rPr>
        <w:t>,</w:t>
      </w:r>
      <w:r w:rsidR="008267DB" w:rsidRPr="00225AAA">
        <w:rPr>
          <w:rFonts w:ascii="Times New Roman" w:hAnsi="Times New Roman" w:cs="Times New Roman"/>
          <w:sz w:val="24"/>
          <w:szCs w:val="24"/>
        </w:rPr>
        <w:t xml:space="preserve"> nëse ato nuk shoqërohen me cenimin e këtyre të drejtave (</w:t>
      </w:r>
      <w:r w:rsidR="008267DB" w:rsidRPr="00225AAA">
        <w:rPr>
          <w:rFonts w:ascii="Times New Roman" w:hAnsi="Times New Roman" w:cs="Times New Roman"/>
          <w:i/>
          <w:iCs/>
          <w:sz w:val="24"/>
          <w:szCs w:val="24"/>
        </w:rPr>
        <w:t xml:space="preserve">shih vendimin </w:t>
      </w:r>
      <w:r w:rsidR="008267DB" w:rsidRPr="00225AAA">
        <w:rPr>
          <w:rFonts w:ascii="Times New Roman" w:hAnsi="Times New Roman" w:cs="Times New Roman"/>
          <w:bCs/>
          <w:i/>
          <w:iCs/>
          <w:sz w:val="24"/>
          <w:szCs w:val="24"/>
        </w:rPr>
        <w:t>nr.3, datë 19.02.2013</w:t>
      </w:r>
      <w:r w:rsidR="008267DB" w:rsidRPr="00225AAA">
        <w:rPr>
          <w:rFonts w:ascii="Times New Roman" w:hAnsi="Times New Roman" w:cs="Times New Roman"/>
          <w:i/>
          <w:iCs/>
          <w:sz w:val="24"/>
          <w:szCs w:val="24"/>
        </w:rPr>
        <w:t xml:space="preserve"> të Gjykatës Kushtetuese)</w:t>
      </w:r>
      <w:r w:rsidR="008267DB" w:rsidRPr="00225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DB" w:rsidRPr="00225AAA" w:rsidRDefault="00202AC5" w:rsidP="00202A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225AAA">
        <w:rPr>
          <w:rFonts w:ascii="Times New Roman" w:hAnsi="Times New Roman" w:cs="Times New Roman"/>
          <w:sz w:val="24"/>
          <w:szCs w:val="24"/>
        </w:rPr>
        <w:t>2</w:t>
      </w:r>
      <w:r w:rsidR="008267DB" w:rsidRPr="00225AAA">
        <w:rPr>
          <w:rFonts w:ascii="Times New Roman" w:hAnsi="Times New Roman" w:cs="Times New Roman"/>
          <w:sz w:val="24"/>
          <w:szCs w:val="24"/>
        </w:rPr>
        <w:t>1</w:t>
      </w:r>
      <w:r w:rsidR="008267DB" w:rsidRPr="00225AAA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="008267DB" w:rsidRPr="00225AAA">
        <w:rPr>
          <w:rFonts w:ascii="Times New Roman" w:hAnsi="Times New Roman" w:cs="Times New Roman"/>
          <w:sz w:val="24"/>
          <w:szCs w:val="24"/>
        </w:rPr>
        <w:t>Gjykata ndërhyn në ato raste kur përmes veprimeve të tyre gjykatat e zakonshme cenojnë të drejtën për një proces të rregullt ligjor. Në këto raste, ajo nuk bën rivlerësimin e fakteve e të rrethanave, por një vlerësim të natyrës kushtetuese, të dallueshëm nga ai i gjykatave të juridiksionit të zakonshëm. Gjykata e analizon ligjin, faktin dhe rrethanën përkatëse në atë dimension që ka ndikim mbi të drejtat dhe liritë e parashikuara nga nenet 42 dhe 131/f të Kushtetutës, gjë e cila përbën juridiksionin e saj kushtetues (</w:t>
      </w:r>
      <w:r w:rsidR="008267DB" w:rsidRPr="00225AAA">
        <w:rPr>
          <w:rFonts w:ascii="Times New Roman" w:hAnsi="Times New Roman" w:cs="Times New Roman"/>
          <w:i/>
          <w:sz w:val="24"/>
          <w:szCs w:val="24"/>
        </w:rPr>
        <w:t xml:space="preserve">shih vendimin </w:t>
      </w:r>
      <w:r w:rsidR="008267DB" w:rsidRPr="00225AAA">
        <w:rPr>
          <w:rFonts w:ascii="Times New Roman" w:hAnsi="Times New Roman" w:cs="Times New Roman"/>
          <w:bCs/>
          <w:i/>
          <w:sz w:val="24"/>
          <w:szCs w:val="24"/>
        </w:rPr>
        <w:t>nr.16, dat</w:t>
      </w:r>
      <w:r w:rsidR="008267DB" w:rsidRPr="00225AAA">
        <w:rPr>
          <w:rFonts w:ascii="Times New Roman" w:hAnsi="Times New Roman" w:cs="Times New Roman"/>
          <w:i/>
          <w:sz w:val="24"/>
          <w:szCs w:val="24"/>
        </w:rPr>
        <w:t>ë 19.04.2013 të Gjykatës Kushtetuese</w:t>
      </w:r>
      <w:r w:rsidR="008267DB" w:rsidRPr="00225AAA">
        <w:rPr>
          <w:rFonts w:ascii="Times New Roman" w:hAnsi="Times New Roman" w:cs="Times New Roman"/>
          <w:sz w:val="24"/>
          <w:szCs w:val="24"/>
        </w:rPr>
        <w:t>).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="008267DB" w:rsidRPr="00225AAA">
        <w:rPr>
          <w:rFonts w:ascii="Times New Roman" w:hAnsi="Times New Roman" w:cs="Times New Roman"/>
          <w:i/>
          <w:sz w:val="24"/>
          <w:szCs w:val="24"/>
        </w:rPr>
        <w:t xml:space="preserve">shih vendimin </w:t>
      </w:r>
      <w:r w:rsidR="008267DB" w:rsidRPr="00225AAA">
        <w:rPr>
          <w:rFonts w:ascii="Times New Roman" w:hAnsi="Times New Roman" w:cs="Times New Roman"/>
          <w:bCs/>
          <w:i/>
          <w:sz w:val="24"/>
          <w:szCs w:val="24"/>
        </w:rPr>
        <w:t>nr.16, dat</w:t>
      </w:r>
      <w:r w:rsidR="008267DB" w:rsidRPr="00225AAA">
        <w:rPr>
          <w:rFonts w:ascii="Times New Roman" w:hAnsi="Times New Roman" w:cs="Times New Roman"/>
          <w:i/>
          <w:sz w:val="24"/>
          <w:szCs w:val="24"/>
        </w:rPr>
        <w:t>ë 19.04.2013 të Gjykatës Kushtetuese</w:t>
      </w:r>
      <w:r w:rsidR="008267DB" w:rsidRPr="00225A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67DB" w:rsidRPr="00225AAA" w:rsidRDefault="008267DB" w:rsidP="00202AC5">
      <w:pPr>
        <w:tabs>
          <w:tab w:val="left" w:pos="72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ab/>
        <w:t>2</w:t>
      </w:r>
      <w:r w:rsidR="00202AC5" w:rsidRPr="00225AAA">
        <w:rPr>
          <w:rFonts w:ascii="Times New Roman" w:hAnsi="Times New Roman" w:cs="Times New Roman"/>
          <w:sz w:val="24"/>
          <w:szCs w:val="24"/>
        </w:rPr>
        <w:t>2</w:t>
      </w:r>
      <w:r w:rsidRPr="00225AAA">
        <w:rPr>
          <w:rFonts w:ascii="Times New Roman" w:hAnsi="Times New Roman" w:cs="Times New Roman"/>
          <w:sz w:val="24"/>
          <w:szCs w:val="24"/>
        </w:rPr>
        <w:t>. Bazuar në standardet e mësipërme dhe në pretendimet e paraqitura nga kërkuesi</w:t>
      </w:r>
      <w:r w:rsidR="00202AC5" w:rsidRPr="00225AAA">
        <w:rPr>
          <w:rFonts w:ascii="Times New Roman" w:hAnsi="Times New Roman" w:cs="Times New Roman"/>
          <w:sz w:val="24"/>
          <w:szCs w:val="24"/>
        </w:rPr>
        <w:t>t</w:t>
      </w:r>
      <w:r w:rsidRPr="00225AAA">
        <w:rPr>
          <w:rFonts w:ascii="Times New Roman" w:hAnsi="Times New Roman" w:cs="Times New Roman"/>
          <w:sz w:val="24"/>
          <w:szCs w:val="24"/>
        </w:rPr>
        <w:t xml:space="preserve">, rezulton se këto pretendime kanë të bëjnë me mënyrën e vlerësimit dhe të interpretimit të ligjit nga gjykatat e zakonshme. Në kushtet kur këto pretendime </w:t>
      </w:r>
      <w:r w:rsidRPr="00225AAA">
        <w:rPr>
          <w:rFonts w:ascii="Times New Roman" w:hAnsi="Times New Roman" w:cs="Times New Roman"/>
          <w:bCs/>
          <w:sz w:val="24"/>
          <w:szCs w:val="24"/>
        </w:rPr>
        <w:t>kanë të bëjnë me çështje të natyrës ligjore dhe jo kushtetuese, zgjidhja e tyre nuk përfshihet në juridiksionin kushtetues, por i përket juridiksionit të gjykatave të zakonshme.</w:t>
      </w:r>
    </w:p>
    <w:p w:rsidR="008267DB" w:rsidRPr="00225AAA" w:rsidRDefault="008267DB" w:rsidP="00202AC5">
      <w:pPr>
        <w:tabs>
          <w:tab w:val="left" w:pos="709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AA">
        <w:rPr>
          <w:rFonts w:ascii="Times New Roman" w:hAnsi="Times New Roman" w:cs="Times New Roman"/>
          <w:sz w:val="24"/>
          <w:szCs w:val="24"/>
        </w:rPr>
        <w:tab/>
      </w:r>
      <w:r w:rsidR="00202AC5" w:rsidRPr="00225AAA">
        <w:rPr>
          <w:rFonts w:ascii="Times New Roman" w:hAnsi="Times New Roman" w:cs="Times New Roman"/>
          <w:sz w:val="24"/>
          <w:szCs w:val="24"/>
        </w:rPr>
        <w:t xml:space="preserve">23. </w:t>
      </w:r>
      <w:r w:rsidRPr="00225AAA">
        <w:rPr>
          <w:rFonts w:ascii="Times New Roman" w:hAnsi="Times New Roman" w:cs="Times New Roman"/>
          <w:sz w:val="24"/>
          <w:szCs w:val="24"/>
        </w:rPr>
        <w:t xml:space="preserve">Nga sa më lart, </w:t>
      </w:r>
      <w:r w:rsidR="00202AC5" w:rsidRPr="00225AAA">
        <w:rPr>
          <w:rFonts w:ascii="Times New Roman" w:hAnsi="Times New Roman" w:cs="Times New Roman"/>
          <w:sz w:val="24"/>
          <w:szCs w:val="24"/>
        </w:rPr>
        <w:t xml:space="preserve">Kolegji vlerëson se kërkesa nuk mund të shqyrtohet në </w:t>
      </w:r>
      <w:r w:rsidRPr="00225AAA">
        <w:rPr>
          <w:rFonts w:ascii="Times New Roman" w:hAnsi="Times New Roman" w:cs="Times New Roman"/>
          <w:sz w:val="24"/>
          <w:szCs w:val="24"/>
        </w:rPr>
        <w:t>seancë, pasi kërkesa e riparaqitur me të njëjtin objekt nuk përmban shkaqe të reja.</w:t>
      </w:r>
    </w:p>
    <w:p w:rsidR="00463C5A" w:rsidRPr="00225AAA" w:rsidRDefault="00463C5A" w:rsidP="008267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C5A" w:rsidRPr="00225AAA" w:rsidRDefault="00463C5A" w:rsidP="008267DB">
      <w:pPr>
        <w:tabs>
          <w:tab w:val="left" w:pos="720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/>
          <w:bCs/>
          <w:sz w:val="24"/>
          <w:szCs w:val="24"/>
        </w:rPr>
        <w:t>PËR KËTO ARSYE,</w:t>
      </w:r>
    </w:p>
    <w:p w:rsidR="00463C5A" w:rsidRPr="00225AAA" w:rsidRDefault="00463C5A" w:rsidP="00826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sz w:val="24"/>
          <w:szCs w:val="24"/>
        </w:rPr>
        <w:tab/>
        <w:t>Kolegji i Gjykatës Kushtetuese të Republikës së Shqipërisë, në bazë të nenit 31 të ligjit nr. 8577, datë 10.02.2000 “Për organizimin dhe funksionimin e Gjykatës Kushtetuese të Republikës së Shqipërisë”,</w:t>
      </w:r>
    </w:p>
    <w:p w:rsidR="00463C5A" w:rsidRPr="00225AAA" w:rsidRDefault="00463C5A" w:rsidP="0082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C5A" w:rsidRPr="00225AAA" w:rsidRDefault="00463C5A" w:rsidP="0082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b/>
          <w:bCs/>
          <w:sz w:val="24"/>
          <w:szCs w:val="24"/>
        </w:rPr>
        <w:t>V E N D O S I:</w:t>
      </w:r>
    </w:p>
    <w:p w:rsidR="00463C5A" w:rsidRPr="00225AAA" w:rsidRDefault="00463C5A" w:rsidP="008267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AAA">
        <w:rPr>
          <w:rFonts w:ascii="Times New Roman" w:eastAsia="Times New Roman" w:hAnsi="Times New Roman" w:cs="Times New Roman"/>
          <w:sz w:val="24"/>
          <w:szCs w:val="24"/>
        </w:rPr>
        <w:t>Moskalimin e çështjes për shqyrtim në seancë plenare.</w:t>
      </w:r>
    </w:p>
    <w:p w:rsidR="00463C5A" w:rsidRPr="00225AAA" w:rsidRDefault="00463C5A" w:rsidP="00826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F5D" w:rsidRPr="00225AAA" w:rsidRDefault="00872F5D" w:rsidP="00826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2F5D" w:rsidRPr="00225AAA" w:rsidSect="00C40731">
      <w:footerReference w:type="default" r:id="rId8"/>
      <w:footerReference w:type="firs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26" w:rsidRDefault="00971E26" w:rsidP="00DF162C">
      <w:pPr>
        <w:spacing w:after="0" w:line="240" w:lineRule="auto"/>
      </w:pPr>
      <w:r>
        <w:separator/>
      </w:r>
    </w:p>
  </w:endnote>
  <w:endnote w:type="continuationSeparator" w:id="1">
    <w:p w:rsidR="00971E26" w:rsidRDefault="00971E26" w:rsidP="00D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958"/>
      <w:docPartObj>
        <w:docPartGallery w:val="Page Numbers (Bottom of Page)"/>
        <w:docPartUnique/>
      </w:docPartObj>
    </w:sdtPr>
    <w:sdtContent>
      <w:p w:rsidR="00DD6E2F" w:rsidRDefault="00CA4DD0">
        <w:pPr>
          <w:pStyle w:val="Footer"/>
          <w:jc w:val="right"/>
        </w:pPr>
        <w:fldSimple w:instr=" PAGE   \* MERGEFORMAT ">
          <w:r w:rsidR="00241B16">
            <w:rPr>
              <w:noProof/>
            </w:rPr>
            <w:t>7</w:t>
          </w:r>
        </w:fldSimple>
      </w:p>
    </w:sdtContent>
  </w:sdt>
  <w:p w:rsidR="000545A0" w:rsidRDefault="00971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3786"/>
      <w:docPartObj>
        <w:docPartGallery w:val="Page Numbers (Bottom of Page)"/>
        <w:docPartUnique/>
      </w:docPartObj>
    </w:sdtPr>
    <w:sdtContent>
      <w:p w:rsidR="00CF3509" w:rsidRDefault="00CA4DD0">
        <w:pPr>
          <w:pStyle w:val="Footer"/>
          <w:jc w:val="right"/>
        </w:pPr>
        <w:r>
          <w:fldChar w:fldCharType="begin"/>
        </w:r>
        <w:r w:rsidR="00F72EC0">
          <w:instrText xml:space="preserve"> PAGE   \* MERGEFORMAT </w:instrText>
        </w:r>
        <w:r>
          <w:fldChar w:fldCharType="separate"/>
        </w:r>
        <w:r w:rsidR="00241B16">
          <w:rPr>
            <w:noProof/>
          </w:rPr>
          <w:t>1</w:t>
        </w:r>
        <w:r>
          <w:fldChar w:fldCharType="end"/>
        </w:r>
      </w:p>
    </w:sdtContent>
  </w:sdt>
  <w:p w:rsidR="00CF3509" w:rsidRDefault="00971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26" w:rsidRDefault="00971E26" w:rsidP="00DF162C">
      <w:pPr>
        <w:spacing w:after="0" w:line="240" w:lineRule="auto"/>
      </w:pPr>
      <w:r>
        <w:separator/>
      </w:r>
    </w:p>
  </w:footnote>
  <w:footnote w:type="continuationSeparator" w:id="1">
    <w:p w:rsidR="00971E26" w:rsidRDefault="00971E26" w:rsidP="00DF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6B5"/>
    <w:multiLevelType w:val="hybridMultilevel"/>
    <w:tmpl w:val="4F8E8B34"/>
    <w:lvl w:ilvl="0" w:tplc="CCE04D14">
      <w:start w:val="2"/>
      <w:numFmt w:val="upperLetter"/>
      <w:lvlText w:val="%1."/>
      <w:lvlJc w:val="left"/>
      <w:pPr>
        <w:ind w:left="13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24D1C2E"/>
    <w:multiLevelType w:val="hybridMultilevel"/>
    <w:tmpl w:val="217E341A"/>
    <w:lvl w:ilvl="0" w:tplc="8FC633A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5A"/>
    <w:rsid w:val="000B0ABE"/>
    <w:rsid w:val="001304DB"/>
    <w:rsid w:val="001660CD"/>
    <w:rsid w:val="00197B66"/>
    <w:rsid w:val="001F4CC8"/>
    <w:rsid w:val="00202AC5"/>
    <w:rsid w:val="00225AAA"/>
    <w:rsid w:val="00241B16"/>
    <w:rsid w:val="0026215E"/>
    <w:rsid w:val="00277164"/>
    <w:rsid w:val="0029219D"/>
    <w:rsid w:val="002C3DA7"/>
    <w:rsid w:val="00301628"/>
    <w:rsid w:val="00347A84"/>
    <w:rsid w:val="00397A33"/>
    <w:rsid w:val="00404556"/>
    <w:rsid w:val="00431C7E"/>
    <w:rsid w:val="00463C5A"/>
    <w:rsid w:val="0049590B"/>
    <w:rsid w:val="00520B3F"/>
    <w:rsid w:val="00551E1F"/>
    <w:rsid w:val="005E25E1"/>
    <w:rsid w:val="0060194E"/>
    <w:rsid w:val="00601A5F"/>
    <w:rsid w:val="00616562"/>
    <w:rsid w:val="00636B0F"/>
    <w:rsid w:val="006606AC"/>
    <w:rsid w:val="006D4F95"/>
    <w:rsid w:val="006E761E"/>
    <w:rsid w:val="00745EB5"/>
    <w:rsid w:val="007849DC"/>
    <w:rsid w:val="00786B02"/>
    <w:rsid w:val="007B45CE"/>
    <w:rsid w:val="007C734F"/>
    <w:rsid w:val="007E220C"/>
    <w:rsid w:val="008267DB"/>
    <w:rsid w:val="008533C0"/>
    <w:rsid w:val="008614FE"/>
    <w:rsid w:val="008645CC"/>
    <w:rsid w:val="00872F5D"/>
    <w:rsid w:val="008A121C"/>
    <w:rsid w:val="008D1E8A"/>
    <w:rsid w:val="00971E26"/>
    <w:rsid w:val="009A6E92"/>
    <w:rsid w:val="009C2925"/>
    <w:rsid w:val="009D27B5"/>
    <w:rsid w:val="00A333D4"/>
    <w:rsid w:val="00AB3D20"/>
    <w:rsid w:val="00AE571B"/>
    <w:rsid w:val="00B27B6D"/>
    <w:rsid w:val="00B87D5B"/>
    <w:rsid w:val="00BE15C3"/>
    <w:rsid w:val="00C22AD9"/>
    <w:rsid w:val="00C2471B"/>
    <w:rsid w:val="00C40731"/>
    <w:rsid w:val="00C52ADE"/>
    <w:rsid w:val="00C84638"/>
    <w:rsid w:val="00C94EDB"/>
    <w:rsid w:val="00CA4DD0"/>
    <w:rsid w:val="00D33E3B"/>
    <w:rsid w:val="00D70806"/>
    <w:rsid w:val="00DB214D"/>
    <w:rsid w:val="00DD6E2F"/>
    <w:rsid w:val="00DE0673"/>
    <w:rsid w:val="00DF162C"/>
    <w:rsid w:val="00DF6219"/>
    <w:rsid w:val="00E97128"/>
    <w:rsid w:val="00EB7CC0"/>
    <w:rsid w:val="00EC2560"/>
    <w:rsid w:val="00EE1124"/>
    <w:rsid w:val="00F57907"/>
    <w:rsid w:val="00F72EC0"/>
    <w:rsid w:val="00FC287D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5A"/>
  </w:style>
  <w:style w:type="paragraph" w:styleId="ListParagraph">
    <w:name w:val="List Paragraph"/>
    <w:basedOn w:val="Normal"/>
    <w:link w:val="ListParagraphChar"/>
    <w:uiPriority w:val="34"/>
    <w:qFormat/>
    <w:rsid w:val="0046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C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5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67DB"/>
    <w:pPr>
      <w:spacing w:after="120" w:line="480" w:lineRule="auto"/>
      <w:ind w:left="283"/>
    </w:pPr>
    <w:rPr>
      <w:rFonts w:ascii="Calibri" w:eastAsia="Calibri" w:hAnsi="Calibri" w:cs="Times New Roman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67DB"/>
    <w:rPr>
      <w:rFonts w:ascii="Calibri" w:eastAsia="Calibri" w:hAnsi="Calibri" w:cs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E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E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E1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5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C7BB-D7A4-479E-898D-4147586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KOSTANDIN DHIMITRI</vt:lpstr>
    </vt:vector>
  </TitlesOfParts>
  <Company>Microsoft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KOSTANDIN DHIMITRI</dc:title>
  <dc:subject>Dt. 29.02.2016</dc:subject>
  <dc:creator>Gani DIZDARI</dc:creator>
  <cp:lastModifiedBy>user</cp:lastModifiedBy>
  <cp:revision>4</cp:revision>
  <cp:lastPrinted>2016-03-29T08:48:00Z</cp:lastPrinted>
  <dcterms:created xsi:type="dcterms:W3CDTF">2016-03-16T12:18:00Z</dcterms:created>
  <dcterms:modified xsi:type="dcterms:W3CDTF">2016-03-29T08:51:00Z</dcterms:modified>
</cp:coreProperties>
</file>