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0A0" w:rsidRPr="006B6760" w:rsidRDefault="00ED31EC" w:rsidP="00ED00A0">
      <w:pPr>
        <w:keepNext/>
        <w:spacing w:after="0" w:line="360" w:lineRule="auto"/>
        <w:jc w:val="center"/>
        <w:outlineLvl w:val="3"/>
        <w:rPr>
          <w:rFonts w:ascii="Times New Roman" w:eastAsia="Times New Roman" w:hAnsi="Times New Roman" w:cs="Times New Roman"/>
          <w:b/>
          <w:bCs/>
          <w:sz w:val="24"/>
          <w:szCs w:val="24"/>
          <w:lang w:val="sq-AL"/>
        </w:rPr>
      </w:pPr>
      <w:r w:rsidRPr="006B6760">
        <w:rPr>
          <w:rFonts w:ascii="Times New Roman" w:hAnsi="Times New Roman" w:cs="Times New Roman"/>
          <w:b/>
          <w:bCs/>
          <w:sz w:val="24"/>
          <w:szCs w:val="24"/>
          <w:lang w:val="sq-AL"/>
        </w:rPr>
        <w:t>V</w:t>
      </w:r>
      <w:r w:rsidR="00ED00A0">
        <w:rPr>
          <w:rFonts w:ascii="Times New Roman" w:hAnsi="Times New Roman" w:cs="Times New Roman"/>
          <w:b/>
          <w:bCs/>
          <w:sz w:val="24"/>
          <w:szCs w:val="24"/>
          <w:lang w:val="sq-AL"/>
        </w:rPr>
        <w:t>endim nr. 126 dat</w:t>
      </w:r>
      <w:r w:rsidR="00ED00A0" w:rsidRPr="00C73968">
        <w:rPr>
          <w:rFonts w:ascii="Times New Roman" w:eastAsia="Times New Roman" w:hAnsi="Times New Roman" w:cs="Times New Roman"/>
          <w:b/>
          <w:bCs/>
          <w:sz w:val="24"/>
          <w:szCs w:val="24"/>
          <w:lang w:val="sq-AL"/>
        </w:rPr>
        <w:t xml:space="preserve">ë </w:t>
      </w:r>
      <w:r w:rsidR="00ED00A0">
        <w:rPr>
          <w:rFonts w:ascii="Times New Roman" w:eastAsia="Times New Roman" w:hAnsi="Times New Roman" w:cs="Times New Roman"/>
          <w:b/>
          <w:bCs/>
          <w:sz w:val="24"/>
          <w:szCs w:val="24"/>
          <w:lang w:val="sq-AL"/>
        </w:rPr>
        <w:t>01.07.</w:t>
      </w:r>
      <w:r w:rsidR="00ED00A0" w:rsidRPr="00C73968">
        <w:rPr>
          <w:rFonts w:ascii="Times New Roman" w:hAnsi="Times New Roman" w:cs="Times New Roman"/>
          <w:b/>
          <w:sz w:val="24"/>
          <w:szCs w:val="24"/>
          <w:lang w:val="sq-AL"/>
        </w:rPr>
        <w:t>2016</w:t>
      </w:r>
    </w:p>
    <w:p w:rsidR="00ED31EC" w:rsidRPr="006B6760" w:rsidRDefault="00ED31EC" w:rsidP="00ED31EC">
      <w:pPr>
        <w:spacing w:after="0" w:line="360" w:lineRule="auto"/>
        <w:jc w:val="center"/>
        <w:rPr>
          <w:rFonts w:ascii="Times New Roman" w:hAnsi="Times New Roman" w:cs="Times New Roman"/>
          <w:b/>
          <w:bCs/>
          <w:sz w:val="24"/>
          <w:szCs w:val="24"/>
          <w:lang w:val="sq-AL"/>
        </w:rPr>
      </w:pPr>
    </w:p>
    <w:p w:rsidR="00ED31EC" w:rsidRPr="006B6760" w:rsidRDefault="00ED31EC" w:rsidP="00ED31EC">
      <w:pPr>
        <w:tabs>
          <w:tab w:val="left" w:pos="0"/>
          <w:tab w:val="left" w:pos="720"/>
        </w:tabs>
        <w:spacing w:after="0" w:line="360" w:lineRule="auto"/>
        <w:jc w:val="both"/>
        <w:rPr>
          <w:rFonts w:ascii="Times New Roman" w:hAnsi="Times New Roman" w:cs="Times New Roman"/>
          <w:sz w:val="24"/>
          <w:szCs w:val="24"/>
          <w:lang w:val="sq-AL"/>
        </w:rPr>
      </w:pPr>
      <w:r w:rsidRPr="006B6760">
        <w:rPr>
          <w:rFonts w:ascii="Times New Roman" w:hAnsi="Times New Roman" w:cs="Times New Roman"/>
          <w:sz w:val="24"/>
          <w:szCs w:val="24"/>
          <w:lang w:val="sq-AL"/>
        </w:rPr>
        <w:tab/>
        <w:t>Kolegji i Gjykatës Kushtetuese të Republikës së Shqipërisë, i përbërë nga:</w:t>
      </w:r>
    </w:p>
    <w:p w:rsidR="00ED31EC" w:rsidRPr="006B6760" w:rsidRDefault="00ED31EC" w:rsidP="00ED31EC">
      <w:pPr>
        <w:tabs>
          <w:tab w:val="left" w:pos="1440"/>
        </w:tabs>
        <w:spacing w:after="0" w:line="360" w:lineRule="auto"/>
        <w:ind w:left="720"/>
        <w:rPr>
          <w:rFonts w:ascii="Times New Roman" w:hAnsi="Times New Roman" w:cs="Times New Roman"/>
          <w:sz w:val="24"/>
          <w:szCs w:val="24"/>
          <w:lang w:val="sq-AL"/>
        </w:rPr>
      </w:pPr>
    </w:p>
    <w:p w:rsidR="00ED31EC" w:rsidRPr="006B6760" w:rsidRDefault="00ED31EC" w:rsidP="00ED31EC">
      <w:pPr>
        <w:tabs>
          <w:tab w:val="left" w:pos="1440"/>
        </w:tabs>
        <w:spacing w:after="0" w:line="360" w:lineRule="auto"/>
        <w:ind w:left="720"/>
        <w:rPr>
          <w:rFonts w:ascii="Times New Roman" w:hAnsi="Times New Roman" w:cs="Times New Roman"/>
          <w:sz w:val="24"/>
          <w:szCs w:val="24"/>
          <w:lang w:val="sq-AL"/>
        </w:rPr>
      </w:pPr>
      <w:r w:rsidRPr="006B6760">
        <w:rPr>
          <w:rFonts w:ascii="Times New Roman" w:hAnsi="Times New Roman" w:cs="Times New Roman"/>
          <w:sz w:val="24"/>
          <w:szCs w:val="24"/>
          <w:lang w:val="sq-AL"/>
        </w:rPr>
        <w:t>Sokol Berberi,           Anëtar</w:t>
      </w:r>
      <w:r w:rsidRPr="006B6760">
        <w:rPr>
          <w:rFonts w:ascii="Times New Roman" w:hAnsi="Times New Roman" w:cs="Times New Roman"/>
          <w:sz w:val="24"/>
          <w:szCs w:val="24"/>
          <w:lang w:val="sq-AL"/>
        </w:rPr>
        <w:tab/>
        <w:t xml:space="preserve">  </w:t>
      </w:r>
      <w:r w:rsidR="006B6760" w:rsidRPr="006B6760">
        <w:rPr>
          <w:rFonts w:ascii="Times New Roman" w:hAnsi="Times New Roman" w:cs="Times New Roman"/>
          <w:sz w:val="24"/>
          <w:szCs w:val="24"/>
          <w:lang w:val="sq-AL"/>
        </w:rPr>
        <w:t xml:space="preserve"> </w:t>
      </w:r>
      <w:r w:rsidRPr="006B6760">
        <w:rPr>
          <w:rFonts w:ascii="Times New Roman" w:hAnsi="Times New Roman" w:cs="Times New Roman"/>
          <w:sz w:val="24"/>
          <w:szCs w:val="24"/>
          <w:lang w:val="sq-AL"/>
        </w:rPr>
        <w:t>i  Gjykatës Kushtetuese</w:t>
      </w:r>
    </w:p>
    <w:p w:rsidR="00ED31EC" w:rsidRPr="006B6760" w:rsidRDefault="00ED31EC" w:rsidP="00ED31EC">
      <w:pPr>
        <w:tabs>
          <w:tab w:val="left" w:pos="2790"/>
          <w:tab w:val="left" w:pos="2880"/>
        </w:tabs>
        <w:spacing w:after="0" w:line="360" w:lineRule="auto"/>
        <w:ind w:left="720"/>
        <w:rPr>
          <w:rFonts w:ascii="Times New Roman" w:hAnsi="Times New Roman" w:cs="Times New Roman"/>
          <w:sz w:val="24"/>
          <w:szCs w:val="24"/>
          <w:lang w:val="sq-AL"/>
        </w:rPr>
      </w:pPr>
      <w:r w:rsidRPr="006B6760">
        <w:rPr>
          <w:rFonts w:ascii="Times New Roman" w:hAnsi="Times New Roman" w:cs="Times New Roman"/>
          <w:sz w:val="24"/>
          <w:szCs w:val="24"/>
          <w:lang w:val="sq-AL"/>
        </w:rPr>
        <w:t>Altina Xhoxhaj,         Anëtare   e</w:t>
      </w:r>
      <w:r w:rsidRPr="006B6760">
        <w:rPr>
          <w:rFonts w:ascii="Times New Roman" w:hAnsi="Times New Roman" w:cs="Times New Roman"/>
          <w:sz w:val="24"/>
          <w:szCs w:val="24"/>
          <w:lang w:val="sq-AL"/>
        </w:rPr>
        <w:tab/>
        <w:t xml:space="preserve">   “</w:t>
      </w:r>
      <w:r w:rsidRPr="006B6760">
        <w:rPr>
          <w:rFonts w:ascii="Times New Roman" w:hAnsi="Times New Roman" w:cs="Times New Roman"/>
          <w:sz w:val="24"/>
          <w:szCs w:val="24"/>
          <w:lang w:val="sq-AL"/>
        </w:rPr>
        <w:tab/>
      </w:r>
      <w:r w:rsidRPr="006B6760">
        <w:rPr>
          <w:rFonts w:ascii="Times New Roman" w:hAnsi="Times New Roman" w:cs="Times New Roman"/>
          <w:sz w:val="24"/>
          <w:szCs w:val="24"/>
          <w:lang w:val="sq-AL"/>
        </w:rPr>
        <w:tab/>
        <w:t xml:space="preserve">“ </w:t>
      </w:r>
    </w:p>
    <w:p w:rsidR="00ED31EC" w:rsidRPr="006B6760" w:rsidRDefault="00ED31EC" w:rsidP="00ED31EC">
      <w:pPr>
        <w:tabs>
          <w:tab w:val="left" w:pos="2610"/>
        </w:tabs>
        <w:spacing w:after="0" w:line="360" w:lineRule="auto"/>
        <w:ind w:left="720"/>
        <w:rPr>
          <w:rFonts w:ascii="Times New Roman" w:hAnsi="Times New Roman" w:cs="Times New Roman"/>
          <w:sz w:val="24"/>
          <w:szCs w:val="24"/>
          <w:lang w:val="sq-AL"/>
        </w:rPr>
      </w:pPr>
      <w:r w:rsidRPr="006B6760">
        <w:rPr>
          <w:rFonts w:ascii="Times New Roman" w:hAnsi="Times New Roman" w:cs="Times New Roman"/>
          <w:sz w:val="24"/>
          <w:szCs w:val="24"/>
          <w:lang w:val="sq-AL"/>
        </w:rPr>
        <w:t xml:space="preserve">Gani Dizdari,             Anëtar    </w:t>
      </w:r>
      <w:r w:rsidR="006B6760" w:rsidRPr="006B6760">
        <w:rPr>
          <w:rFonts w:ascii="Times New Roman" w:hAnsi="Times New Roman" w:cs="Times New Roman"/>
          <w:sz w:val="24"/>
          <w:szCs w:val="24"/>
          <w:lang w:val="sq-AL"/>
        </w:rPr>
        <w:t xml:space="preserve"> </w:t>
      </w:r>
      <w:r w:rsidRPr="006B6760">
        <w:rPr>
          <w:rFonts w:ascii="Times New Roman" w:hAnsi="Times New Roman" w:cs="Times New Roman"/>
          <w:sz w:val="24"/>
          <w:szCs w:val="24"/>
          <w:lang w:val="sq-AL"/>
        </w:rPr>
        <w:t>i</w:t>
      </w:r>
      <w:r w:rsidRPr="006B6760">
        <w:rPr>
          <w:rFonts w:ascii="Times New Roman" w:hAnsi="Times New Roman" w:cs="Times New Roman"/>
          <w:sz w:val="24"/>
          <w:szCs w:val="24"/>
          <w:lang w:val="sq-AL"/>
        </w:rPr>
        <w:tab/>
        <w:t xml:space="preserve">   “</w:t>
      </w:r>
      <w:r w:rsidRPr="006B6760">
        <w:rPr>
          <w:rFonts w:ascii="Times New Roman" w:hAnsi="Times New Roman" w:cs="Times New Roman"/>
          <w:sz w:val="24"/>
          <w:szCs w:val="24"/>
          <w:lang w:val="sq-AL"/>
        </w:rPr>
        <w:tab/>
      </w:r>
      <w:r w:rsidRPr="006B6760">
        <w:rPr>
          <w:rFonts w:ascii="Times New Roman" w:hAnsi="Times New Roman" w:cs="Times New Roman"/>
          <w:sz w:val="24"/>
          <w:szCs w:val="24"/>
          <w:lang w:val="sq-AL"/>
        </w:rPr>
        <w:tab/>
        <w:t>“</w:t>
      </w:r>
    </w:p>
    <w:p w:rsidR="00ED31EC" w:rsidRPr="006B6760" w:rsidRDefault="00ED31EC" w:rsidP="00ED31EC">
      <w:pPr>
        <w:spacing w:after="0" w:line="360" w:lineRule="auto"/>
        <w:rPr>
          <w:rFonts w:ascii="Times New Roman" w:hAnsi="Times New Roman" w:cs="Times New Roman"/>
          <w:sz w:val="24"/>
          <w:szCs w:val="24"/>
          <w:lang w:val="sq-AL"/>
        </w:rPr>
      </w:pPr>
    </w:p>
    <w:p w:rsidR="00ED31EC" w:rsidRPr="006B6760" w:rsidRDefault="00ED31EC" w:rsidP="00ED31EC">
      <w:pPr>
        <w:spacing w:after="0" w:line="360" w:lineRule="auto"/>
        <w:jc w:val="both"/>
        <w:rPr>
          <w:rFonts w:ascii="Times New Roman" w:hAnsi="Times New Roman" w:cs="Times New Roman"/>
          <w:sz w:val="24"/>
          <w:szCs w:val="24"/>
          <w:lang w:val="sq-AL"/>
        </w:rPr>
      </w:pPr>
      <w:r w:rsidRPr="006B6760">
        <w:rPr>
          <w:rFonts w:ascii="Times New Roman" w:hAnsi="Times New Roman" w:cs="Times New Roman"/>
          <w:sz w:val="24"/>
          <w:szCs w:val="24"/>
          <w:lang w:val="sq-AL"/>
        </w:rPr>
        <w:t xml:space="preserve">në datën </w:t>
      </w:r>
      <w:r w:rsidR="000D3B47" w:rsidRPr="006B6760">
        <w:rPr>
          <w:rFonts w:ascii="Times New Roman" w:hAnsi="Times New Roman" w:cs="Times New Roman"/>
          <w:sz w:val="24"/>
          <w:szCs w:val="24"/>
          <w:lang w:val="sq-AL"/>
        </w:rPr>
        <w:t>01.07</w:t>
      </w:r>
      <w:r w:rsidR="00E0630C">
        <w:rPr>
          <w:rFonts w:ascii="Times New Roman" w:hAnsi="Times New Roman" w:cs="Times New Roman"/>
          <w:sz w:val="24"/>
          <w:szCs w:val="24"/>
          <w:lang w:val="sq-AL"/>
        </w:rPr>
        <w:t>.2016</w:t>
      </w:r>
      <w:r w:rsidRPr="006B6760">
        <w:rPr>
          <w:rFonts w:ascii="Times New Roman" w:hAnsi="Times New Roman" w:cs="Times New Roman"/>
          <w:sz w:val="24"/>
          <w:szCs w:val="24"/>
          <w:lang w:val="sq-AL"/>
        </w:rPr>
        <w:t xml:space="preserve"> mori në shqyrtim paraprak kërkesën me </w:t>
      </w:r>
      <w:r w:rsidR="00DE7B09">
        <w:rPr>
          <w:rFonts w:ascii="Times New Roman" w:hAnsi="Times New Roman" w:cs="Times New Roman"/>
          <w:sz w:val="24"/>
          <w:szCs w:val="24"/>
          <w:lang w:val="sq-AL"/>
        </w:rPr>
        <w:t>nr.</w:t>
      </w:r>
      <w:r w:rsidR="000D3B47" w:rsidRPr="00DE7B09">
        <w:rPr>
          <w:rFonts w:ascii="Times New Roman" w:hAnsi="Times New Roman" w:cs="Times New Roman"/>
          <w:sz w:val="24"/>
          <w:szCs w:val="24"/>
          <w:lang w:val="sq-AL"/>
        </w:rPr>
        <w:t xml:space="preserve">126 </w:t>
      </w:r>
      <w:r w:rsidRPr="00DE7B09">
        <w:rPr>
          <w:rFonts w:ascii="Times New Roman" w:hAnsi="Times New Roman" w:cs="Times New Roman"/>
          <w:sz w:val="24"/>
          <w:szCs w:val="24"/>
          <w:lang w:val="sq-AL"/>
        </w:rPr>
        <w:t>Akti, që i</w:t>
      </w:r>
      <w:r w:rsidRPr="006B6760">
        <w:rPr>
          <w:rFonts w:ascii="Times New Roman" w:hAnsi="Times New Roman" w:cs="Times New Roman"/>
          <w:sz w:val="24"/>
          <w:szCs w:val="24"/>
          <w:lang w:val="sq-AL"/>
        </w:rPr>
        <w:t xml:space="preserve"> përket:</w:t>
      </w:r>
    </w:p>
    <w:p w:rsidR="000D3B47" w:rsidRPr="006B6760" w:rsidRDefault="000D3B47" w:rsidP="00ED31EC">
      <w:pPr>
        <w:spacing w:after="0" w:line="360" w:lineRule="auto"/>
        <w:jc w:val="both"/>
        <w:rPr>
          <w:rFonts w:ascii="Times New Roman" w:hAnsi="Times New Roman" w:cs="Times New Roman"/>
          <w:b/>
          <w:sz w:val="24"/>
          <w:szCs w:val="24"/>
          <w:lang w:val="sq-AL"/>
        </w:rPr>
      </w:pPr>
    </w:p>
    <w:p w:rsidR="00ED31EC" w:rsidRPr="006B6760" w:rsidRDefault="00ED31EC" w:rsidP="006B6760">
      <w:pPr>
        <w:tabs>
          <w:tab w:val="left" w:pos="1710"/>
          <w:tab w:val="left" w:pos="1800"/>
        </w:tabs>
        <w:spacing w:after="0" w:line="360" w:lineRule="auto"/>
        <w:ind w:firstLine="720"/>
        <w:rPr>
          <w:rFonts w:ascii="Times New Roman" w:hAnsi="Times New Roman" w:cs="Times New Roman"/>
          <w:b/>
          <w:sz w:val="24"/>
          <w:szCs w:val="24"/>
          <w:lang w:val="sq-AL"/>
        </w:rPr>
      </w:pPr>
      <w:r w:rsidRPr="006B6760">
        <w:rPr>
          <w:rFonts w:ascii="Times New Roman" w:hAnsi="Times New Roman" w:cs="Times New Roman"/>
          <w:b/>
          <w:sz w:val="24"/>
          <w:szCs w:val="24"/>
          <w:lang w:val="sq-AL"/>
        </w:rPr>
        <w:t>KËRKUES:</w:t>
      </w:r>
      <w:r w:rsidRPr="006B6760">
        <w:rPr>
          <w:rFonts w:ascii="Times New Roman" w:hAnsi="Times New Roman" w:cs="Times New Roman"/>
          <w:sz w:val="24"/>
          <w:szCs w:val="24"/>
          <w:lang w:val="sq-AL"/>
        </w:rPr>
        <w:tab/>
        <w:t xml:space="preserve">  </w:t>
      </w:r>
      <w:r w:rsidRPr="006B6760">
        <w:rPr>
          <w:rFonts w:ascii="Times New Roman" w:hAnsi="Times New Roman" w:cs="Times New Roman"/>
          <w:sz w:val="24"/>
          <w:szCs w:val="24"/>
          <w:lang w:val="sq-AL"/>
        </w:rPr>
        <w:tab/>
      </w:r>
      <w:r w:rsidR="005E7AA2" w:rsidRPr="006B6760">
        <w:rPr>
          <w:rFonts w:ascii="Times New Roman" w:hAnsi="Times New Roman" w:cs="Times New Roman"/>
          <w:b/>
          <w:sz w:val="24"/>
          <w:szCs w:val="24"/>
          <w:lang w:val="sq-AL"/>
        </w:rPr>
        <w:t>ETMOND BUSHAJ</w:t>
      </w:r>
    </w:p>
    <w:p w:rsidR="00ED31EC" w:rsidRPr="006B6760" w:rsidRDefault="00ED31EC" w:rsidP="00ED31EC">
      <w:pPr>
        <w:spacing w:after="0" w:line="360" w:lineRule="auto"/>
        <w:jc w:val="both"/>
        <w:rPr>
          <w:rFonts w:ascii="Times New Roman" w:hAnsi="Times New Roman" w:cs="Times New Roman"/>
          <w:b/>
          <w:sz w:val="24"/>
          <w:szCs w:val="24"/>
          <w:lang w:val="sq-AL"/>
        </w:rPr>
      </w:pPr>
    </w:p>
    <w:p w:rsidR="00ED31EC" w:rsidRPr="006B6760" w:rsidRDefault="00ED31EC" w:rsidP="006B6760">
      <w:pPr>
        <w:spacing w:after="0" w:line="360" w:lineRule="auto"/>
        <w:ind w:firstLine="720"/>
        <w:jc w:val="both"/>
        <w:rPr>
          <w:rFonts w:ascii="Times New Roman" w:hAnsi="Times New Roman" w:cs="Times New Roman"/>
          <w:b/>
          <w:sz w:val="24"/>
          <w:szCs w:val="24"/>
          <w:lang w:val="sq-AL"/>
        </w:rPr>
      </w:pPr>
      <w:r w:rsidRPr="006B6760">
        <w:rPr>
          <w:rFonts w:ascii="Times New Roman" w:hAnsi="Times New Roman" w:cs="Times New Roman"/>
          <w:b/>
          <w:sz w:val="24"/>
          <w:szCs w:val="24"/>
          <w:lang w:val="sq-AL"/>
        </w:rPr>
        <w:t>SUBJEKT I INTERESUAR:</w:t>
      </w:r>
    </w:p>
    <w:p w:rsidR="00ED31EC" w:rsidRPr="006B6760" w:rsidRDefault="00ED31EC" w:rsidP="006B6760">
      <w:pPr>
        <w:spacing w:after="0" w:line="360" w:lineRule="auto"/>
        <w:ind w:left="2520" w:firstLine="360"/>
        <w:jc w:val="both"/>
        <w:rPr>
          <w:rFonts w:ascii="Times New Roman" w:hAnsi="Times New Roman" w:cs="Times New Roman"/>
          <w:b/>
          <w:sz w:val="24"/>
          <w:szCs w:val="24"/>
          <w:lang w:val="sq-AL"/>
        </w:rPr>
      </w:pPr>
      <w:r w:rsidRPr="006B6760">
        <w:rPr>
          <w:rFonts w:ascii="Times New Roman" w:hAnsi="Times New Roman" w:cs="Times New Roman"/>
          <w:b/>
          <w:sz w:val="24"/>
          <w:szCs w:val="24"/>
          <w:lang w:val="sq-AL"/>
        </w:rPr>
        <w:t>PROKURORIA E PË</w:t>
      </w:r>
      <w:r w:rsidR="005E7AA2" w:rsidRPr="006B6760">
        <w:rPr>
          <w:rFonts w:ascii="Times New Roman" w:hAnsi="Times New Roman" w:cs="Times New Roman"/>
          <w:b/>
          <w:sz w:val="24"/>
          <w:szCs w:val="24"/>
          <w:lang w:val="sq-AL"/>
        </w:rPr>
        <w:t xml:space="preserve">RGJITHSHME </w:t>
      </w:r>
    </w:p>
    <w:p w:rsidR="00ED31EC" w:rsidRPr="006B6760" w:rsidRDefault="00ED31EC" w:rsidP="00ED31EC">
      <w:pPr>
        <w:tabs>
          <w:tab w:val="left" w:pos="0"/>
          <w:tab w:val="left" w:pos="1620"/>
        </w:tabs>
        <w:spacing w:after="0" w:line="360" w:lineRule="auto"/>
        <w:rPr>
          <w:rFonts w:ascii="Times New Roman" w:hAnsi="Times New Roman" w:cs="Times New Roman"/>
          <w:b/>
          <w:sz w:val="24"/>
          <w:szCs w:val="24"/>
          <w:lang w:val="sq-AL"/>
        </w:rPr>
      </w:pPr>
    </w:p>
    <w:p w:rsidR="00ED31EC" w:rsidRPr="006B6760" w:rsidRDefault="00ED31EC" w:rsidP="006B6760">
      <w:pPr>
        <w:tabs>
          <w:tab w:val="left" w:pos="0"/>
        </w:tabs>
        <w:spacing w:after="0" w:line="360" w:lineRule="auto"/>
        <w:ind w:left="2880" w:hanging="2160"/>
        <w:jc w:val="both"/>
        <w:rPr>
          <w:rFonts w:ascii="Times New Roman" w:hAnsi="Times New Roman" w:cs="Times New Roman"/>
          <w:b/>
          <w:sz w:val="24"/>
          <w:szCs w:val="24"/>
          <w:lang w:val="sq-AL"/>
        </w:rPr>
      </w:pPr>
      <w:r w:rsidRPr="006B6760">
        <w:rPr>
          <w:rFonts w:ascii="Times New Roman" w:hAnsi="Times New Roman" w:cs="Times New Roman"/>
          <w:b/>
          <w:sz w:val="24"/>
          <w:szCs w:val="24"/>
          <w:lang w:val="sq-AL"/>
        </w:rPr>
        <w:t>OBJEKTI:</w:t>
      </w:r>
      <w:r w:rsidRPr="006B6760">
        <w:rPr>
          <w:rFonts w:ascii="Times New Roman" w:hAnsi="Times New Roman" w:cs="Times New Roman"/>
          <w:b/>
          <w:sz w:val="24"/>
          <w:szCs w:val="24"/>
          <w:lang w:val="sq-AL"/>
        </w:rPr>
        <w:tab/>
        <w:t xml:space="preserve">Shfuqizimi si </w:t>
      </w:r>
      <w:r w:rsidR="005E7AA2" w:rsidRPr="006B6760">
        <w:rPr>
          <w:rFonts w:ascii="Times New Roman" w:hAnsi="Times New Roman" w:cs="Times New Roman"/>
          <w:b/>
          <w:sz w:val="24"/>
          <w:szCs w:val="24"/>
          <w:lang w:val="sq-AL"/>
        </w:rPr>
        <w:t>i</w:t>
      </w:r>
      <w:r w:rsidRPr="006B6760">
        <w:rPr>
          <w:rFonts w:ascii="Times New Roman" w:hAnsi="Times New Roman" w:cs="Times New Roman"/>
          <w:b/>
          <w:sz w:val="24"/>
          <w:szCs w:val="24"/>
          <w:lang w:val="sq-AL"/>
        </w:rPr>
        <w:t xml:space="preserve"> papajtueshëm me Kushtetutën e Republikës së Shqipërisë</w:t>
      </w:r>
      <w:r w:rsidR="005E7AA2" w:rsidRPr="006B6760">
        <w:rPr>
          <w:rFonts w:ascii="Times New Roman" w:hAnsi="Times New Roman" w:cs="Times New Roman"/>
          <w:b/>
          <w:sz w:val="24"/>
          <w:szCs w:val="24"/>
          <w:lang w:val="sq-AL"/>
        </w:rPr>
        <w:t xml:space="preserve"> i vendimit nr. 00-2016-66, datë 28.01.2016 të Kolegjit Penal të Gjykatës së Lartë.  </w:t>
      </w:r>
    </w:p>
    <w:p w:rsidR="005E7AA2" w:rsidRPr="006B6760" w:rsidRDefault="005E7AA2" w:rsidP="005E7AA2">
      <w:pPr>
        <w:tabs>
          <w:tab w:val="left" w:pos="0"/>
        </w:tabs>
        <w:spacing w:after="0" w:line="360" w:lineRule="auto"/>
        <w:ind w:left="2160" w:hanging="2160"/>
        <w:jc w:val="both"/>
        <w:rPr>
          <w:rFonts w:ascii="Times New Roman" w:hAnsi="Times New Roman" w:cs="Times New Roman"/>
          <w:b/>
          <w:sz w:val="24"/>
          <w:szCs w:val="24"/>
          <w:lang w:val="sq-AL"/>
        </w:rPr>
      </w:pPr>
    </w:p>
    <w:p w:rsidR="00ED31EC" w:rsidRPr="006B6760" w:rsidRDefault="00ED31EC" w:rsidP="006B6760">
      <w:pPr>
        <w:tabs>
          <w:tab w:val="left" w:pos="2880"/>
        </w:tabs>
        <w:spacing w:line="360" w:lineRule="auto"/>
        <w:ind w:left="2880" w:hanging="2160"/>
        <w:jc w:val="both"/>
        <w:rPr>
          <w:rFonts w:ascii="Times New Roman" w:hAnsi="Times New Roman" w:cs="Times New Roman"/>
          <w:sz w:val="24"/>
          <w:szCs w:val="24"/>
          <w:lang w:val="sq-AL"/>
        </w:rPr>
      </w:pPr>
      <w:r w:rsidRPr="006B6760">
        <w:rPr>
          <w:rFonts w:ascii="Times New Roman" w:hAnsi="Times New Roman" w:cs="Times New Roman"/>
          <w:b/>
          <w:sz w:val="24"/>
          <w:szCs w:val="24"/>
          <w:lang w:val="sq-AL"/>
        </w:rPr>
        <w:t>BAZA LIGJORE:</w:t>
      </w:r>
      <w:r w:rsidRPr="006B6760">
        <w:rPr>
          <w:rFonts w:ascii="Times New Roman" w:hAnsi="Times New Roman" w:cs="Times New Roman"/>
          <w:b/>
          <w:sz w:val="24"/>
          <w:szCs w:val="24"/>
          <w:lang w:val="sq-AL"/>
        </w:rPr>
        <w:tab/>
      </w:r>
      <w:r w:rsidRPr="006B6760">
        <w:rPr>
          <w:rFonts w:ascii="Times New Roman" w:hAnsi="Times New Roman" w:cs="Times New Roman"/>
          <w:sz w:val="24"/>
          <w:szCs w:val="24"/>
          <w:lang w:val="sq-AL"/>
        </w:rPr>
        <w:t>Nenet 42, 131/f</w:t>
      </w:r>
      <w:r w:rsidR="005E7AA2" w:rsidRPr="006B6760">
        <w:rPr>
          <w:rFonts w:ascii="Times New Roman" w:hAnsi="Times New Roman" w:cs="Times New Roman"/>
          <w:sz w:val="24"/>
          <w:szCs w:val="24"/>
          <w:lang w:val="sq-AL"/>
        </w:rPr>
        <w:t xml:space="preserve"> dhe</w:t>
      </w:r>
      <w:r w:rsidRPr="006B6760">
        <w:rPr>
          <w:rFonts w:ascii="Times New Roman" w:hAnsi="Times New Roman" w:cs="Times New Roman"/>
          <w:sz w:val="24"/>
          <w:szCs w:val="24"/>
          <w:lang w:val="sq-AL"/>
        </w:rPr>
        <w:t xml:space="preserve"> 134/1/g të Kushtetutës së Republikës së Shqipërisë; nen</w:t>
      </w:r>
      <w:r w:rsidR="00F1537D">
        <w:rPr>
          <w:rFonts w:ascii="Times New Roman" w:hAnsi="Times New Roman" w:cs="Times New Roman"/>
          <w:sz w:val="24"/>
          <w:szCs w:val="24"/>
          <w:lang w:val="sq-AL"/>
        </w:rPr>
        <w:t>i 6 i Konventës Eu</w:t>
      </w:r>
      <w:r w:rsidRPr="006B6760">
        <w:rPr>
          <w:rFonts w:ascii="Times New Roman" w:hAnsi="Times New Roman" w:cs="Times New Roman"/>
          <w:sz w:val="24"/>
          <w:szCs w:val="24"/>
          <w:lang w:val="sq-AL"/>
        </w:rPr>
        <w:t>ropiane për të Drejtat e Njeriut; ligji nr. 8577, datë 10.02.2000 “Për organizimin dhe funksionimin e Gjykatës Kushtetuese të Republikës së Shqipërisë”.</w:t>
      </w:r>
    </w:p>
    <w:p w:rsidR="00ED31EC" w:rsidRPr="006B6760" w:rsidRDefault="00ED31EC" w:rsidP="00ED31EC">
      <w:pPr>
        <w:suppressAutoHyphens/>
        <w:spacing w:after="0" w:line="360" w:lineRule="auto"/>
        <w:ind w:firstLine="720"/>
        <w:jc w:val="both"/>
        <w:outlineLvl w:val="0"/>
        <w:rPr>
          <w:rFonts w:ascii="Times New Roman" w:hAnsi="Times New Roman" w:cs="Times New Roman"/>
          <w:sz w:val="24"/>
          <w:szCs w:val="24"/>
          <w:lang w:val="sq-AL" w:eastAsia="fr-FR"/>
        </w:rPr>
      </w:pPr>
      <w:r w:rsidRPr="006B6760">
        <w:rPr>
          <w:rFonts w:ascii="Times New Roman" w:hAnsi="Times New Roman" w:cs="Times New Roman"/>
          <w:sz w:val="24"/>
          <w:szCs w:val="24"/>
          <w:lang w:val="sq-AL" w:eastAsia="fr-FR"/>
        </w:rPr>
        <w:t xml:space="preserve">Kolegji i Gjykatës Kushtetuese </w:t>
      </w:r>
      <w:r w:rsidRPr="006B6760">
        <w:rPr>
          <w:rFonts w:ascii="Times New Roman" w:hAnsi="Times New Roman" w:cs="Times New Roman"/>
          <w:sz w:val="24"/>
          <w:szCs w:val="24"/>
          <w:lang w:val="sq-AL"/>
        </w:rPr>
        <w:t>(Kolegji)</w:t>
      </w:r>
      <w:r w:rsidRPr="006B6760">
        <w:rPr>
          <w:rFonts w:ascii="Times New Roman" w:hAnsi="Times New Roman" w:cs="Times New Roman"/>
          <w:sz w:val="24"/>
          <w:szCs w:val="24"/>
          <w:lang w:val="sq-AL" w:eastAsia="fr-FR"/>
        </w:rPr>
        <w:t>, pasi shqyrtoi kërkesën, dokumentet shoqëruese dhe diskutoi çështjen në tërësi,</w:t>
      </w:r>
    </w:p>
    <w:p w:rsidR="00AE61E6" w:rsidRPr="006B6760" w:rsidRDefault="00AE61E6" w:rsidP="00ED31EC">
      <w:pPr>
        <w:suppressAutoHyphens/>
        <w:spacing w:after="0" w:line="360" w:lineRule="auto"/>
        <w:ind w:firstLine="720"/>
        <w:jc w:val="both"/>
        <w:outlineLvl w:val="0"/>
        <w:rPr>
          <w:rFonts w:ascii="Times New Roman" w:hAnsi="Times New Roman" w:cs="Times New Roman"/>
          <w:sz w:val="24"/>
          <w:szCs w:val="24"/>
          <w:lang w:val="sq-AL" w:eastAsia="fr-FR"/>
        </w:rPr>
      </w:pPr>
    </w:p>
    <w:p w:rsidR="00ED31EC" w:rsidRPr="006B6760" w:rsidRDefault="00ED31EC" w:rsidP="00ED31EC">
      <w:pPr>
        <w:spacing w:after="0" w:line="360" w:lineRule="auto"/>
        <w:jc w:val="center"/>
        <w:rPr>
          <w:rFonts w:ascii="Times New Roman" w:eastAsia="Times New Roman" w:hAnsi="Times New Roman" w:cs="Times New Roman"/>
          <w:b/>
          <w:bCs/>
          <w:sz w:val="24"/>
          <w:szCs w:val="24"/>
          <w:lang w:val="sq-AL"/>
        </w:rPr>
      </w:pPr>
      <w:r w:rsidRPr="006B6760">
        <w:rPr>
          <w:rFonts w:ascii="Times New Roman" w:eastAsia="Times New Roman" w:hAnsi="Times New Roman" w:cs="Times New Roman"/>
          <w:b/>
          <w:bCs/>
          <w:sz w:val="24"/>
          <w:szCs w:val="24"/>
          <w:lang w:val="sq-AL"/>
        </w:rPr>
        <w:t>V Ë R E N:</w:t>
      </w:r>
    </w:p>
    <w:p w:rsidR="00ED31EC" w:rsidRPr="006B6760" w:rsidRDefault="00ED31EC" w:rsidP="00ED31EC">
      <w:pPr>
        <w:spacing w:after="0" w:line="360" w:lineRule="auto"/>
        <w:jc w:val="center"/>
        <w:rPr>
          <w:rFonts w:ascii="Times New Roman" w:eastAsia="Times New Roman" w:hAnsi="Times New Roman" w:cs="Times New Roman"/>
          <w:b/>
          <w:bCs/>
          <w:sz w:val="24"/>
          <w:szCs w:val="24"/>
          <w:lang w:val="sq-AL"/>
        </w:rPr>
      </w:pPr>
      <w:r w:rsidRPr="006B6760">
        <w:rPr>
          <w:rFonts w:ascii="Times New Roman" w:eastAsia="Times New Roman" w:hAnsi="Times New Roman" w:cs="Times New Roman"/>
          <w:b/>
          <w:bCs/>
          <w:sz w:val="24"/>
          <w:szCs w:val="24"/>
          <w:lang w:val="sq-AL"/>
        </w:rPr>
        <w:t>I</w:t>
      </w:r>
    </w:p>
    <w:p w:rsidR="00AE61E6" w:rsidRPr="006B6760" w:rsidRDefault="00AE61E6" w:rsidP="00AE61E6">
      <w:pPr>
        <w:pStyle w:val="ListParagraph"/>
        <w:numPr>
          <w:ilvl w:val="0"/>
          <w:numId w:val="1"/>
        </w:numPr>
        <w:tabs>
          <w:tab w:val="left" w:pos="1080"/>
          <w:tab w:val="left" w:pos="1170"/>
        </w:tabs>
        <w:spacing w:after="0" w:line="360" w:lineRule="auto"/>
        <w:ind w:left="0" w:firstLine="720"/>
        <w:jc w:val="both"/>
        <w:rPr>
          <w:rFonts w:ascii="Times New Roman" w:hAnsi="Times New Roman" w:cs="Times New Roman"/>
          <w:sz w:val="24"/>
          <w:szCs w:val="24"/>
          <w:lang w:val="sq-AL"/>
        </w:rPr>
      </w:pPr>
      <w:r w:rsidRPr="006B6760">
        <w:rPr>
          <w:rFonts w:ascii="Times New Roman" w:hAnsi="Times New Roman" w:cs="Times New Roman"/>
          <w:bCs/>
          <w:sz w:val="24"/>
          <w:szCs w:val="24"/>
          <w:lang w:val="sq-AL"/>
        </w:rPr>
        <w:t>Gjykata e Rrethit Gjyqësor Durrës, me vendimin nr. 879, datë 15.10.2014</w:t>
      </w:r>
      <w:r w:rsidR="00392A10" w:rsidRPr="006B6760">
        <w:rPr>
          <w:rFonts w:ascii="Times New Roman" w:hAnsi="Times New Roman" w:cs="Times New Roman"/>
          <w:bCs/>
          <w:sz w:val="24"/>
          <w:szCs w:val="24"/>
          <w:lang w:val="sq-AL"/>
        </w:rPr>
        <w:t>,</w:t>
      </w:r>
      <w:r w:rsidRPr="006B6760">
        <w:rPr>
          <w:rFonts w:ascii="Times New Roman" w:hAnsi="Times New Roman" w:cs="Times New Roman"/>
          <w:bCs/>
          <w:sz w:val="24"/>
          <w:szCs w:val="24"/>
          <w:lang w:val="sq-AL"/>
        </w:rPr>
        <w:t xml:space="preserve"> ka vendosur deklarimin fajtor të kërkuesit për kryerjen e veprës</w:t>
      </w:r>
      <w:r w:rsidR="00F1537D">
        <w:rPr>
          <w:rFonts w:ascii="Times New Roman" w:hAnsi="Times New Roman" w:cs="Times New Roman"/>
          <w:bCs/>
          <w:sz w:val="24"/>
          <w:szCs w:val="24"/>
          <w:lang w:val="sq-AL"/>
        </w:rPr>
        <w:t xml:space="preserve"> penale “Moskallëzim të krimit”</w:t>
      </w:r>
      <w:r w:rsidRPr="006B6760">
        <w:rPr>
          <w:rFonts w:ascii="Times New Roman" w:hAnsi="Times New Roman" w:cs="Times New Roman"/>
          <w:bCs/>
          <w:sz w:val="24"/>
          <w:szCs w:val="24"/>
          <w:lang w:val="sq-AL"/>
        </w:rPr>
        <w:t xml:space="preserve"> dhe e ka dënuar me 6 muaj burgim.</w:t>
      </w:r>
    </w:p>
    <w:p w:rsidR="00392A10" w:rsidRPr="006B6760" w:rsidRDefault="00AE61E6" w:rsidP="00392A10">
      <w:pPr>
        <w:pStyle w:val="ListParagraph"/>
        <w:numPr>
          <w:ilvl w:val="0"/>
          <w:numId w:val="1"/>
        </w:numPr>
        <w:tabs>
          <w:tab w:val="left" w:pos="1080"/>
          <w:tab w:val="left" w:pos="1170"/>
        </w:tabs>
        <w:spacing w:after="0" w:line="360" w:lineRule="auto"/>
        <w:ind w:left="0" w:firstLine="720"/>
        <w:jc w:val="both"/>
        <w:rPr>
          <w:rFonts w:ascii="Times New Roman" w:hAnsi="Times New Roman" w:cs="Times New Roman"/>
          <w:sz w:val="24"/>
          <w:szCs w:val="24"/>
          <w:lang w:val="sq-AL"/>
        </w:rPr>
      </w:pPr>
      <w:r w:rsidRPr="006B6760">
        <w:rPr>
          <w:rFonts w:ascii="Times New Roman" w:hAnsi="Times New Roman" w:cs="Times New Roman"/>
          <w:bCs/>
          <w:sz w:val="24"/>
          <w:szCs w:val="24"/>
          <w:lang w:val="sq-AL"/>
        </w:rPr>
        <w:t>Ndaj këtij vendimi ka paraqitur ankim si prokurori</w:t>
      </w:r>
      <w:r w:rsidR="00F1537D">
        <w:rPr>
          <w:rFonts w:ascii="Times New Roman" w:hAnsi="Times New Roman" w:cs="Times New Roman"/>
          <w:bCs/>
          <w:sz w:val="24"/>
          <w:szCs w:val="24"/>
          <w:lang w:val="sq-AL"/>
        </w:rPr>
        <w:t>,</w:t>
      </w:r>
      <w:r w:rsidRPr="006B6760">
        <w:rPr>
          <w:rFonts w:ascii="Times New Roman" w:hAnsi="Times New Roman" w:cs="Times New Roman"/>
          <w:bCs/>
          <w:sz w:val="24"/>
          <w:szCs w:val="24"/>
          <w:lang w:val="sq-AL"/>
        </w:rPr>
        <w:t xml:space="preserve"> ashtu edhe kërkuesi. Gjykata e Apelit Durrës</w:t>
      </w:r>
      <w:r w:rsidR="00392A10" w:rsidRPr="006B6760">
        <w:rPr>
          <w:rFonts w:ascii="Times New Roman" w:hAnsi="Times New Roman" w:cs="Times New Roman"/>
          <w:bCs/>
          <w:sz w:val="24"/>
          <w:szCs w:val="24"/>
          <w:lang w:val="sq-AL"/>
        </w:rPr>
        <w:t>,</w:t>
      </w:r>
      <w:r w:rsidRPr="006B6760">
        <w:rPr>
          <w:rFonts w:ascii="Times New Roman" w:hAnsi="Times New Roman" w:cs="Times New Roman"/>
          <w:bCs/>
          <w:sz w:val="24"/>
          <w:szCs w:val="24"/>
          <w:lang w:val="sq-AL"/>
        </w:rPr>
        <w:t xml:space="preserve"> me vendimin nr. 527, datë 25.06.2015</w:t>
      </w:r>
      <w:r w:rsidR="00392A10" w:rsidRPr="006B6760">
        <w:rPr>
          <w:rFonts w:ascii="Times New Roman" w:hAnsi="Times New Roman" w:cs="Times New Roman"/>
          <w:bCs/>
          <w:sz w:val="24"/>
          <w:szCs w:val="24"/>
          <w:lang w:val="sq-AL"/>
        </w:rPr>
        <w:t>,</w:t>
      </w:r>
      <w:r w:rsidRPr="006B6760">
        <w:rPr>
          <w:rFonts w:ascii="Times New Roman" w:hAnsi="Times New Roman" w:cs="Times New Roman"/>
          <w:bCs/>
          <w:sz w:val="24"/>
          <w:szCs w:val="24"/>
          <w:lang w:val="sq-AL"/>
        </w:rPr>
        <w:t xml:space="preserve"> ka vendosur lënien në fuqi të vendimit nr. 879, datë 15.10.2014 dhe ndryshimin e masës së dënimit për kërkuesin nga 6 muaj në 1 vit e 6 muaj burgim. </w:t>
      </w:r>
    </w:p>
    <w:p w:rsidR="00AE61E6" w:rsidRPr="006B6760" w:rsidRDefault="00AE61E6" w:rsidP="00392A10">
      <w:pPr>
        <w:pStyle w:val="ListParagraph"/>
        <w:numPr>
          <w:ilvl w:val="0"/>
          <w:numId w:val="1"/>
        </w:numPr>
        <w:tabs>
          <w:tab w:val="left" w:pos="1080"/>
          <w:tab w:val="left" w:pos="1170"/>
        </w:tabs>
        <w:spacing w:after="0" w:line="360" w:lineRule="auto"/>
        <w:ind w:left="0" w:firstLine="720"/>
        <w:jc w:val="both"/>
        <w:rPr>
          <w:rFonts w:ascii="Times New Roman" w:hAnsi="Times New Roman" w:cs="Times New Roman"/>
          <w:sz w:val="24"/>
          <w:szCs w:val="24"/>
          <w:lang w:val="sq-AL"/>
        </w:rPr>
      </w:pPr>
      <w:r w:rsidRPr="006B6760">
        <w:rPr>
          <w:rFonts w:ascii="Times New Roman" w:hAnsi="Times New Roman" w:cs="Times New Roman"/>
          <w:bCs/>
          <w:sz w:val="24"/>
          <w:szCs w:val="24"/>
          <w:lang w:val="sq-AL"/>
        </w:rPr>
        <w:t>Kolegji Penal i Gjykatës së Lartë, pas rekursit të ushtruar nga kërkuesi, me vendimin nr. 00-2016-66, datë 28.01.2016</w:t>
      </w:r>
      <w:r w:rsidR="00F1537D">
        <w:rPr>
          <w:rFonts w:ascii="Times New Roman" w:hAnsi="Times New Roman" w:cs="Times New Roman"/>
          <w:bCs/>
          <w:sz w:val="24"/>
          <w:szCs w:val="24"/>
          <w:lang w:val="sq-AL"/>
        </w:rPr>
        <w:t>,</w:t>
      </w:r>
      <w:r w:rsidRPr="006B6760">
        <w:rPr>
          <w:rFonts w:ascii="Times New Roman" w:hAnsi="Times New Roman" w:cs="Times New Roman"/>
          <w:bCs/>
          <w:sz w:val="24"/>
          <w:szCs w:val="24"/>
          <w:lang w:val="sq-AL"/>
        </w:rPr>
        <w:t xml:space="preserve"> ka vendosur mospranimin e rekursit. </w:t>
      </w:r>
    </w:p>
    <w:p w:rsidR="001F3D3F" w:rsidRPr="006B6760" w:rsidRDefault="001F3D3F" w:rsidP="001F3D3F">
      <w:pPr>
        <w:tabs>
          <w:tab w:val="left" w:pos="1080"/>
          <w:tab w:val="left" w:pos="1170"/>
        </w:tabs>
        <w:spacing w:after="0" w:line="360" w:lineRule="auto"/>
        <w:jc w:val="center"/>
        <w:rPr>
          <w:rFonts w:ascii="Times New Roman" w:hAnsi="Times New Roman" w:cs="Times New Roman"/>
          <w:sz w:val="24"/>
          <w:szCs w:val="24"/>
          <w:lang w:val="sq-AL"/>
        </w:rPr>
      </w:pPr>
    </w:p>
    <w:p w:rsidR="001F3D3F" w:rsidRPr="006B6760" w:rsidRDefault="001F3D3F" w:rsidP="001F3D3F">
      <w:pPr>
        <w:tabs>
          <w:tab w:val="left" w:pos="1080"/>
          <w:tab w:val="left" w:pos="1170"/>
        </w:tabs>
        <w:spacing w:after="0" w:line="360" w:lineRule="auto"/>
        <w:jc w:val="center"/>
        <w:rPr>
          <w:rFonts w:ascii="Times New Roman" w:hAnsi="Times New Roman" w:cs="Times New Roman"/>
          <w:b/>
          <w:sz w:val="24"/>
          <w:szCs w:val="24"/>
          <w:lang w:val="sq-AL"/>
        </w:rPr>
      </w:pPr>
      <w:r w:rsidRPr="006B6760">
        <w:rPr>
          <w:rFonts w:ascii="Times New Roman" w:hAnsi="Times New Roman" w:cs="Times New Roman"/>
          <w:b/>
          <w:sz w:val="24"/>
          <w:szCs w:val="24"/>
          <w:lang w:val="sq-AL"/>
        </w:rPr>
        <w:t>II</w:t>
      </w:r>
    </w:p>
    <w:p w:rsidR="001F3D3F" w:rsidRPr="006B6760" w:rsidRDefault="00ED31EC" w:rsidP="001F3D3F">
      <w:pPr>
        <w:pStyle w:val="ListParagraph"/>
        <w:numPr>
          <w:ilvl w:val="0"/>
          <w:numId w:val="1"/>
        </w:numPr>
        <w:tabs>
          <w:tab w:val="left" w:pos="1080"/>
          <w:tab w:val="left" w:pos="1170"/>
        </w:tabs>
        <w:spacing w:after="0" w:line="360" w:lineRule="auto"/>
        <w:ind w:left="0" w:firstLine="720"/>
        <w:jc w:val="both"/>
        <w:rPr>
          <w:rFonts w:ascii="Times New Roman" w:hAnsi="Times New Roman" w:cs="Times New Roman"/>
          <w:sz w:val="24"/>
          <w:szCs w:val="24"/>
          <w:lang w:val="sq-AL"/>
        </w:rPr>
      </w:pPr>
      <w:r w:rsidRPr="006B6760">
        <w:rPr>
          <w:rFonts w:ascii="Times New Roman" w:hAnsi="Times New Roman" w:cs="Times New Roman"/>
          <w:b/>
          <w:bCs/>
          <w:i/>
          <w:sz w:val="24"/>
          <w:szCs w:val="24"/>
          <w:lang w:val="sq-AL"/>
        </w:rPr>
        <w:t>Kërkuesi</w:t>
      </w:r>
      <w:r w:rsidRPr="006B6760">
        <w:rPr>
          <w:rFonts w:ascii="Times New Roman" w:hAnsi="Times New Roman" w:cs="Times New Roman"/>
          <w:b/>
          <w:bCs/>
          <w:sz w:val="24"/>
          <w:szCs w:val="24"/>
          <w:lang w:val="sq-AL"/>
        </w:rPr>
        <w:t xml:space="preserve"> </w:t>
      </w:r>
      <w:r w:rsidR="001F3D3F" w:rsidRPr="006B6760">
        <w:rPr>
          <w:rFonts w:ascii="Times New Roman" w:hAnsi="Times New Roman" w:cs="Times New Roman"/>
          <w:bCs/>
          <w:sz w:val="24"/>
          <w:szCs w:val="24"/>
          <w:lang w:val="sq-AL"/>
        </w:rPr>
        <w:t>Etmond Bushaj</w:t>
      </w:r>
      <w:r w:rsidRPr="006B6760">
        <w:rPr>
          <w:rFonts w:ascii="Times New Roman" w:hAnsi="Times New Roman" w:cs="Times New Roman"/>
          <w:bCs/>
          <w:sz w:val="24"/>
          <w:szCs w:val="24"/>
          <w:lang w:val="sq-AL"/>
        </w:rPr>
        <w:t xml:space="preserve"> i është drejtuar Gjy</w:t>
      </w:r>
      <w:r w:rsidR="001F3D3F" w:rsidRPr="006B6760">
        <w:rPr>
          <w:rFonts w:ascii="Times New Roman" w:hAnsi="Times New Roman" w:cs="Times New Roman"/>
          <w:bCs/>
          <w:sz w:val="24"/>
          <w:szCs w:val="24"/>
          <w:lang w:val="sq-AL"/>
        </w:rPr>
        <w:t xml:space="preserve">katës Kushtetuese (Gjykata) duke pretenduar se ndaj tij është zhvilluar një proces i parregullt ligjor në Gjykatën e Lartë. Më konkretisht, ai ka parashtruar se vendimi i Gjykatës së Lartë është i paarsyetuar pasi në asnjë rresht të tij nuk përmban arsyetim lidhur me shkaqet e ngritura nga kërkuesi në rekurs. </w:t>
      </w:r>
    </w:p>
    <w:p w:rsidR="001F3D3F" w:rsidRDefault="001F3D3F" w:rsidP="001F3D3F">
      <w:pPr>
        <w:pStyle w:val="ListParagraph"/>
        <w:tabs>
          <w:tab w:val="left" w:pos="1080"/>
          <w:tab w:val="left" w:pos="1170"/>
        </w:tabs>
        <w:spacing w:after="0" w:line="360" w:lineRule="auto"/>
        <w:jc w:val="both"/>
        <w:rPr>
          <w:rFonts w:ascii="Times New Roman" w:hAnsi="Times New Roman" w:cs="Times New Roman"/>
          <w:sz w:val="24"/>
          <w:szCs w:val="24"/>
          <w:lang w:val="sq-AL"/>
        </w:rPr>
      </w:pPr>
    </w:p>
    <w:p w:rsidR="001F3D3F" w:rsidRPr="006B6760" w:rsidRDefault="001F3D3F" w:rsidP="001F3D3F">
      <w:pPr>
        <w:tabs>
          <w:tab w:val="left" w:pos="1080"/>
          <w:tab w:val="left" w:pos="1170"/>
        </w:tabs>
        <w:spacing w:after="0" w:line="360" w:lineRule="auto"/>
        <w:jc w:val="center"/>
        <w:rPr>
          <w:rFonts w:ascii="Times New Roman" w:hAnsi="Times New Roman" w:cs="Times New Roman"/>
          <w:b/>
          <w:sz w:val="24"/>
          <w:szCs w:val="24"/>
          <w:lang w:val="sq-AL"/>
        </w:rPr>
      </w:pPr>
      <w:r w:rsidRPr="006B6760">
        <w:rPr>
          <w:rFonts w:ascii="Times New Roman" w:hAnsi="Times New Roman" w:cs="Times New Roman"/>
          <w:b/>
          <w:sz w:val="24"/>
          <w:szCs w:val="24"/>
          <w:lang w:val="sq-AL"/>
        </w:rPr>
        <w:t xml:space="preserve">III </w:t>
      </w:r>
    </w:p>
    <w:p w:rsidR="001F3D3F" w:rsidRPr="006B6760" w:rsidRDefault="001F3D3F" w:rsidP="001F3D3F">
      <w:pPr>
        <w:spacing w:after="0" w:line="360" w:lineRule="auto"/>
        <w:jc w:val="center"/>
        <w:rPr>
          <w:rFonts w:ascii="Times New Roman" w:hAnsi="Times New Roman" w:cs="Times New Roman"/>
          <w:b/>
          <w:sz w:val="24"/>
          <w:szCs w:val="24"/>
          <w:lang w:val="sq-AL"/>
        </w:rPr>
      </w:pPr>
      <w:r w:rsidRPr="006B6760">
        <w:rPr>
          <w:rFonts w:ascii="Times New Roman" w:hAnsi="Times New Roman" w:cs="Times New Roman"/>
          <w:b/>
          <w:sz w:val="24"/>
          <w:szCs w:val="24"/>
          <w:lang w:val="sq-AL"/>
        </w:rPr>
        <w:t>Vlerësimi i Kolegjit</w:t>
      </w:r>
    </w:p>
    <w:p w:rsidR="001F3D3F" w:rsidRPr="006B6760" w:rsidRDefault="001F3D3F" w:rsidP="001F3D3F">
      <w:pPr>
        <w:tabs>
          <w:tab w:val="left" w:pos="1080"/>
          <w:tab w:val="left" w:pos="1170"/>
        </w:tabs>
        <w:spacing w:after="0" w:line="360" w:lineRule="auto"/>
        <w:rPr>
          <w:rFonts w:ascii="Times New Roman" w:hAnsi="Times New Roman" w:cs="Times New Roman"/>
          <w:sz w:val="24"/>
          <w:szCs w:val="24"/>
          <w:lang w:val="sq-AL"/>
        </w:rPr>
      </w:pPr>
    </w:p>
    <w:p w:rsidR="00ED31EC" w:rsidRPr="006B6760" w:rsidRDefault="00ED31EC" w:rsidP="001F3D3F">
      <w:pPr>
        <w:pStyle w:val="ListParagraph"/>
        <w:numPr>
          <w:ilvl w:val="0"/>
          <w:numId w:val="1"/>
        </w:numPr>
        <w:tabs>
          <w:tab w:val="left" w:pos="1080"/>
          <w:tab w:val="left" w:pos="1170"/>
        </w:tabs>
        <w:spacing w:after="0" w:line="360" w:lineRule="auto"/>
        <w:ind w:left="0" w:firstLine="720"/>
        <w:jc w:val="both"/>
        <w:rPr>
          <w:rFonts w:ascii="Times New Roman" w:hAnsi="Times New Roman" w:cs="Times New Roman"/>
          <w:sz w:val="24"/>
          <w:szCs w:val="24"/>
          <w:lang w:val="sq-AL"/>
        </w:rPr>
      </w:pPr>
      <w:r w:rsidRPr="006B6760">
        <w:rPr>
          <w:rFonts w:ascii="Times New Roman" w:hAnsi="Times New Roman" w:cs="Times New Roman"/>
          <w:sz w:val="24"/>
          <w:szCs w:val="24"/>
          <w:lang w:val="sq-AL"/>
        </w:rPr>
        <w:t xml:space="preserve">Kolegji vlerëson se kërkuesi legjitimohet </w:t>
      </w:r>
      <w:r w:rsidRPr="006B6760">
        <w:rPr>
          <w:rFonts w:ascii="Times New Roman" w:hAnsi="Times New Roman" w:cs="Times New Roman"/>
          <w:i/>
          <w:sz w:val="24"/>
          <w:szCs w:val="24"/>
          <w:lang w:val="sq-AL"/>
        </w:rPr>
        <w:t>ratione personae</w:t>
      </w:r>
      <w:r w:rsidRPr="006B6760">
        <w:rPr>
          <w:rFonts w:ascii="Times New Roman" w:hAnsi="Times New Roman" w:cs="Times New Roman"/>
          <w:sz w:val="24"/>
          <w:szCs w:val="24"/>
          <w:lang w:val="sq-AL"/>
        </w:rPr>
        <w:t xml:space="preserve"> </w:t>
      </w:r>
      <w:r w:rsidR="00300971" w:rsidRPr="006B6760">
        <w:rPr>
          <w:rFonts w:ascii="Times New Roman" w:hAnsi="Times New Roman" w:cs="Times New Roman"/>
          <w:sz w:val="24"/>
          <w:szCs w:val="24"/>
          <w:lang w:val="sq-AL"/>
        </w:rPr>
        <w:t>lidhur</w:t>
      </w:r>
      <w:r w:rsidRPr="006B6760">
        <w:rPr>
          <w:rFonts w:ascii="Times New Roman" w:hAnsi="Times New Roman" w:cs="Times New Roman"/>
          <w:sz w:val="24"/>
          <w:szCs w:val="24"/>
          <w:lang w:val="sq-AL"/>
        </w:rPr>
        <w:t xml:space="preserve"> me pretendimet e tij, të cilat i ka paraqitur në kërkesë, në kuptim të neneve 131/f dhe 134/1/g të Kushtetutës</w:t>
      </w:r>
      <w:r w:rsidR="00F1537D">
        <w:rPr>
          <w:rFonts w:ascii="Times New Roman" w:hAnsi="Times New Roman" w:cs="Times New Roman"/>
          <w:sz w:val="24"/>
          <w:szCs w:val="24"/>
          <w:lang w:val="sq-AL"/>
        </w:rPr>
        <w:t>,</w:t>
      </w:r>
      <w:r w:rsidRPr="006B6760">
        <w:rPr>
          <w:rFonts w:ascii="Times New Roman" w:hAnsi="Times New Roman" w:cs="Times New Roman"/>
          <w:sz w:val="24"/>
          <w:szCs w:val="24"/>
          <w:lang w:val="sq-AL"/>
        </w:rPr>
        <w:t xml:space="preserve"> dhe </w:t>
      </w:r>
      <w:r w:rsidRPr="006B6760">
        <w:rPr>
          <w:rFonts w:ascii="Times New Roman" w:hAnsi="Times New Roman" w:cs="Times New Roman"/>
          <w:i/>
          <w:sz w:val="24"/>
          <w:szCs w:val="24"/>
          <w:lang w:val="sq-AL"/>
        </w:rPr>
        <w:t>ratione temporis</w:t>
      </w:r>
      <w:r w:rsidRPr="006B6760">
        <w:rPr>
          <w:rFonts w:ascii="Times New Roman" w:hAnsi="Times New Roman" w:cs="Times New Roman"/>
          <w:sz w:val="24"/>
          <w:szCs w:val="24"/>
          <w:lang w:val="sq-AL"/>
        </w:rPr>
        <w:t xml:space="preserve">, pasi kërkesa është paraqitur në Gjykatën Kushtetuese brenda afatit të parashikuar nga neni 30 i ligjit </w:t>
      </w:r>
      <w:r w:rsidRPr="006B6760">
        <w:rPr>
          <w:rFonts w:ascii="Times New Roman" w:hAnsi="Times New Roman" w:cs="Times New Roman"/>
          <w:bCs/>
          <w:color w:val="000000"/>
          <w:sz w:val="24"/>
          <w:szCs w:val="24"/>
          <w:lang w:val="sq-AL"/>
        </w:rPr>
        <w:t>nr. 8577, datë 10.2.2000 “</w:t>
      </w:r>
      <w:r w:rsidRPr="006B6760">
        <w:rPr>
          <w:rFonts w:ascii="Times New Roman" w:hAnsi="Times New Roman" w:cs="Times New Roman"/>
          <w:color w:val="000000"/>
          <w:sz w:val="24"/>
          <w:szCs w:val="24"/>
          <w:lang w:val="sq-AL"/>
        </w:rPr>
        <w:t xml:space="preserve">Për organizimin dhe funksionimin e Gjykatës Kushtetuese të Republikës së Shqipërisë”.  </w:t>
      </w:r>
    </w:p>
    <w:p w:rsidR="005915A2" w:rsidRPr="006B6760" w:rsidRDefault="00ED31EC" w:rsidP="005915A2">
      <w:pPr>
        <w:pStyle w:val="ListParagraph"/>
        <w:numPr>
          <w:ilvl w:val="0"/>
          <w:numId w:val="1"/>
        </w:numPr>
        <w:tabs>
          <w:tab w:val="left" w:pos="1080"/>
        </w:tabs>
        <w:spacing w:line="360" w:lineRule="auto"/>
        <w:ind w:left="0" w:firstLine="720"/>
        <w:jc w:val="both"/>
        <w:rPr>
          <w:rFonts w:ascii="Times New Roman" w:hAnsi="Times New Roman" w:cs="Times New Roman"/>
          <w:bCs/>
          <w:sz w:val="24"/>
          <w:szCs w:val="24"/>
          <w:lang w:val="sq-AL"/>
        </w:rPr>
      </w:pPr>
      <w:r w:rsidRPr="006B6760">
        <w:rPr>
          <w:rFonts w:ascii="Times New Roman" w:eastAsia="Times New Roman" w:hAnsi="Times New Roman" w:cs="Times New Roman"/>
          <w:sz w:val="24"/>
          <w:szCs w:val="24"/>
          <w:lang w:val="sq-AL"/>
        </w:rPr>
        <w:t xml:space="preserve">Në lidhje me legjitimimin </w:t>
      </w:r>
      <w:r w:rsidRPr="006B6760">
        <w:rPr>
          <w:rFonts w:ascii="Times New Roman" w:eastAsia="Times New Roman" w:hAnsi="Times New Roman" w:cs="Times New Roman"/>
          <w:i/>
          <w:sz w:val="24"/>
          <w:szCs w:val="24"/>
          <w:lang w:val="sq-AL"/>
        </w:rPr>
        <w:t>ratione materiae</w:t>
      </w:r>
      <w:r w:rsidRPr="006B6760">
        <w:rPr>
          <w:rFonts w:ascii="Times New Roman" w:eastAsia="Times New Roman" w:hAnsi="Times New Roman" w:cs="Times New Roman"/>
          <w:sz w:val="24"/>
          <w:szCs w:val="24"/>
          <w:lang w:val="sq-AL"/>
        </w:rPr>
        <w:t xml:space="preserve">, </w:t>
      </w:r>
      <w:r w:rsidR="005915A2" w:rsidRPr="006B6760">
        <w:rPr>
          <w:rFonts w:ascii="Times New Roman" w:hAnsi="Times New Roman" w:cs="Times New Roman"/>
          <w:sz w:val="24"/>
          <w:szCs w:val="24"/>
          <w:lang w:val="sq-AL"/>
        </w:rPr>
        <w:t xml:space="preserve">kërkuesi ka ngritur pretendimin se vendimi i Kolegjit Penal të Gjykatës së Lartë </w:t>
      </w:r>
      <w:r w:rsidR="005915A2" w:rsidRPr="006B6760">
        <w:rPr>
          <w:rFonts w:ascii="Times New Roman" w:hAnsi="Times New Roman" w:cs="Times New Roman"/>
          <w:bCs/>
          <w:sz w:val="24"/>
          <w:szCs w:val="24"/>
          <w:lang w:val="sq-AL"/>
        </w:rPr>
        <w:t>është i paarsyetuar, pasi në asnjë rresht të tij nuk përmban arsyetim lidhur me shkaqet e ngritura nga kërkuesi në rekurs.</w:t>
      </w:r>
    </w:p>
    <w:p w:rsidR="00300971" w:rsidRPr="006B6760" w:rsidRDefault="005915A2" w:rsidP="00300971">
      <w:pPr>
        <w:pStyle w:val="ListParagraph"/>
        <w:numPr>
          <w:ilvl w:val="0"/>
          <w:numId w:val="1"/>
        </w:numPr>
        <w:tabs>
          <w:tab w:val="left" w:pos="1080"/>
        </w:tabs>
        <w:spacing w:line="360" w:lineRule="auto"/>
        <w:ind w:left="0" w:firstLine="720"/>
        <w:jc w:val="both"/>
        <w:rPr>
          <w:rFonts w:ascii="Times New Roman" w:hAnsi="Times New Roman" w:cs="Times New Roman"/>
          <w:bCs/>
          <w:sz w:val="24"/>
          <w:szCs w:val="24"/>
          <w:lang w:val="sq-AL"/>
        </w:rPr>
      </w:pPr>
      <w:r w:rsidRPr="006B6760">
        <w:rPr>
          <w:rFonts w:ascii="Times New Roman" w:hAnsi="Times New Roman" w:cs="Times New Roman"/>
          <w:sz w:val="24"/>
          <w:szCs w:val="24"/>
          <w:lang w:val="sq-AL"/>
        </w:rPr>
        <w:t>Gjykata në jurisprudencën e saj ka theksuar se e drejta për një proces të rregullt ligjor, që i ga</w:t>
      </w:r>
      <w:r w:rsidR="00F1537D">
        <w:rPr>
          <w:rFonts w:ascii="Times New Roman" w:hAnsi="Times New Roman" w:cs="Times New Roman"/>
          <w:sz w:val="24"/>
          <w:szCs w:val="24"/>
          <w:lang w:val="sq-AL"/>
        </w:rPr>
        <w:t>rantohet individit nga nenet 42 dhe</w:t>
      </w:r>
      <w:r w:rsidRPr="006B6760">
        <w:rPr>
          <w:rFonts w:ascii="Times New Roman" w:hAnsi="Times New Roman" w:cs="Times New Roman"/>
          <w:sz w:val="24"/>
          <w:szCs w:val="24"/>
          <w:lang w:val="sq-AL"/>
        </w:rPr>
        <w:t xml:space="preserve"> 142/1 të Kushtetutës, si dhe neni 6 i KEDNJ-së, përfshin edhe të drejtën për të pasur një vendim gjyqësor të arsyetuar. Funksioni i një vendimi të arsye</w:t>
      </w:r>
      <w:r w:rsidR="00F1537D">
        <w:rPr>
          <w:rFonts w:ascii="Times New Roman" w:hAnsi="Times New Roman" w:cs="Times New Roman"/>
          <w:sz w:val="24"/>
          <w:szCs w:val="24"/>
          <w:lang w:val="sq-AL"/>
        </w:rPr>
        <w:t>tuar është t’u tregojë palëve se</w:t>
      </w:r>
      <w:r w:rsidRPr="006B6760">
        <w:rPr>
          <w:rFonts w:ascii="Times New Roman" w:hAnsi="Times New Roman" w:cs="Times New Roman"/>
          <w:sz w:val="24"/>
          <w:szCs w:val="24"/>
          <w:lang w:val="sq-AL"/>
        </w:rPr>
        <w:t xml:space="preserve"> ato janë dëgjuar, si dhe u jep mundësinë atyre ta kundërshtojnë atë. Përveç kësaj, duke dhënë një vendim të arsyetuar, mund të realizohet </w:t>
      </w:r>
      <w:r w:rsidR="00F1537D">
        <w:rPr>
          <w:rFonts w:ascii="Times New Roman" w:hAnsi="Times New Roman" w:cs="Times New Roman"/>
          <w:sz w:val="24"/>
          <w:szCs w:val="24"/>
          <w:lang w:val="sq-AL"/>
        </w:rPr>
        <w:t xml:space="preserve">edhe </w:t>
      </w:r>
      <w:r w:rsidRPr="006B6760">
        <w:rPr>
          <w:rFonts w:ascii="Times New Roman" w:hAnsi="Times New Roman" w:cs="Times New Roman"/>
          <w:sz w:val="24"/>
          <w:szCs w:val="24"/>
          <w:lang w:val="sq-AL"/>
        </w:rPr>
        <w:t xml:space="preserve">vëzhgimi publik i administrimit të drejtësisë. Gjithsesi, Gjykata e ka vlerësuar zbatimin e këtij parimi rast pas rasti, në varësi të rrethanave konkrete të </w:t>
      </w:r>
      <w:r w:rsidRPr="006B6760">
        <w:rPr>
          <w:rStyle w:val="Bodytext12pt"/>
          <w:rFonts w:ascii="Times New Roman" w:hAnsi="Times New Roman" w:cs="Times New Roman"/>
          <w:lang w:val="sq-AL"/>
        </w:rPr>
        <w:t>çë</w:t>
      </w:r>
      <w:r w:rsidRPr="006B6760">
        <w:rPr>
          <w:rFonts w:ascii="Times New Roman" w:hAnsi="Times New Roman" w:cs="Times New Roman"/>
          <w:sz w:val="24"/>
          <w:szCs w:val="24"/>
          <w:lang w:val="sq-AL"/>
        </w:rPr>
        <w:t xml:space="preserve">shtjes, duke analizuar nëse vendimet gjyqësore të kundërshtuara e kanë përmbushur në mënyrë të mjaftueshme detyrimin për arsyetimin e vendimeve të tyre </w:t>
      </w:r>
      <w:r w:rsidRPr="006B6760">
        <w:rPr>
          <w:rFonts w:ascii="Times New Roman" w:eastAsia="AngsanaUPC" w:hAnsi="Times New Roman" w:cs="Times New Roman"/>
          <w:sz w:val="24"/>
          <w:szCs w:val="24"/>
          <w:lang w:val="sq-AL"/>
        </w:rPr>
        <w:t>(</w:t>
      </w:r>
      <w:r w:rsidRPr="006B6760">
        <w:rPr>
          <w:rFonts w:ascii="Times New Roman" w:eastAsia="AngsanaUPC" w:hAnsi="Times New Roman" w:cs="Times New Roman"/>
          <w:i/>
          <w:sz w:val="24"/>
          <w:szCs w:val="24"/>
          <w:lang w:val="sq-AL"/>
        </w:rPr>
        <w:t>shih vendimet nr. 8, datë 28.02.2012; nr. 8, datë 16.03.2011; nr. 25, datë 10.06.2011; nr. 38, datë 30.12.2010 të Gjykatës Kushtetuese).</w:t>
      </w:r>
    </w:p>
    <w:p w:rsidR="00300971" w:rsidRPr="006B6760" w:rsidRDefault="005915A2" w:rsidP="00300971">
      <w:pPr>
        <w:pStyle w:val="ListParagraph"/>
        <w:numPr>
          <w:ilvl w:val="0"/>
          <w:numId w:val="1"/>
        </w:numPr>
        <w:tabs>
          <w:tab w:val="left" w:pos="1080"/>
        </w:tabs>
        <w:spacing w:line="360" w:lineRule="auto"/>
        <w:ind w:left="0" w:firstLine="720"/>
        <w:jc w:val="both"/>
        <w:rPr>
          <w:rFonts w:ascii="Times New Roman" w:hAnsi="Times New Roman" w:cs="Times New Roman"/>
          <w:bCs/>
          <w:sz w:val="24"/>
          <w:szCs w:val="24"/>
          <w:lang w:val="sq-AL"/>
        </w:rPr>
      </w:pPr>
      <w:r w:rsidRPr="006B6760">
        <w:rPr>
          <w:rFonts w:ascii="Times New Roman" w:hAnsi="Times New Roman" w:cs="Times New Roman"/>
          <w:sz w:val="24"/>
          <w:szCs w:val="24"/>
          <w:lang w:val="sq-AL"/>
        </w:rPr>
        <w:t xml:space="preserve">Sipas jurisprudencës së Gjykatës, </w:t>
      </w:r>
      <w:r w:rsidRPr="006B6760">
        <w:rPr>
          <w:rFonts w:ascii="Times New Roman" w:hAnsi="Times New Roman" w:cs="Times New Roman"/>
          <w:bCs/>
          <w:sz w:val="24"/>
          <w:szCs w:val="24"/>
          <w:lang w:val="sq-AL"/>
        </w:rPr>
        <w:t xml:space="preserve">arsyetimi i kufizuar i vendimit të marrë në </w:t>
      </w:r>
      <w:r w:rsidRPr="006B6760">
        <w:rPr>
          <w:rFonts w:ascii="Times New Roman" w:hAnsi="Times New Roman" w:cs="Times New Roman"/>
          <w:bCs/>
          <w:kern w:val="28"/>
          <w:sz w:val="24"/>
          <w:szCs w:val="24"/>
          <w:lang w:val="sq-AL"/>
        </w:rPr>
        <w:t>dhomën e këshillimit nuk e cenon procesin e rregullt ligjor. Kjo formë arsyetimi është tashmë e konsoliduar në praktikën e Gjykatës së Lartë, përderisa shpreh në thelb shkaqet e mospranimit të rekursit nga ana e kolegjeve të saj gjatë shqyrtimit të tij paraprak në dhomën e këshillimit (</w:t>
      </w:r>
      <w:r w:rsidRPr="006B6760">
        <w:rPr>
          <w:rFonts w:ascii="Times New Roman" w:hAnsi="Times New Roman" w:cs="Times New Roman"/>
          <w:bCs/>
          <w:i/>
          <w:kern w:val="28"/>
          <w:sz w:val="24"/>
          <w:szCs w:val="24"/>
          <w:lang w:val="sq-AL"/>
        </w:rPr>
        <w:t xml:space="preserve">shih vendimet nr. 34, datë 12.07.2013; nr. 108, datë 03.10.2012; nr. 17, datë 17.05.2011 të Gjykatës Kushtetuese dhe </w:t>
      </w:r>
      <w:r w:rsidRPr="006B6760">
        <w:rPr>
          <w:rFonts w:ascii="Times New Roman" w:hAnsi="Times New Roman" w:cs="Times New Roman"/>
          <w:i/>
          <w:sz w:val="24"/>
          <w:szCs w:val="24"/>
          <w:lang w:val="sq-AL"/>
        </w:rPr>
        <w:t>vendimin nr. 143, datë 07.12.2011 të Mbledhjes së Gjyqtarëve</w:t>
      </w:r>
      <w:r w:rsidRPr="006B6760">
        <w:rPr>
          <w:rFonts w:ascii="Times New Roman" w:hAnsi="Times New Roman" w:cs="Times New Roman"/>
          <w:bCs/>
          <w:i/>
          <w:kern w:val="28"/>
          <w:sz w:val="24"/>
          <w:szCs w:val="24"/>
          <w:lang w:val="sq-AL"/>
        </w:rPr>
        <w:t>)</w:t>
      </w:r>
      <w:r w:rsidRPr="006B6760">
        <w:rPr>
          <w:rFonts w:ascii="Times New Roman" w:hAnsi="Times New Roman" w:cs="Times New Roman"/>
          <w:bCs/>
          <w:kern w:val="28"/>
          <w:sz w:val="24"/>
          <w:szCs w:val="24"/>
          <w:lang w:val="sq-AL"/>
        </w:rPr>
        <w:t>.</w:t>
      </w:r>
    </w:p>
    <w:p w:rsidR="00300971" w:rsidRPr="006B6760" w:rsidRDefault="005915A2" w:rsidP="00300971">
      <w:pPr>
        <w:pStyle w:val="ListParagraph"/>
        <w:numPr>
          <w:ilvl w:val="0"/>
          <w:numId w:val="1"/>
        </w:numPr>
        <w:tabs>
          <w:tab w:val="left" w:pos="1080"/>
        </w:tabs>
        <w:spacing w:line="360" w:lineRule="auto"/>
        <w:ind w:left="0" w:firstLine="720"/>
        <w:jc w:val="both"/>
        <w:rPr>
          <w:rFonts w:ascii="Times New Roman" w:hAnsi="Times New Roman" w:cs="Times New Roman"/>
          <w:bCs/>
          <w:sz w:val="24"/>
          <w:szCs w:val="24"/>
          <w:lang w:val="sq-AL"/>
        </w:rPr>
      </w:pPr>
      <w:r w:rsidRPr="006B6760">
        <w:rPr>
          <w:rFonts w:ascii="Times New Roman" w:hAnsi="Times New Roman" w:cs="Times New Roman"/>
          <w:bCs/>
          <w:kern w:val="28"/>
          <w:sz w:val="24"/>
          <w:szCs w:val="24"/>
          <w:lang w:val="sq-AL"/>
        </w:rPr>
        <w:t xml:space="preserve">Edhe </w:t>
      </w:r>
      <w:r w:rsidRPr="006B6760">
        <w:rPr>
          <w:rFonts w:ascii="Times New Roman" w:hAnsi="Times New Roman" w:cs="Times New Roman"/>
          <w:sz w:val="24"/>
          <w:szCs w:val="24"/>
          <w:lang w:val="sq-AL"/>
        </w:rPr>
        <w:t>GJEDNJ-ja ka theksuar se “</w:t>
      </w:r>
      <w:r w:rsidRPr="006B6760">
        <w:rPr>
          <w:rFonts w:ascii="Times New Roman" w:hAnsi="Times New Roman" w:cs="Times New Roman"/>
          <w:color w:val="000000"/>
          <w:sz w:val="24"/>
          <w:szCs w:val="24"/>
          <w:lang w:val="sq-AL"/>
        </w:rPr>
        <w:t>detyrimi që ka gjykata vendase për të arsyetuar vendimet</w:t>
      </w:r>
      <w:r w:rsidR="00F1537D">
        <w:rPr>
          <w:rFonts w:ascii="Times New Roman" w:hAnsi="Times New Roman" w:cs="Times New Roman"/>
          <w:color w:val="000000"/>
          <w:sz w:val="24"/>
          <w:szCs w:val="24"/>
          <w:lang w:val="sq-AL"/>
        </w:rPr>
        <w:t xml:space="preserve"> e saj</w:t>
      </w:r>
      <w:r w:rsidRPr="006B6760">
        <w:rPr>
          <w:rFonts w:ascii="Times New Roman" w:hAnsi="Times New Roman" w:cs="Times New Roman"/>
          <w:color w:val="000000"/>
          <w:sz w:val="24"/>
          <w:szCs w:val="24"/>
          <w:lang w:val="sq-AL"/>
        </w:rPr>
        <w:t xml:space="preserve"> nuk mund të interpretohet sikur kërkohet arsyetim i detajuar për çdo pretendim të palës ndërgjyqëse. Masa e arsyetimit të vendimit varet nga natyra e vendimit në fjalë [...]</w:t>
      </w:r>
      <w:r w:rsidR="00F1537D">
        <w:rPr>
          <w:rFonts w:ascii="Times New Roman" w:hAnsi="Times New Roman" w:cs="Times New Roman"/>
          <w:color w:val="000000"/>
          <w:sz w:val="24"/>
          <w:szCs w:val="24"/>
          <w:lang w:val="sq-AL"/>
        </w:rPr>
        <w:t>.</w:t>
      </w:r>
      <w:r w:rsidRPr="006B6760">
        <w:rPr>
          <w:rFonts w:ascii="Times New Roman" w:hAnsi="Times New Roman" w:cs="Times New Roman"/>
          <w:sz w:val="24"/>
          <w:szCs w:val="24"/>
          <w:lang w:val="sq-AL"/>
        </w:rPr>
        <w:t xml:space="preserve"> Arsyetimi i kufizuar i dhënë nga Gjykata e Lartë në formulimin e vendimit në dhomë këshillimi, në mënyrë të nënkuptuar evidenton se aplikanti nuk ka ngritur një nga argumentet ligjore të përcaktuara në dispozitën përkatëse të legjislacionit të brendshëm, që është kusht për pranimin e kërkesës. Gjykata vëren se kur një gjykatë e lartë refuzon të pranojë një çështje, për arsye se mungojnë shkaqet ligjore për ngritjen e çështjes, një arsyetim shumë i kufizuar mund të përmbushë kriterin e nenit 6 të Konventës</w:t>
      </w:r>
      <w:r w:rsidRPr="006B6760">
        <w:rPr>
          <w:rFonts w:ascii="Times New Roman" w:hAnsi="Times New Roman" w:cs="Times New Roman"/>
          <w:i/>
          <w:sz w:val="24"/>
          <w:szCs w:val="24"/>
          <w:lang w:val="sq-AL"/>
        </w:rPr>
        <w:t>”</w:t>
      </w:r>
      <w:r w:rsidRPr="006B6760">
        <w:rPr>
          <w:rFonts w:ascii="Times New Roman" w:hAnsi="Times New Roman" w:cs="Times New Roman"/>
          <w:sz w:val="24"/>
          <w:szCs w:val="24"/>
          <w:lang w:val="sq-AL"/>
        </w:rPr>
        <w:t xml:space="preserve"> (</w:t>
      </w:r>
      <w:r w:rsidRPr="006B6760">
        <w:rPr>
          <w:rFonts w:ascii="Times New Roman" w:hAnsi="Times New Roman" w:cs="Times New Roman"/>
          <w:i/>
          <w:sz w:val="24"/>
          <w:szCs w:val="24"/>
          <w:lang w:val="sq-AL"/>
        </w:rPr>
        <w:t>Marini kundër Shqipërisë, datë 18.12.2007, §105-106 dhe Mishgjoni kundër Shqipërisë, datë 07.12.2010, § 51</w:t>
      </w:r>
      <w:r w:rsidRPr="006B6760">
        <w:rPr>
          <w:rFonts w:ascii="Times New Roman" w:hAnsi="Times New Roman" w:cs="Times New Roman"/>
          <w:sz w:val="24"/>
          <w:szCs w:val="24"/>
          <w:lang w:val="sq-AL"/>
        </w:rPr>
        <w:t xml:space="preserve"> ). </w:t>
      </w:r>
    </w:p>
    <w:p w:rsidR="00300971" w:rsidRPr="006B6760" w:rsidRDefault="005915A2" w:rsidP="00300971">
      <w:pPr>
        <w:pStyle w:val="ListParagraph"/>
        <w:numPr>
          <w:ilvl w:val="0"/>
          <w:numId w:val="1"/>
        </w:numPr>
        <w:tabs>
          <w:tab w:val="left" w:pos="1080"/>
        </w:tabs>
        <w:spacing w:line="360" w:lineRule="auto"/>
        <w:ind w:left="0" w:firstLine="720"/>
        <w:jc w:val="both"/>
        <w:rPr>
          <w:rFonts w:ascii="Times New Roman" w:hAnsi="Times New Roman" w:cs="Times New Roman"/>
          <w:bCs/>
          <w:sz w:val="24"/>
          <w:szCs w:val="24"/>
          <w:lang w:val="sq-AL"/>
        </w:rPr>
      </w:pPr>
      <w:r w:rsidRPr="006B6760">
        <w:rPr>
          <w:rFonts w:ascii="Times New Roman" w:hAnsi="Times New Roman" w:cs="Times New Roman"/>
          <w:sz w:val="24"/>
          <w:szCs w:val="24"/>
          <w:lang w:val="sq-AL"/>
        </w:rPr>
        <w:t>Në rastin konkret</w:t>
      </w:r>
      <w:r w:rsidR="00F1537D">
        <w:rPr>
          <w:rFonts w:ascii="Times New Roman" w:hAnsi="Times New Roman" w:cs="Times New Roman"/>
          <w:sz w:val="24"/>
          <w:szCs w:val="24"/>
          <w:lang w:val="sq-AL"/>
        </w:rPr>
        <w:t>,</w:t>
      </w:r>
      <w:r w:rsidRPr="006B6760">
        <w:rPr>
          <w:rFonts w:ascii="Times New Roman" w:hAnsi="Times New Roman" w:cs="Times New Roman"/>
          <w:sz w:val="24"/>
          <w:szCs w:val="24"/>
          <w:lang w:val="sq-AL"/>
        </w:rPr>
        <w:t xml:space="preserve"> </w:t>
      </w:r>
      <w:r w:rsidR="00300971" w:rsidRPr="006B6760">
        <w:rPr>
          <w:rFonts w:ascii="Times New Roman" w:hAnsi="Times New Roman" w:cs="Times New Roman"/>
          <w:sz w:val="24"/>
          <w:szCs w:val="24"/>
          <w:lang w:val="sq-AL"/>
        </w:rPr>
        <w:t xml:space="preserve">Kolegji vëren se </w:t>
      </w:r>
      <w:r w:rsidRPr="006B6760">
        <w:rPr>
          <w:rFonts w:ascii="Times New Roman" w:hAnsi="Times New Roman" w:cs="Times New Roman"/>
          <w:sz w:val="24"/>
          <w:szCs w:val="24"/>
          <w:lang w:val="sq-AL"/>
        </w:rPr>
        <w:t xml:space="preserve">vendimi i mospranimit të rekursit përmban, në pjesën hyrëse të tij, objektin e padisë, disponimet e gjykatës së shkallës së parë e asaj të apelit, si dhe shkaqet që janë parashtruar në rekurs. Ndërsa në pjesën arsyetuese, në përputhje me standardet e gjykimit paraprak në dhomë këshillimi, Kolegji Penal i Gjykatës së Lartë ka arritur në përfundimin se </w:t>
      </w:r>
      <w:r w:rsidRPr="006B6760">
        <w:rPr>
          <w:rFonts w:ascii="Times New Roman" w:hAnsi="Times New Roman" w:cs="Times New Roman"/>
          <w:sz w:val="24"/>
          <w:szCs w:val="24"/>
          <w:lang w:val="sq-AL" w:eastAsia="ja-JP"/>
        </w:rPr>
        <w:t>rekursi i paraqitur nuk përmban shkaqe nga ato që parashikon neni 433 i KPP-së, duke vendosur, në pjesën urdhëruese, mospranimin e tij.</w:t>
      </w:r>
      <w:r w:rsidR="00300971" w:rsidRPr="006B6760">
        <w:rPr>
          <w:rFonts w:ascii="Times New Roman" w:hAnsi="Times New Roman" w:cs="Times New Roman"/>
          <w:sz w:val="24"/>
          <w:szCs w:val="24"/>
          <w:lang w:val="sq-AL" w:eastAsia="ja-JP"/>
        </w:rPr>
        <w:t xml:space="preserve"> Për rrjedhojë, në vlerësimin  Kolegjit, pretendimi i kërkuesit për cenimin e standardit të arsyetimit të vendimit gjyqësor është haptazi i pabazuar. </w:t>
      </w:r>
    </w:p>
    <w:p w:rsidR="00ED31EC" w:rsidRPr="006B6760" w:rsidRDefault="00300971" w:rsidP="00300971">
      <w:pPr>
        <w:pStyle w:val="ListParagraph"/>
        <w:numPr>
          <w:ilvl w:val="0"/>
          <w:numId w:val="1"/>
        </w:numPr>
        <w:tabs>
          <w:tab w:val="left" w:pos="1080"/>
        </w:tabs>
        <w:spacing w:line="360" w:lineRule="auto"/>
        <w:ind w:left="0" w:firstLine="720"/>
        <w:jc w:val="both"/>
        <w:rPr>
          <w:rFonts w:ascii="Times New Roman" w:hAnsi="Times New Roman" w:cs="Times New Roman"/>
          <w:bCs/>
          <w:sz w:val="24"/>
          <w:szCs w:val="24"/>
          <w:lang w:val="sq-AL"/>
        </w:rPr>
      </w:pPr>
      <w:r w:rsidRPr="006B6760">
        <w:rPr>
          <w:rFonts w:ascii="Times New Roman" w:hAnsi="Times New Roman" w:cs="Times New Roman"/>
          <w:sz w:val="24"/>
          <w:szCs w:val="24"/>
          <w:lang w:val="sq-AL" w:eastAsia="ja-JP"/>
        </w:rPr>
        <w:t xml:space="preserve">Si </w:t>
      </w:r>
      <w:r w:rsidR="00ED31EC" w:rsidRPr="006B6760">
        <w:rPr>
          <w:rFonts w:ascii="Times New Roman" w:eastAsia="Times New Roman" w:hAnsi="Times New Roman" w:cs="Times New Roman"/>
          <w:bCs/>
          <w:sz w:val="24"/>
          <w:szCs w:val="24"/>
          <w:lang w:val="sq-AL"/>
        </w:rPr>
        <w:t>konkluzion,</w:t>
      </w:r>
      <w:r w:rsidRPr="006B6760">
        <w:rPr>
          <w:rFonts w:ascii="Times New Roman" w:eastAsia="Times New Roman" w:hAnsi="Times New Roman" w:cs="Times New Roman"/>
          <w:bCs/>
          <w:sz w:val="24"/>
          <w:szCs w:val="24"/>
          <w:lang w:val="sq-AL"/>
        </w:rPr>
        <w:t xml:space="preserve"> për sa më sipër,</w:t>
      </w:r>
      <w:r w:rsidR="00ED31EC" w:rsidRPr="006B6760">
        <w:rPr>
          <w:rFonts w:ascii="Times New Roman" w:eastAsia="Times New Roman" w:hAnsi="Times New Roman" w:cs="Times New Roman"/>
          <w:bCs/>
          <w:sz w:val="24"/>
          <w:szCs w:val="24"/>
          <w:lang w:val="sq-AL"/>
        </w:rPr>
        <w:t xml:space="preserve"> Kolegji vlerëson se kër</w:t>
      </w:r>
      <w:r w:rsidR="00F1537D">
        <w:rPr>
          <w:rFonts w:ascii="Times New Roman" w:eastAsia="Times New Roman" w:hAnsi="Times New Roman" w:cs="Times New Roman"/>
          <w:bCs/>
          <w:sz w:val="24"/>
          <w:szCs w:val="24"/>
          <w:lang w:val="sq-AL"/>
        </w:rPr>
        <w:t>kesa është haptazi e pabazuar,  për rrjedhojë</w:t>
      </w:r>
      <w:r w:rsidR="00ED31EC" w:rsidRPr="006B6760">
        <w:rPr>
          <w:rFonts w:ascii="Times New Roman" w:eastAsia="Times New Roman" w:hAnsi="Times New Roman" w:cs="Times New Roman"/>
          <w:bCs/>
          <w:sz w:val="24"/>
          <w:szCs w:val="24"/>
          <w:lang w:val="sq-AL"/>
        </w:rPr>
        <w:t xml:space="preserve"> nuk mund të kalojë për shqyrtim në seancë plenare.</w:t>
      </w:r>
    </w:p>
    <w:p w:rsidR="00ED31EC" w:rsidRPr="006B6760" w:rsidRDefault="00ED31EC" w:rsidP="00ED31EC">
      <w:pPr>
        <w:spacing w:after="0" w:line="360" w:lineRule="auto"/>
        <w:ind w:firstLine="720"/>
        <w:jc w:val="both"/>
        <w:rPr>
          <w:rFonts w:ascii="Times New Roman" w:eastAsia="Times New Roman" w:hAnsi="Times New Roman" w:cs="Times New Roman"/>
          <w:bCs/>
          <w:sz w:val="24"/>
          <w:szCs w:val="24"/>
          <w:lang w:val="sq-AL"/>
        </w:rPr>
      </w:pPr>
    </w:p>
    <w:p w:rsidR="00ED31EC" w:rsidRPr="006B6760" w:rsidRDefault="00ED31EC" w:rsidP="00ED31EC">
      <w:pPr>
        <w:spacing w:after="0" w:line="360" w:lineRule="auto"/>
        <w:jc w:val="center"/>
        <w:rPr>
          <w:rFonts w:ascii="Times New Roman" w:eastAsia="Times New Roman" w:hAnsi="Times New Roman" w:cs="Times New Roman"/>
          <w:b/>
          <w:bCs/>
          <w:sz w:val="24"/>
          <w:szCs w:val="24"/>
          <w:lang w:val="sq-AL"/>
        </w:rPr>
      </w:pPr>
      <w:r w:rsidRPr="006B6760">
        <w:rPr>
          <w:rFonts w:ascii="Times New Roman" w:eastAsia="Times New Roman" w:hAnsi="Times New Roman" w:cs="Times New Roman"/>
          <w:b/>
          <w:bCs/>
          <w:sz w:val="24"/>
          <w:szCs w:val="24"/>
          <w:lang w:val="sq-AL"/>
        </w:rPr>
        <w:t>PËR KËTO ARSYE,</w:t>
      </w:r>
    </w:p>
    <w:p w:rsidR="00ED31EC" w:rsidRPr="006B6760" w:rsidRDefault="00ED31EC" w:rsidP="00ED31EC">
      <w:pPr>
        <w:spacing w:after="0" w:line="360" w:lineRule="auto"/>
        <w:jc w:val="both"/>
        <w:rPr>
          <w:rFonts w:ascii="Times New Roman" w:eastAsia="Times New Roman" w:hAnsi="Times New Roman" w:cs="Times New Roman"/>
          <w:sz w:val="24"/>
          <w:szCs w:val="24"/>
          <w:lang w:val="sq-AL"/>
        </w:rPr>
      </w:pPr>
      <w:r w:rsidRPr="006B6760">
        <w:rPr>
          <w:rFonts w:ascii="Times New Roman" w:eastAsia="Times New Roman" w:hAnsi="Times New Roman" w:cs="Times New Roman"/>
          <w:sz w:val="24"/>
          <w:szCs w:val="24"/>
          <w:lang w:val="sq-AL"/>
        </w:rPr>
        <w:tab/>
        <w:t>Kolegji i Gjykatës Kushtetuese të Republikës së Shqipërisë, në bazë të nenit 31 të ligjit nr. 8577, datë 10.02.2000 “Për organizimin dhe funksionimin e Gjykatës Kushtetuese të Republikës së Shqipërisë”,</w:t>
      </w:r>
    </w:p>
    <w:p w:rsidR="006B6760" w:rsidRPr="006B6760" w:rsidRDefault="006B6760" w:rsidP="00ED31EC">
      <w:pPr>
        <w:spacing w:after="0" w:line="360" w:lineRule="auto"/>
        <w:jc w:val="center"/>
        <w:rPr>
          <w:rFonts w:ascii="Times New Roman" w:eastAsia="Times New Roman" w:hAnsi="Times New Roman" w:cs="Times New Roman"/>
          <w:b/>
          <w:bCs/>
          <w:sz w:val="24"/>
          <w:szCs w:val="24"/>
          <w:lang w:val="sq-AL"/>
        </w:rPr>
      </w:pPr>
    </w:p>
    <w:p w:rsidR="00ED31EC" w:rsidRPr="006B6760" w:rsidRDefault="00ED31EC" w:rsidP="00ED31EC">
      <w:pPr>
        <w:spacing w:after="0" w:line="360" w:lineRule="auto"/>
        <w:jc w:val="center"/>
        <w:rPr>
          <w:rFonts w:ascii="Times New Roman" w:eastAsia="Times New Roman" w:hAnsi="Times New Roman" w:cs="Times New Roman"/>
          <w:b/>
          <w:bCs/>
          <w:sz w:val="24"/>
          <w:szCs w:val="24"/>
          <w:lang w:val="sq-AL"/>
        </w:rPr>
      </w:pPr>
      <w:r w:rsidRPr="006B6760">
        <w:rPr>
          <w:rFonts w:ascii="Times New Roman" w:eastAsia="Times New Roman" w:hAnsi="Times New Roman" w:cs="Times New Roman"/>
          <w:b/>
          <w:bCs/>
          <w:sz w:val="24"/>
          <w:szCs w:val="24"/>
          <w:lang w:val="sq-AL"/>
        </w:rPr>
        <w:t>V E N D O S I:</w:t>
      </w:r>
    </w:p>
    <w:p w:rsidR="00ED31EC" w:rsidRPr="006B6760" w:rsidRDefault="00ED31EC" w:rsidP="00ED31EC">
      <w:pPr>
        <w:spacing w:after="0" w:line="360" w:lineRule="auto"/>
        <w:ind w:firstLine="720"/>
        <w:jc w:val="both"/>
        <w:rPr>
          <w:rFonts w:ascii="Times New Roman" w:eastAsia="Times New Roman" w:hAnsi="Times New Roman" w:cs="Times New Roman"/>
          <w:sz w:val="24"/>
          <w:szCs w:val="24"/>
          <w:lang w:val="sq-AL"/>
        </w:rPr>
      </w:pPr>
      <w:r w:rsidRPr="006B6760">
        <w:rPr>
          <w:rFonts w:ascii="Times New Roman" w:eastAsia="Times New Roman" w:hAnsi="Times New Roman" w:cs="Times New Roman"/>
          <w:sz w:val="24"/>
          <w:szCs w:val="24"/>
          <w:lang w:val="sq-AL"/>
        </w:rPr>
        <w:t xml:space="preserve">Moskalimin e çështjes për shqyrtim në seancë plenare.  </w:t>
      </w:r>
    </w:p>
    <w:sectPr w:rsidR="00ED31EC" w:rsidRPr="006B6760" w:rsidSect="00DE7B09">
      <w:footerReference w:type="default" r:id="rId7"/>
      <w:footerReference w:type="first" r:id="rId8"/>
      <w:pgSz w:w="12240" w:h="15840"/>
      <w:pgMar w:top="144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4FE" w:rsidRDefault="007344FE" w:rsidP="002B7783">
      <w:pPr>
        <w:spacing w:after="0" w:line="240" w:lineRule="auto"/>
      </w:pPr>
      <w:r>
        <w:separator/>
      </w:r>
    </w:p>
  </w:endnote>
  <w:endnote w:type="continuationSeparator" w:id="1">
    <w:p w:rsidR="007344FE" w:rsidRDefault="007344FE" w:rsidP="002B77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89333"/>
      <w:docPartObj>
        <w:docPartGallery w:val="Page Numbers (Bottom of Page)"/>
        <w:docPartUnique/>
      </w:docPartObj>
    </w:sdtPr>
    <w:sdtContent>
      <w:p w:rsidR="00AD6EB5" w:rsidRDefault="00D605C9">
        <w:pPr>
          <w:pStyle w:val="Footer"/>
          <w:jc w:val="right"/>
        </w:pPr>
        <w:fldSimple w:instr=" PAGE   \* MERGEFORMAT ">
          <w:r w:rsidR="00ED00A0">
            <w:rPr>
              <w:noProof/>
            </w:rPr>
            <w:t>4</w:t>
          </w:r>
        </w:fldSimple>
      </w:p>
    </w:sdtContent>
  </w:sdt>
  <w:p w:rsidR="00534B21" w:rsidRDefault="007344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89332"/>
      <w:docPartObj>
        <w:docPartGallery w:val="Page Numbers (Bottom of Page)"/>
        <w:docPartUnique/>
      </w:docPartObj>
    </w:sdtPr>
    <w:sdtContent>
      <w:p w:rsidR="00AD6EB5" w:rsidRDefault="00D605C9">
        <w:pPr>
          <w:pStyle w:val="Footer"/>
          <w:jc w:val="right"/>
        </w:pPr>
        <w:fldSimple w:instr=" PAGE   \* MERGEFORMAT ">
          <w:r w:rsidR="00ED00A0">
            <w:rPr>
              <w:noProof/>
            </w:rPr>
            <w:t>1</w:t>
          </w:r>
        </w:fldSimple>
      </w:p>
    </w:sdtContent>
  </w:sdt>
  <w:p w:rsidR="00AD6EB5" w:rsidRDefault="00AD6E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4FE" w:rsidRDefault="007344FE" w:rsidP="002B7783">
      <w:pPr>
        <w:spacing w:after="0" w:line="240" w:lineRule="auto"/>
      </w:pPr>
      <w:r>
        <w:separator/>
      </w:r>
    </w:p>
  </w:footnote>
  <w:footnote w:type="continuationSeparator" w:id="1">
    <w:p w:rsidR="007344FE" w:rsidRDefault="007344FE" w:rsidP="002B77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450CCD"/>
    <w:multiLevelType w:val="hybridMultilevel"/>
    <w:tmpl w:val="4EEE631C"/>
    <w:lvl w:ilvl="0" w:tplc="DC320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D31EC"/>
    <w:rsid w:val="000D31FE"/>
    <w:rsid w:val="000D3B47"/>
    <w:rsid w:val="001F3D3F"/>
    <w:rsid w:val="002B7783"/>
    <w:rsid w:val="00300971"/>
    <w:rsid w:val="00362EA4"/>
    <w:rsid w:val="00392A10"/>
    <w:rsid w:val="00422814"/>
    <w:rsid w:val="005915A2"/>
    <w:rsid w:val="005E7AA2"/>
    <w:rsid w:val="005F0D28"/>
    <w:rsid w:val="006B6760"/>
    <w:rsid w:val="006D3179"/>
    <w:rsid w:val="007344FE"/>
    <w:rsid w:val="00800461"/>
    <w:rsid w:val="008604AE"/>
    <w:rsid w:val="00872A3B"/>
    <w:rsid w:val="008A61F8"/>
    <w:rsid w:val="00935E08"/>
    <w:rsid w:val="00963D77"/>
    <w:rsid w:val="00972306"/>
    <w:rsid w:val="00973CF9"/>
    <w:rsid w:val="00AD6EB5"/>
    <w:rsid w:val="00AE61E6"/>
    <w:rsid w:val="00B529CC"/>
    <w:rsid w:val="00BC105E"/>
    <w:rsid w:val="00C406E9"/>
    <w:rsid w:val="00C73968"/>
    <w:rsid w:val="00D605C9"/>
    <w:rsid w:val="00DE7B09"/>
    <w:rsid w:val="00E0630C"/>
    <w:rsid w:val="00E90D96"/>
    <w:rsid w:val="00EB3796"/>
    <w:rsid w:val="00EC10F6"/>
    <w:rsid w:val="00ED00A0"/>
    <w:rsid w:val="00ED31EC"/>
    <w:rsid w:val="00F1537D"/>
    <w:rsid w:val="00F22A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1E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1EC"/>
    <w:pPr>
      <w:ind w:left="720"/>
      <w:contextualSpacing/>
    </w:pPr>
  </w:style>
  <w:style w:type="paragraph" w:styleId="Footer">
    <w:name w:val="footer"/>
    <w:basedOn w:val="Normal"/>
    <w:link w:val="FooterChar"/>
    <w:uiPriority w:val="99"/>
    <w:unhideWhenUsed/>
    <w:rsid w:val="00ED3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1EC"/>
    <w:rPr>
      <w:rFonts w:eastAsiaTheme="minorEastAsia"/>
    </w:rPr>
  </w:style>
  <w:style w:type="paragraph" w:styleId="BalloonText">
    <w:name w:val="Balloon Text"/>
    <w:basedOn w:val="Normal"/>
    <w:link w:val="BalloonTextChar"/>
    <w:uiPriority w:val="99"/>
    <w:semiHidden/>
    <w:unhideWhenUsed/>
    <w:rsid w:val="00ED3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1EC"/>
    <w:rPr>
      <w:rFonts w:ascii="Tahoma" w:eastAsiaTheme="minorEastAsia" w:hAnsi="Tahoma" w:cs="Tahoma"/>
      <w:sz w:val="16"/>
      <w:szCs w:val="16"/>
    </w:rPr>
  </w:style>
  <w:style w:type="paragraph" w:styleId="Header">
    <w:name w:val="header"/>
    <w:basedOn w:val="Normal"/>
    <w:link w:val="HeaderChar"/>
    <w:uiPriority w:val="99"/>
    <w:semiHidden/>
    <w:unhideWhenUsed/>
    <w:rsid w:val="002B77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7783"/>
    <w:rPr>
      <w:rFonts w:eastAsiaTheme="minorEastAsia"/>
    </w:rPr>
  </w:style>
  <w:style w:type="paragraph" w:styleId="BodyText">
    <w:name w:val="Body Text"/>
    <w:basedOn w:val="Normal"/>
    <w:link w:val="BodyTextChar"/>
    <w:rsid w:val="00AE61E6"/>
    <w:pPr>
      <w:spacing w:after="0" w:line="288" w:lineRule="auto"/>
      <w:jc w:val="both"/>
    </w:pPr>
    <w:rPr>
      <w:rFonts w:ascii="Times New Roman" w:eastAsia="Times New Roman" w:hAnsi="Times New Roman" w:cs="Times New Roman"/>
      <w:sz w:val="21"/>
      <w:szCs w:val="24"/>
    </w:rPr>
  </w:style>
  <w:style w:type="character" w:customStyle="1" w:styleId="BodyTextChar">
    <w:name w:val="Body Text Char"/>
    <w:basedOn w:val="DefaultParagraphFont"/>
    <w:link w:val="BodyText"/>
    <w:rsid w:val="00AE61E6"/>
    <w:rPr>
      <w:rFonts w:ascii="Times New Roman" w:eastAsia="Times New Roman" w:hAnsi="Times New Roman" w:cs="Times New Roman"/>
      <w:sz w:val="21"/>
      <w:szCs w:val="24"/>
    </w:rPr>
  </w:style>
  <w:style w:type="character" w:customStyle="1" w:styleId="Bodytext12pt">
    <w:name w:val="Body text + 12 pt"/>
    <w:basedOn w:val="DefaultParagraphFont"/>
    <w:rsid w:val="005915A2"/>
    <w:rPr>
      <w:rFonts w:ascii="AngsanaUPC" w:eastAsia="AngsanaUPC" w:hAnsi="AngsanaUPC" w:cs="AngsanaUPC"/>
      <w:b w:val="0"/>
      <w:bCs w:val="0"/>
      <w:i w:val="0"/>
      <w:iCs w:val="0"/>
      <w:smallCaps w:val="0"/>
      <w:strike w:val="0"/>
      <w:color w:val="000000"/>
      <w:spacing w:val="0"/>
      <w:w w:val="100"/>
      <w:position w:val="0"/>
      <w:sz w:val="24"/>
      <w:szCs w:val="24"/>
      <w:u w:val="none"/>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ETMOND BUSHAJ</vt:lpstr>
    </vt:vector>
  </TitlesOfParts>
  <Company>Microsoft</Company>
  <LinksUpToDate>false</LinksUpToDate>
  <CharactersWithSpaces>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ETMOND BUSHAJ</dc:title>
  <dc:subject>Dt. 01.07.2016</dc:subject>
  <dc:creator>Sokol BERBERI</dc:creator>
  <cp:lastModifiedBy>user</cp:lastModifiedBy>
  <cp:revision>3</cp:revision>
  <dcterms:created xsi:type="dcterms:W3CDTF">2016-07-12T09:09:00Z</dcterms:created>
  <dcterms:modified xsi:type="dcterms:W3CDTF">2016-07-18T10:48:00Z</dcterms:modified>
</cp:coreProperties>
</file>