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0" w:rsidRDefault="00B67858" w:rsidP="009E4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E4320">
        <w:rPr>
          <w:rFonts w:ascii="Times New Roman" w:eastAsia="Times New Roman" w:hAnsi="Times New Roman" w:cs="Times New Roman"/>
          <w:b/>
          <w:sz w:val="24"/>
          <w:szCs w:val="24"/>
        </w:rPr>
        <w:t xml:space="preserve">endim nr. 23 datë </w:t>
      </w:r>
      <w:r w:rsidR="009E4320" w:rsidRPr="00B678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E43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E4320" w:rsidRPr="00B67858">
        <w:rPr>
          <w:rFonts w:ascii="Times New Roman" w:eastAsia="Times New Roman" w:hAnsi="Times New Roman" w:cs="Times New Roman"/>
          <w:b/>
          <w:sz w:val="24"/>
          <w:szCs w:val="24"/>
        </w:rPr>
        <w:t>.02.2017</w:t>
      </w:r>
    </w:p>
    <w:p w:rsidR="009E4320" w:rsidRDefault="009E4320" w:rsidP="009E43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58" w:rsidRPr="009E4320" w:rsidRDefault="00B67858" w:rsidP="009E4320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sz w:val="24"/>
          <w:szCs w:val="24"/>
        </w:rPr>
        <w:t>Mbledhja e Gjyqtarëve të Gjykatës Kushtetuese të Repu</w:t>
      </w:r>
      <w:r w:rsidR="009E4320">
        <w:rPr>
          <w:rFonts w:ascii="Times New Roman" w:eastAsia="Times New Roman" w:hAnsi="Times New Roman" w:cs="Times New Roman"/>
          <w:sz w:val="24"/>
          <w:szCs w:val="24"/>
        </w:rPr>
        <w:t xml:space="preserve">blikës së Shqipërisë, i përbërë </w:t>
      </w:r>
      <w:r w:rsidRPr="00B67858">
        <w:rPr>
          <w:rFonts w:ascii="Times New Roman" w:eastAsia="Times New Roman" w:hAnsi="Times New Roman" w:cs="Times New Roman"/>
          <w:sz w:val="24"/>
          <w:szCs w:val="24"/>
        </w:rPr>
        <w:t>nga:</w:t>
      </w: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858">
        <w:rPr>
          <w:rFonts w:ascii="Times New Roman" w:hAnsi="Times New Roman" w:cs="Times New Roman"/>
          <w:sz w:val="24"/>
          <w:szCs w:val="24"/>
        </w:rPr>
        <w:t xml:space="preserve">Bashkim Dedja, </w:t>
      </w:r>
      <w:r w:rsidRPr="00B67858">
        <w:rPr>
          <w:rFonts w:ascii="Times New Roman" w:hAnsi="Times New Roman" w:cs="Times New Roman"/>
          <w:sz w:val="24"/>
          <w:szCs w:val="24"/>
        </w:rPr>
        <w:tab/>
        <w:t>Kr</w:t>
      </w:r>
      <w:r w:rsidR="009E4320">
        <w:rPr>
          <w:rFonts w:ascii="Times New Roman" w:hAnsi="Times New Roman" w:cs="Times New Roman"/>
          <w:sz w:val="24"/>
          <w:szCs w:val="24"/>
        </w:rPr>
        <w:t>yetar   i  Gjykatës Kushtetuese</w:t>
      </w: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858">
        <w:rPr>
          <w:rFonts w:ascii="Times New Roman" w:hAnsi="Times New Roman" w:cs="Times New Roman"/>
          <w:sz w:val="24"/>
          <w:szCs w:val="24"/>
        </w:rPr>
        <w:t>Vladimir Kristo,</w:t>
      </w:r>
      <w:r w:rsidRPr="00B67858">
        <w:rPr>
          <w:rFonts w:ascii="Times New Roman" w:hAnsi="Times New Roman" w:cs="Times New Roman"/>
          <w:sz w:val="24"/>
          <w:szCs w:val="24"/>
        </w:rPr>
        <w:tab/>
        <w:t>Anëtar    i</w:t>
      </w:r>
      <w:r w:rsidRPr="00B67858">
        <w:rPr>
          <w:rFonts w:ascii="Times New Roman" w:hAnsi="Times New Roman" w:cs="Times New Roman"/>
          <w:sz w:val="24"/>
          <w:szCs w:val="24"/>
        </w:rPr>
        <w:tab/>
        <w:t>“</w:t>
      </w:r>
      <w:r w:rsidRPr="00B67858">
        <w:rPr>
          <w:rFonts w:ascii="Times New Roman" w:hAnsi="Times New Roman" w:cs="Times New Roman"/>
          <w:sz w:val="24"/>
          <w:szCs w:val="24"/>
        </w:rPr>
        <w:tab/>
        <w:t xml:space="preserve">“   </w:t>
      </w: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858">
        <w:rPr>
          <w:rFonts w:ascii="Times New Roman" w:hAnsi="Times New Roman" w:cs="Times New Roman"/>
          <w:sz w:val="24"/>
          <w:szCs w:val="24"/>
        </w:rPr>
        <w:t xml:space="preserve">Vitore Tusha, </w:t>
      </w:r>
      <w:r w:rsidRPr="00B67858">
        <w:rPr>
          <w:rFonts w:ascii="Times New Roman" w:hAnsi="Times New Roman" w:cs="Times New Roman"/>
          <w:sz w:val="24"/>
          <w:szCs w:val="24"/>
        </w:rPr>
        <w:tab/>
      </w:r>
      <w:r w:rsidRPr="00B67858">
        <w:rPr>
          <w:rFonts w:ascii="Times New Roman" w:hAnsi="Times New Roman" w:cs="Times New Roman"/>
          <w:sz w:val="24"/>
          <w:szCs w:val="24"/>
        </w:rPr>
        <w:tab/>
        <w:t xml:space="preserve">Anëtare  e </w:t>
      </w:r>
      <w:r w:rsidRPr="00B67858">
        <w:rPr>
          <w:rFonts w:ascii="Times New Roman" w:hAnsi="Times New Roman" w:cs="Times New Roman"/>
          <w:sz w:val="24"/>
          <w:szCs w:val="24"/>
        </w:rPr>
        <w:tab/>
        <w:t>“</w:t>
      </w:r>
      <w:r w:rsidRPr="00B67858">
        <w:rPr>
          <w:rFonts w:ascii="Times New Roman" w:hAnsi="Times New Roman" w:cs="Times New Roman"/>
          <w:sz w:val="24"/>
          <w:szCs w:val="24"/>
        </w:rPr>
        <w:tab/>
        <w:t>“</w:t>
      </w: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858">
        <w:rPr>
          <w:rFonts w:ascii="Times New Roman" w:hAnsi="Times New Roman" w:cs="Times New Roman"/>
          <w:sz w:val="24"/>
          <w:szCs w:val="24"/>
        </w:rPr>
        <w:t>Fatmir Hoxha,</w:t>
      </w:r>
      <w:r w:rsidRPr="00B67858">
        <w:rPr>
          <w:rFonts w:ascii="Times New Roman" w:hAnsi="Times New Roman" w:cs="Times New Roman"/>
          <w:sz w:val="24"/>
          <w:szCs w:val="24"/>
        </w:rPr>
        <w:tab/>
      </w:r>
      <w:r w:rsidRPr="00B67858">
        <w:rPr>
          <w:rFonts w:ascii="Times New Roman" w:hAnsi="Times New Roman" w:cs="Times New Roman"/>
          <w:sz w:val="24"/>
          <w:szCs w:val="24"/>
        </w:rPr>
        <w:tab/>
        <w:t>Anëtar    i</w:t>
      </w:r>
      <w:r w:rsidRPr="00B67858">
        <w:rPr>
          <w:rFonts w:ascii="Times New Roman" w:hAnsi="Times New Roman" w:cs="Times New Roman"/>
          <w:sz w:val="24"/>
          <w:szCs w:val="24"/>
        </w:rPr>
        <w:tab/>
        <w:t>“</w:t>
      </w:r>
      <w:r w:rsidRPr="00B67858">
        <w:rPr>
          <w:rFonts w:ascii="Times New Roman" w:hAnsi="Times New Roman" w:cs="Times New Roman"/>
          <w:sz w:val="24"/>
          <w:szCs w:val="24"/>
        </w:rPr>
        <w:tab/>
        <w:t>“</w:t>
      </w:r>
    </w:p>
    <w:p w:rsidR="00B67858" w:rsidRPr="00B67858" w:rsidRDefault="00B67858" w:rsidP="006256CF">
      <w:pPr>
        <w:tabs>
          <w:tab w:val="left" w:pos="2844"/>
          <w:tab w:val="left" w:pos="4320"/>
          <w:tab w:val="left" w:pos="50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Besnik Imeraj,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Anëtar    i 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“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“</w:t>
      </w:r>
    </w:p>
    <w:p w:rsidR="00B67858" w:rsidRPr="00B67858" w:rsidRDefault="00B67858" w:rsidP="006256CF">
      <w:pPr>
        <w:tabs>
          <w:tab w:val="left" w:pos="284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Fatos Lulo,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Anëtar i 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“</w:t>
      </w:r>
      <w:r w:rsidRPr="00B6785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“</w:t>
      </w:r>
    </w:p>
    <w:p w:rsidR="00B67858" w:rsidRPr="00B67858" w:rsidRDefault="00B67858" w:rsidP="006256CF">
      <w:pPr>
        <w:tabs>
          <w:tab w:val="left" w:pos="2844"/>
          <w:tab w:val="left" w:pos="4320"/>
          <w:tab w:val="left" w:pos="50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67858">
        <w:rPr>
          <w:rFonts w:ascii="Times New Roman" w:eastAsia="Times New Roman" w:hAnsi="Times New Roman" w:cs="Times New Roman"/>
          <w:bCs/>
          <w:sz w:val="24"/>
          <w:szCs w:val="24"/>
        </w:rPr>
        <w:t>Gani Dizdari,</w:t>
      </w:r>
      <w:r w:rsidRPr="00B678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78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Anëtar i</w:t>
      </w:r>
      <w:r w:rsidRPr="00B678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  <w:t>“</w:t>
      </w:r>
      <w:r w:rsidRPr="00B678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7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B67858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B67858" w:rsidRPr="00B67858" w:rsidRDefault="00B67858" w:rsidP="006256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858" w:rsidRPr="00B67858" w:rsidRDefault="00B67858" w:rsidP="006256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sz w:val="24"/>
          <w:szCs w:val="24"/>
        </w:rPr>
        <w:t xml:space="preserve">në datën 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67858">
        <w:rPr>
          <w:rFonts w:ascii="Times New Roman" w:eastAsia="Times New Roman" w:hAnsi="Times New Roman" w:cs="Times New Roman"/>
          <w:sz w:val="24"/>
          <w:szCs w:val="24"/>
        </w:rPr>
        <w:t>.02.2017 mori në shqyrtim paraprak kërkesën me nr.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67858">
        <w:rPr>
          <w:rFonts w:ascii="Times New Roman" w:eastAsia="Times New Roman" w:hAnsi="Times New Roman" w:cs="Times New Roman"/>
          <w:sz w:val="24"/>
          <w:szCs w:val="24"/>
        </w:rPr>
        <w:t xml:space="preserve"> Akti, që i përket:</w:t>
      </w:r>
    </w:p>
    <w:p w:rsidR="00B67858" w:rsidRPr="00B67858" w:rsidRDefault="00B67858" w:rsidP="006256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KËRKUES:</w:t>
      </w: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3CDC">
        <w:rPr>
          <w:rFonts w:ascii="Times New Roman" w:eastAsia="Times New Roman" w:hAnsi="Times New Roman" w:cs="Times New Roman"/>
          <w:b/>
          <w:sz w:val="24"/>
          <w:szCs w:val="24"/>
        </w:rPr>
        <w:t>SHAQIR HASANAJ</w:t>
      </w:r>
    </w:p>
    <w:p w:rsidR="00B67858" w:rsidRPr="00B67858" w:rsidRDefault="00B67858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2A5" w:rsidRPr="00201E1E" w:rsidRDefault="00B67858" w:rsidP="006256CF">
      <w:pPr>
        <w:pStyle w:val="JuPara"/>
        <w:spacing w:line="360" w:lineRule="auto"/>
        <w:ind w:left="2880" w:hanging="2160"/>
        <w:outlineLvl w:val="0"/>
        <w:rPr>
          <w:rFonts w:ascii="Times New Roman" w:hAnsi="Times New Roman"/>
          <w:b/>
          <w:bCs/>
          <w:szCs w:val="24"/>
          <w:lang w:val="sq-AL"/>
        </w:rPr>
      </w:pPr>
      <w:r w:rsidRPr="00B67858">
        <w:rPr>
          <w:rFonts w:ascii="Times New Roman" w:eastAsia="Times New Roman" w:hAnsi="Times New Roman" w:cs="Times New Roman"/>
          <w:b/>
          <w:szCs w:val="24"/>
        </w:rPr>
        <w:t>OBJEKTI:</w:t>
      </w:r>
      <w:r w:rsidRPr="00B67858">
        <w:rPr>
          <w:rFonts w:ascii="Times New Roman" w:eastAsia="Times New Roman" w:hAnsi="Times New Roman" w:cs="Times New Roman"/>
          <w:b/>
          <w:szCs w:val="24"/>
        </w:rPr>
        <w:tab/>
      </w:r>
      <w:r w:rsidR="005F52A5" w:rsidRPr="00201E1E">
        <w:rPr>
          <w:rFonts w:ascii="Times New Roman" w:hAnsi="Times New Roman"/>
          <w:b/>
          <w:bCs/>
          <w:szCs w:val="24"/>
          <w:lang w:val="sq-AL"/>
        </w:rPr>
        <w:t>Shfuqizimi si të papajtueshëm me Kushtetutën e Republikës së Shqipërisë të nenit 3 pika 17 e ligjit nr.84/2016 “Për rivlerësimin kalimtar të gjyqtarëve dhe prokurorëve në Republikën e Shqipërisë”.</w:t>
      </w:r>
    </w:p>
    <w:p w:rsidR="005F52A5" w:rsidRDefault="005F52A5" w:rsidP="006256CF">
      <w:pPr>
        <w:tabs>
          <w:tab w:val="left" w:pos="720"/>
        </w:tabs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E1E">
        <w:rPr>
          <w:rFonts w:ascii="Times New Roman" w:eastAsia="Times New Roman" w:hAnsi="Times New Roman" w:cs="Times New Roman"/>
          <w:b/>
          <w:sz w:val="24"/>
          <w:szCs w:val="24"/>
        </w:rPr>
        <w:t>Interpretimin e dispozitave të nenit 86 pika 3 “ Zbatimi i ligjit të ri” të ligjit nr.8577, datë 10.02.2000 “Për organizimin dhe funksionimin e Gjykatës Kushtetuese të Republikës së Shqipërisë”.</w:t>
      </w:r>
    </w:p>
    <w:p w:rsidR="00BD6599" w:rsidRDefault="00BD6599" w:rsidP="006256CF">
      <w:pPr>
        <w:tabs>
          <w:tab w:val="left" w:pos="720"/>
        </w:tabs>
        <w:spacing w:after="0" w:line="360" w:lineRule="auto"/>
        <w:ind w:left="288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2A5" w:rsidRDefault="00B67858" w:rsidP="006256CF">
      <w:pPr>
        <w:tabs>
          <w:tab w:val="left" w:pos="720"/>
        </w:tabs>
        <w:spacing w:after="0" w:line="360" w:lineRule="auto"/>
        <w:ind w:left="288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BAZA LIGJORE:</w:t>
      </w: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7858">
        <w:rPr>
          <w:rFonts w:ascii="Times New Roman" w:eastAsia="Times New Roman" w:hAnsi="Times New Roman" w:cs="Times New Roman"/>
          <w:sz w:val="24"/>
          <w:szCs w:val="24"/>
        </w:rPr>
        <w:t>Nenet 42, 131/f, 134/1/g të Kushtetu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 xml:space="preserve">tës së Republikës së Shqipërisë; neni 70 dhe 71 i ligjit nr.8577/2000 </w:t>
      </w:r>
      <w:r w:rsidR="005F52A5" w:rsidRPr="00B67858">
        <w:rPr>
          <w:rFonts w:ascii="Times New Roman" w:eastAsia="Times New Roman" w:hAnsi="Times New Roman" w:cs="Times New Roman"/>
          <w:sz w:val="24"/>
          <w:szCs w:val="24"/>
        </w:rPr>
        <w:t>“Për organizimin dhe funksionimin e Gjykatës Kushtetue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>se të Republikës së Shqipërisë”.</w:t>
      </w:r>
    </w:p>
    <w:p w:rsidR="00746B13" w:rsidRPr="00B67858" w:rsidRDefault="00746B13" w:rsidP="006256CF">
      <w:pPr>
        <w:tabs>
          <w:tab w:val="left" w:pos="720"/>
        </w:tabs>
        <w:spacing w:after="0" w:line="360" w:lineRule="auto"/>
        <w:ind w:left="288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13" w:rsidRDefault="00746B13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858" w:rsidRDefault="00B67858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sz w:val="24"/>
          <w:szCs w:val="24"/>
        </w:rPr>
        <w:lastRenderedPageBreak/>
        <w:t>Kolegji i Gjykatës Kushtetuese (Kolegji), pasi shqyrtoi kërkesën, dokumentet shoqëruese dhe diskutoi çështjen në tërësi,</w:t>
      </w:r>
    </w:p>
    <w:p w:rsidR="00746B13" w:rsidRPr="00B67858" w:rsidRDefault="00746B13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858" w:rsidRPr="00B67858" w:rsidRDefault="00B67858" w:rsidP="0062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V Ë R E N:</w:t>
      </w:r>
    </w:p>
    <w:p w:rsidR="00B67858" w:rsidRPr="00B67858" w:rsidRDefault="00B67858" w:rsidP="006256CF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5F52A5" w:rsidRDefault="00B67858" w:rsidP="006256CF">
      <w:pPr>
        <w:pStyle w:val="ListParagraph"/>
        <w:numPr>
          <w:ilvl w:val="0"/>
          <w:numId w:val="3"/>
        </w:numPr>
        <w:tabs>
          <w:tab w:val="left" w:pos="450"/>
          <w:tab w:val="left" w:pos="1080"/>
        </w:tabs>
        <w:spacing w:line="360" w:lineRule="auto"/>
        <w:ind w:left="0" w:firstLine="720"/>
        <w:jc w:val="both"/>
      </w:pPr>
      <w:r w:rsidRPr="00B67858">
        <w:rPr>
          <w:rFonts w:eastAsia="Calibri"/>
          <w:bCs/>
        </w:rPr>
        <w:t xml:space="preserve"> </w:t>
      </w:r>
      <w:r w:rsidR="005F52A5">
        <w:t xml:space="preserve">Kërkuesi ushtron detyrën e këshilltarit ligjor pranë Presidentit të Republikës. </w:t>
      </w:r>
    </w:p>
    <w:p w:rsidR="005F52A5" w:rsidRPr="00833938" w:rsidRDefault="005F52A5" w:rsidP="006256CF">
      <w:pPr>
        <w:pStyle w:val="ListParagraph"/>
        <w:numPr>
          <w:ilvl w:val="0"/>
          <w:numId w:val="3"/>
        </w:numPr>
        <w:tabs>
          <w:tab w:val="left" w:pos="450"/>
          <w:tab w:val="left" w:pos="1080"/>
        </w:tabs>
        <w:spacing w:line="360" w:lineRule="auto"/>
        <w:ind w:left="0" w:firstLine="720"/>
        <w:jc w:val="both"/>
      </w:pPr>
      <w:r>
        <w:t>Ai kundërshton ligjin për rivlerësimin kalimtar të gjyqtarëve dhe prokurorëve pasi sipas tij përjashtohen nga konkurrimi juristët që punojnë në kabinetet e disa funksionarëve të shtetit. Konkretisht neni 3, pika 17 e ligjit objekt kërkese parashikon: “</w:t>
      </w:r>
      <w:r w:rsidRPr="0011537D">
        <w:t>Shprehja “nuk ka ushtruar funksione politike në administratën publike” do të thotë që nuk ka qenë deputet, Kryeministër, Zëvendëskryeministër, ministër, zëvendësministër ose nëpunës pjesë e kabinetit të Presidentit të Republikës, Kryetarit të Kuvendit, Kryeministrit, Zëvendëskryeministrit, ose ministrit që kryen detyrën e drejtorit të kabinetit, këshilltarit, ndihmësit, zëdhënësit ose sekretarit personal të titullarit të kabinetit.</w:t>
      </w:r>
      <w:r>
        <w:t>”.</w:t>
      </w:r>
    </w:p>
    <w:p w:rsidR="00746B13" w:rsidRDefault="00746B13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</w:p>
    <w:p w:rsidR="00B67858" w:rsidRPr="00B67858" w:rsidRDefault="00B67858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  <w:r w:rsidRPr="00B67858"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  <w:t>II</w:t>
      </w:r>
    </w:p>
    <w:p w:rsidR="005F52A5" w:rsidRPr="005F52A5" w:rsidRDefault="005F52A5" w:rsidP="00625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2A5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3. </w:t>
      </w:r>
      <w:r w:rsidRPr="005F52A5">
        <w:rPr>
          <w:rFonts w:ascii="Times New Roman" w:eastAsia="Calibri" w:hAnsi="Times New Roman" w:cs="Times New Roman"/>
          <w:b/>
          <w:i/>
          <w:sz w:val="24"/>
          <w:szCs w:val="24"/>
          <w:lang w:eastAsia="fr-FR"/>
        </w:rPr>
        <w:t xml:space="preserve">Kërkuesi </w:t>
      </w:r>
      <w:r w:rsidRPr="005F52A5">
        <w:rPr>
          <w:rFonts w:ascii="Times New Roman" w:eastAsia="Calibri" w:hAnsi="Times New Roman" w:cs="Times New Roman"/>
          <w:sz w:val="24"/>
          <w:szCs w:val="24"/>
          <w:lang w:eastAsia="fr-FR"/>
        </w:rPr>
        <w:t>i është drejtuar me kërkesë Gjykatës Kushtetuese (</w:t>
      </w:r>
      <w:r w:rsidRPr="005F52A5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>Gjykata</w:t>
      </w:r>
      <w:r w:rsidRPr="005F52A5">
        <w:rPr>
          <w:rFonts w:ascii="Times New Roman" w:eastAsia="Calibri" w:hAnsi="Times New Roman" w:cs="Times New Roman"/>
          <w:sz w:val="24"/>
          <w:szCs w:val="24"/>
          <w:lang w:eastAsia="fr-FR"/>
        </w:rPr>
        <w:t>) sipas objektit të saj</w:t>
      </w:r>
      <w:r w:rsidRPr="005F52A5">
        <w:rPr>
          <w:rFonts w:ascii="Times New Roman" w:eastAsia="Times New Roman" w:hAnsi="Times New Roman" w:cs="Times New Roman"/>
          <w:bCs/>
          <w:sz w:val="24"/>
          <w:szCs w:val="24"/>
        </w:rPr>
        <w:t xml:space="preserve">, duke paraqitur si argument faktin se ai përjashtohet në mënyrë të padrejtë nga konkurrimi për anëtar të organeve të rivlerësimit, pasi sipas tij pozicioni i punës që ai ka nuk është politik dhe nuk duhet të trajtohet si i tillë nga ky ligj. Si pasojë atij i cenohet e drejta e tij për të marrë pjesë në funksione publike për shkak të kategorizimit të funksionit që ai ushtron si politik. </w:t>
      </w:r>
    </w:p>
    <w:p w:rsidR="00B67858" w:rsidRPr="00B67858" w:rsidRDefault="00B67858" w:rsidP="006256CF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6B13" w:rsidRDefault="00746B13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</w:p>
    <w:p w:rsidR="008A04F8" w:rsidRDefault="008A04F8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</w:p>
    <w:p w:rsidR="008A04F8" w:rsidRDefault="008A04F8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</w:p>
    <w:p w:rsidR="00B67858" w:rsidRPr="00B67858" w:rsidRDefault="00B67858" w:rsidP="006256CF">
      <w:pPr>
        <w:tabs>
          <w:tab w:val="left" w:pos="720"/>
          <w:tab w:val="left" w:pos="810"/>
          <w:tab w:val="left" w:pos="990"/>
        </w:tabs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  <w:r w:rsidRPr="00B67858"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  <w:t>III</w:t>
      </w:r>
    </w:p>
    <w:p w:rsidR="00B67858" w:rsidRPr="00B67858" w:rsidRDefault="00B67858" w:rsidP="006256C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67858">
        <w:rPr>
          <w:rFonts w:ascii="Times New Roman" w:eastAsia="MS Mincho" w:hAnsi="Times New Roman" w:cs="Times New Roman"/>
          <w:b/>
          <w:sz w:val="24"/>
          <w:szCs w:val="24"/>
        </w:rPr>
        <w:t>Vlerësimi i Mbledhjes së Gjyqtarëve</w:t>
      </w:r>
    </w:p>
    <w:p w:rsidR="00B67858" w:rsidRPr="00B67858" w:rsidRDefault="00B67858" w:rsidP="006256C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7858" w:rsidRPr="00B67858" w:rsidRDefault="005F52A5" w:rsidP="006256CF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Për legjitimimin e kërkuesit</w:t>
      </w:r>
    </w:p>
    <w:p w:rsidR="005F52A5" w:rsidRDefault="005F52A5" w:rsidP="006256C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A5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4. 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2A5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 xml:space="preserve">ërkuesi nuk legjitimohet </w:t>
      </w:r>
      <w:r w:rsidRPr="005F52A5">
        <w:rPr>
          <w:rFonts w:ascii="Times New Roman" w:eastAsia="Times New Roman" w:hAnsi="Times New Roman" w:cs="Times New Roman"/>
          <w:i/>
          <w:sz w:val="24"/>
          <w:szCs w:val="24"/>
        </w:rPr>
        <w:t>ratione personae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>, pasi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 xml:space="preserve"> megjithëse parashikohet si subjekt nga neni 134/1/i i Kushtetutës, bazuar në nenin 86/3 të ligjit nr.8577, datë 10.02.2000 “Për 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organizimin dhe funksionimin e Gjykatës Kushtetuese të Republikës së Shqipërisë”, kërkesat që </w:t>
      </w:r>
      <w:r>
        <w:rPr>
          <w:rFonts w:ascii="Times New Roman" w:eastAsia="Times New Roman" w:hAnsi="Times New Roman" w:cs="Times New Roman"/>
          <w:sz w:val="24"/>
          <w:szCs w:val="24"/>
        </w:rPr>
        <w:t>kanë për objekt një ankimi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midis të tjerave edhe 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>sipas nenit 71 të këtij ligji, hyjnë në fuqi në datën 1 mars 2017. Megjithëse kërkuesi nuk e ka formuluar saktë bazën ligjore se ku e mbështet kërkesën, objekti i kërkimit të referon tek neni 71 i ligji organik, i cili hyn në fuqi në një moment të mëvonshëm, fakt i cili është i shprehur në dispozitat kalimtare të ligjit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organik të Gjykatës Kushtetuese</w:t>
      </w:r>
      <w:r w:rsidRPr="005F5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54" w:rsidRPr="005F52A5" w:rsidRDefault="00304654" w:rsidP="006256C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Gjithashtu, Mbledhja e Gjyqtarëve vlerëson se kërkuesi ka kërkuar deklarimin antikushtetues të ligjit objekt kërkese në rrugën e një kontrolli abstrakt për të cilin ai nuk legjitimohet. Kërkuesi është individ dhe parashikohet si subjekt që vë në lëvizje Gjykatën </w:t>
      </w:r>
      <w:r w:rsidR="00AA6194">
        <w:rPr>
          <w:rFonts w:ascii="Times New Roman" w:eastAsia="Times New Roman" w:hAnsi="Times New Roman" w:cs="Times New Roman"/>
          <w:sz w:val="24"/>
          <w:szCs w:val="24"/>
        </w:rPr>
        <w:t xml:space="preserve">Kushtetuese nga neni 134/1/i i Kushtetutës. Kushtet që duhet të plotësojë ky subjekt për t’iu drejtuar Gjykatës Kushtetuese, përveç justifikimit të interesit të tij të drejtpërdrejt sipas nenit 134/2 të Kushtetutës, janë edhe shterimi i të gjitha mjeteve juridike efektive për mbrojtjen e të drejtave që kërkuesi pretendon se i janë cenuar nga akti që kundërshton. Pra, individi nuk mund të vërë në lëvizje Gjykatën Kushtetuese pa filluar zbatimi konkret i një akti normativ, mbi bazë të cilit duhet të ketë dalë një akt individual </w:t>
      </w:r>
      <w:r w:rsidR="00A4163D">
        <w:rPr>
          <w:rFonts w:ascii="Times New Roman" w:eastAsia="Times New Roman" w:hAnsi="Times New Roman" w:cs="Times New Roman"/>
          <w:sz w:val="24"/>
          <w:szCs w:val="24"/>
        </w:rPr>
        <w:t>që cenon të drejtat dhe liritë themelore të kërkuesit. Në këto kushte, individi duhet të shterojë mjetet juridike të tjera që ofron sistemi juridik para se t’i drejtohet kësaj Gjykate.</w:t>
      </w:r>
    </w:p>
    <w:p w:rsidR="005F52A5" w:rsidRPr="005F52A5" w:rsidRDefault="00A4163D" w:rsidP="006256C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F52A5" w:rsidRPr="005F52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Për këtë arsye, </w:t>
      </w:r>
      <w:r w:rsidR="005F52A5" w:rsidRPr="00B67858">
        <w:rPr>
          <w:rFonts w:ascii="Times New Roman" w:hAnsi="Times New Roman" w:cs="Times New Roman"/>
          <w:sz w:val="24"/>
          <w:szCs w:val="24"/>
        </w:rPr>
        <w:t xml:space="preserve">Mbledhja e Gjyqtarëve arrin në përfundimin se, bazuar në kërkesat </w:t>
      </w:r>
      <w:r w:rsidR="005F52A5">
        <w:rPr>
          <w:rFonts w:ascii="Times New Roman" w:hAnsi="Times New Roman" w:cs="Times New Roman"/>
          <w:sz w:val="24"/>
          <w:szCs w:val="24"/>
        </w:rPr>
        <w:t>e nenit 86/3 e ligjit</w:t>
      </w:r>
      <w:r w:rsidR="005F52A5" w:rsidRPr="005F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2A5" w:rsidRPr="00B67858">
        <w:rPr>
          <w:rFonts w:ascii="Times New Roman" w:eastAsia="Times New Roman" w:hAnsi="Times New Roman" w:cs="Times New Roman"/>
          <w:sz w:val="24"/>
          <w:szCs w:val="24"/>
        </w:rPr>
        <w:t>nr.8577, datë 10.02.2000 “Për organizimin dhe funksionimin e Gjykatës Kushtetuese të Republikës së Shqipërisë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 xml:space="preserve">, të ndryshuar, kërkuesit i mungon </w:t>
      </w:r>
      <w:r w:rsidR="005F52A5" w:rsidRPr="005F52A5">
        <w:rPr>
          <w:rFonts w:ascii="Times New Roman" w:eastAsia="Times New Roman" w:hAnsi="Times New Roman" w:cs="Times New Roman"/>
          <w:sz w:val="24"/>
          <w:szCs w:val="24"/>
        </w:rPr>
        <w:t>legjitimiteti aktiv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nuk ka shteruar mjetet juridike efektive në dispozicion</w:t>
      </w:r>
      <w:r w:rsidR="005F52A5" w:rsidRPr="005F5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6B13" w:rsidRDefault="00746B13" w:rsidP="006256C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58" w:rsidRPr="00B67858" w:rsidRDefault="00B67858" w:rsidP="006256C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PËR KËTO ARSYE,</w:t>
      </w:r>
    </w:p>
    <w:p w:rsidR="00B67858" w:rsidRPr="00B67858" w:rsidRDefault="00B67858" w:rsidP="006256C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858">
        <w:rPr>
          <w:rFonts w:ascii="Times New Roman" w:eastAsia="Times New Roman" w:hAnsi="Times New Roman" w:cs="Times New Roman"/>
          <w:sz w:val="24"/>
          <w:szCs w:val="24"/>
        </w:rPr>
        <w:t>Mbledhja e Gjyqtarëve e Gjykatës Kushtetuese të Republikës së Shqipërisë, në bazë të nenit 31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7858">
        <w:rPr>
          <w:rFonts w:ascii="Times New Roman" w:eastAsia="Times New Roman" w:hAnsi="Times New Roman" w:cs="Times New Roman"/>
          <w:sz w:val="24"/>
          <w:szCs w:val="24"/>
        </w:rPr>
        <w:t xml:space="preserve"> 31/a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 xml:space="preserve"> dhe 86/3</w:t>
      </w:r>
      <w:r w:rsidRPr="00B67858">
        <w:rPr>
          <w:rFonts w:ascii="Times New Roman" w:eastAsia="Times New Roman" w:hAnsi="Times New Roman" w:cs="Times New Roman"/>
          <w:sz w:val="24"/>
          <w:szCs w:val="24"/>
        </w:rPr>
        <w:t xml:space="preserve"> të ligjit nr.8577, datë 10.02.2000 “Për organizimin dhe funksionimin e Gjykatës Kushtetuese të Republikës së Shqipërisë”,</w:t>
      </w:r>
      <w:r w:rsidR="005F52A5">
        <w:rPr>
          <w:rFonts w:ascii="Times New Roman" w:eastAsia="Times New Roman" w:hAnsi="Times New Roman" w:cs="Times New Roman"/>
          <w:sz w:val="24"/>
          <w:szCs w:val="24"/>
        </w:rPr>
        <w:t xml:space="preserve"> të ndryshuar,</w:t>
      </w:r>
    </w:p>
    <w:p w:rsidR="00B67858" w:rsidRPr="00B67858" w:rsidRDefault="00B67858" w:rsidP="0062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58" w:rsidRPr="00B67858" w:rsidRDefault="00B67858" w:rsidP="0062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858">
        <w:rPr>
          <w:rFonts w:ascii="Times New Roman" w:eastAsia="Times New Roman" w:hAnsi="Times New Roman" w:cs="Times New Roman"/>
          <w:b/>
          <w:sz w:val="24"/>
          <w:szCs w:val="24"/>
        </w:rPr>
        <w:t>V E N D O S I:</w:t>
      </w:r>
    </w:p>
    <w:p w:rsidR="00201CBF" w:rsidRDefault="00B67858" w:rsidP="00BD6599">
      <w:pPr>
        <w:spacing w:after="0" w:line="360" w:lineRule="auto"/>
        <w:ind w:firstLine="720"/>
        <w:jc w:val="both"/>
      </w:pPr>
      <w:r w:rsidRPr="00B67858">
        <w:rPr>
          <w:rFonts w:ascii="Times New Roman" w:eastAsia="Times New Roman" w:hAnsi="Times New Roman" w:cs="Times New Roman"/>
          <w:sz w:val="24"/>
          <w:szCs w:val="24"/>
        </w:rPr>
        <w:t>Moskalimin e çështjes për shqyrtim në seancë plenare.</w:t>
      </w:r>
    </w:p>
    <w:sectPr w:rsidR="00201CBF" w:rsidSect="008A04F8">
      <w:footerReference w:type="default" r:id="rId8"/>
      <w:pgSz w:w="12240" w:h="15840"/>
      <w:pgMar w:top="15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86" w:rsidRDefault="004F5A86" w:rsidP="00521A1C">
      <w:pPr>
        <w:spacing w:after="0" w:line="240" w:lineRule="auto"/>
      </w:pPr>
      <w:r>
        <w:separator/>
      </w:r>
    </w:p>
  </w:endnote>
  <w:endnote w:type="continuationSeparator" w:id="0">
    <w:p w:rsidR="004F5A86" w:rsidRDefault="004F5A86" w:rsidP="005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683"/>
      <w:docPartObj>
        <w:docPartGallery w:val="Page Numbers (Bottom of Page)"/>
        <w:docPartUnique/>
      </w:docPartObj>
    </w:sdtPr>
    <w:sdtContent>
      <w:p w:rsidR="008A04F8" w:rsidRDefault="000C11D6">
        <w:pPr>
          <w:pStyle w:val="Footer"/>
          <w:jc w:val="right"/>
        </w:pPr>
        <w:fldSimple w:instr=" PAGE   \* MERGEFORMAT ">
          <w:r w:rsidR="00BD6599">
            <w:rPr>
              <w:noProof/>
            </w:rPr>
            <w:t>3</w:t>
          </w:r>
        </w:fldSimple>
      </w:p>
    </w:sdtContent>
  </w:sdt>
  <w:p w:rsidR="00993786" w:rsidRDefault="004F5A8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86" w:rsidRDefault="004F5A86" w:rsidP="00521A1C">
      <w:pPr>
        <w:spacing w:after="0" w:line="240" w:lineRule="auto"/>
      </w:pPr>
      <w:r>
        <w:separator/>
      </w:r>
    </w:p>
  </w:footnote>
  <w:footnote w:type="continuationSeparator" w:id="0">
    <w:p w:rsidR="004F5A86" w:rsidRDefault="004F5A86" w:rsidP="005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C8F"/>
    <w:multiLevelType w:val="hybridMultilevel"/>
    <w:tmpl w:val="1C98728A"/>
    <w:lvl w:ilvl="0" w:tplc="A1AE2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D1E79"/>
    <w:multiLevelType w:val="hybridMultilevel"/>
    <w:tmpl w:val="0016CB9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550"/>
    <w:multiLevelType w:val="hybridMultilevel"/>
    <w:tmpl w:val="F7949C34"/>
    <w:lvl w:ilvl="0" w:tplc="82E6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58"/>
    <w:rsid w:val="000304F7"/>
    <w:rsid w:val="000C11D6"/>
    <w:rsid w:val="0013301C"/>
    <w:rsid w:val="0013640B"/>
    <w:rsid w:val="00201CBF"/>
    <w:rsid w:val="00201E1E"/>
    <w:rsid w:val="00223CDC"/>
    <w:rsid w:val="00304654"/>
    <w:rsid w:val="00494C9E"/>
    <w:rsid w:val="004A3639"/>
    <w:rsid w:val="004F5A86"/>
    <w:rsid w:val="00521A1C"/>
    <w:rsid w:val="005F52A5"/>
    <w:rsid w:val="006256CF"/>
    <w:rsid w:val="00650DFD"/>
    <w:rsid w:val="006779B9"/>
    <w:rsid w:val="00716AE7"/>
    <w:rsid w:val="00746B13"/>
    <w:rsid w:val="008A04F8"/>
    <w:rsid w:val="00951EBB"/>
    <w:rsid w:val="00957637"/>
    <w:rsid w:val="009610E6"/>
    <w:rsid w:val="009E4320"/>
    <w:rsid w:val="00A11FF3"/>
    <w:rsid w:val="00A4163D"/>
    <w:rsid w:val="00AA6194"/>
    <w:rsid w:val="00B34F69"/>
    <w:rsid w:val="00B67858"/>
    <w:rsid w:val="00BA1961"/>
    <w:rsid w:val="00BD6599"/>
    <w:rsid w:val="00E67714"/>
    <w:rsid w:val="00F20517"/>
    <w:rsid w:val="00FB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0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58"/>
    <w:rPr>
      <w:lang w:val="sq-AL"/>
    </w:rPr>
  </w:style>
  <w:style w:type="character" w:customStyle="1" w:styleId="JuParaCar">
    <w:name w:val="Ju_Para Car"/>
    <w:basedOn w:val="DefaultParagraphFont"/>
    <w:link w:val="JuPara"/>
    <w:locked/>
    <w:rsid w:val="005F52A5"/>
    <w:rPr>
      <w:rFonts w:ascii="Calibri" w:eastAsia="Calibri" w:hAnsi="Calibri"/>
      <w:sz w:val="24"/>
      <w:lang w:val="en-GB" w:eastAsia="fr-FR"/>
    </w:rPr>
  </w:style>
  <w:style w:type="paragraph" w:customStyle="1" w:styleId="JuPara">
    <w:name w:val="Ju_Para"/>
    <w:basedOn w:val="Normal"/>
    <w:link w:val="JuParaCar"/>
    <w:rsid w:val="005F52A5"/>
    <w:pPr>
      <w:suppressAutoHyphens/>
      <w:spacing w:after="0" w:line="240" w:lineRule="auto"/>
      <w:ind w:firstLine="284"/>
      <w:jc w:val="both"/>
    </w:pPr>
    <w:rPr>
      <w:rFonts w:ascii="Calibri" w:eastAsia="Calibri" w:hAnsi="Calibri"/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5F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1C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1E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E0B0-AF84-43FE-BA57-BBACDF4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Vorpsi</dc:creator>
  <cp:lastModifiedBy>user</cp:lastModifiedBy>
  <cp:revision>5</cp:revision>
  <cp:lastPrinted>2017-02-27T14:05:00Z</cp:lastPrinted>
  <dcterms:created xsi:type="dcterms:W3CDTF">2017-02-23T09:23:00Z</dcterms:created>
  <dcterms:modified xsi:type="dcterms:W3CDTF">2017-03-01T08:50:00Z</dcterms:modified>
</cp:coreProperties>
</file>