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BE" w:rsidRDefault="00E139BE" w:rsidP="00F9600F">
      <w:pPr>
        <w:spacing w:after="0" w:line="360" w:lineRule="auto"/>
        <w:jc w:val="center"/>
        <w:rPr>
          <w:rFonts w:ascii="Times New Roman" w:hAnsi="Times New Roman"/>
          <w:b/>
          <w:sz w:val="24"/>
          <w:szCs w:val="24"/>
        </w:rPr>
      </w:pPr>
      <w:r w:rsidRPr="007529D8">
        <w:rPr>
          <w:rFonts w:ascii="Times New Roman" w:hAnsi="Times New Roman"/>
          <w:b/>
          <w:bCs/>
          <w:sz w:val="24"/>
          <w:szCs w:val="24"/>
        </w:rPr>
        <w:t>V</w:t>
      </w:r>
      <w:r w:rsidR="00F9600F">
        <w:rPr>
          <w:rFonts w:ascii="Times New Roman" w:hAnsi="Times New Roman"/>
          <w:b/>
          <w:bCs/>
          <w:sz w:val="24"/>
          <w:szCs w:val="24"/>
        </w:rPr>
        <w:t xml:space="preserve">endim nr. 90 datë </w:t>
      </w:r>
      <w:r w:rsidR="00F9600F" w:rsidRPr="006A4A6F">
        <w:rPr>
          <w:rFonts w:ascii="Times New Roman" w:hAnsi="Times New Roman"/>
          <w:b/>
          <w:sz w:val="24"/>
          <w:szCs w:val="24"/>
        </w:rPr>
        <w:t>2</w:t>
      </w:r>
      <w:r w:rsidR="00F9600F">
        <w:rPr>
          <w:rFonts w:ascii="Times New Roman" w:hAnsi="Times New Roman"/>
          <w:b/>
          <w:sz w:val="24"/>
          <w:szCs w:val="24"/>
        </w:rPr>
        <w:t>8</w:t>
      </w:r>
      <w:r w:rsidR="00F9600F" w:rsidRPr="006A4A6F">
        <w:rPr>
          <w:rFonts w:ascii="Times New Roman" w:hAnsi="Times New Roman"/>
          <w:b/>
          <w:sz w:val="24"/>
          <w:szCs w:val="24"/>
        </w:rPr>
        <w:t>.0</w:t>
      </w:r>
      <w:r w:rsidR="00F9600F">
        <w:rPr>
          <w:rFonts w:ascii="Times New Roman" w:hAnsi="Times New Roman"/>
          <w:b/>
          <w:sz w:val="24"/>
          <w:szCs w:val="24"/>
        </w:rPr>
        <w:t>4</w:t>
      </w:r>
      <w:r w:rsidR="00F9600F" w:rsidRPr="006A4A6F">
        <w:rPr>
          <w:rFonts w:ascii="Times New Roman" w:hAnsi="Times New Roman"/>
          <w:b/>
          <w:sz w:val="24"/>
          <w:szCs w:val="24"/>
        </w:rPr>
        <w:t>.2017</w:t>
      </w:r>
    </w:p>
    <w:p w:rsidR="00F9600F" w:rsidRPr="007529D8" w:rsidRDefault="00F9600F" w:rsidP="00E139BE">
      <w:pPr>
        <w:spacing w:after="0" w:line="360" w:lineRule="auto"/>
        <w:jc w:val="center"/>
        <w:rPr>
          <w:rFonts w:ascii="Times New Roman" w:hAnsi="Times New Roman"/>
          <w:b/>
          <w:bCs/>
          <w:sz w:val="24"/>
          <w:szCs w:val="24"/>
        </w:rPr>
      </w:pPr>
    </w:p>
    <w:p w:rsidR="00E139BE" w:rsidRPr="007529D8" w:rsidRDefault="00E139BE" w:rsidP="00E139BE">
      <w:pPr>
        <w:spacing w:after="0" w:line="360" w:lineRule="auto"/>
        <w:ind w:firstLine="567"/>
        <w:jc w:val="both"/>
        <w:rPr>
          <w:rFonts w:ascii="Times New Roman" w:hAnsi="Times New Roman"/>
          <w:sz w:val="24"/>
          <w:szCs w:val="24"/>
        </w:rPr>
      </w:pPr>
      <w:r w:rsidRPr="007529D8">
        <w:rPr>
          <w:rFonts w:ascii="Times New Roman" w:hAnsi="Times New Roman"/>
          <w:sz w:val="24"/>
          <w:szCs w:val="24"/>
        </w:rPr>
        <w:t>Kolegji i Gjykatës Kushtetuese të Republikës së Shqipërisë, i përbërë nga:</w:t>
      </w:r>
    </w:p>
    <w:p w:rsidR="00E139BE" w:rsidRPr="007529D8" w:rsidRDefault="00E139BE" w:rsidP="00E139BE">
      <w:pPr>
        <w:spacing w:after="0" w:line="360" w:lineRule="auto"/>
        <w:ind w:firstLine="720"/>
        <w:jc w:val="both"/>
        <w:rPr>
          <w:rFonts w:ascii="Times New Roman" w:hAnsi="Times New Roman"/>
          <w:bCs/>
          <w:sz w:val="24"/>
          <w:szCs w:val="24"/>
        </w:rPr>
      </w:pPr>
    </w:p>
    <w:p w:rsidR="00E139BE" w:rsidRPr="007529D8" w:rsidRDefault="00E139BE" w:rsidP="00E139BE">
      <w:pPr>
        <w:spacing w:after="0" w:line="360" w:lineRule="auto"/>
        <w:ind w:firstLine="720"/>
        <w:jc w:val="both"/>
        <w:rPr>
          <w:rFonts w:ascii="Times New Roman" w:hAnsi="Times New Roman"/>
          <w:bCs/>
          <w:sz w:val="24"/>
          <w:szCs w:val="24"/>
        </w:rPr>
      </w:pPr>
      <w:r w:rsidRPr="007529D8">
        <w:rPr>
          <w:rFonts w:ascii="Times New Roman" w:hAnsi="Times New Roman"/>
          <w:bCs/>
          <w:sz w:val="24"/>
          <w:szCs w:val="24"/>
        </w:rPr>
        <w:t>Fatmir Hoxha,</w:t>
      </w:r>
      <w:r w:rsidRPr="007529D8">
        <w:rPr>
          <w:rFonts w:ascii="Times New Roman" w:hAnsi="Times New Roman"/>
          <w:bCs/>
          <w:sz w:val="24"/>
          <w:szCs w:val="24"/>
        </w:rPr>
        <w:tab/>
      </w:r>
      <w:r>
        <w:rPr>
          <w:rFonts w:ascii="Times New Roman" w:hAnsi="Times New Roman"/>
          <w:bCs/>
          <w:sz w:val="24"/>
          <w:szCs w:val="24"/>
        </w:rPr>
        <w:tab/>
        <w:t>Anëtar</w:t>
      </w:r>
      <w:r w:rsidRPr="007529D8">
        <w:rPr>
          <w:rFonts w:ascii="Times New Roman" w:hAnsi="Times New Roman"/>
          <w:bCs/>
          <w:sz w:val="24"/>
          <w:szCs w:val="24"/>
        </w:rPr>
        <w:t xml:space="preserve">   i   Gjykatës  Kushtetuese</w:t>
      </w:r>
    </w:p>
    <w:p w:rsidR="00E139BE" w:rsidRPr="007529D8" w:rsidRDefault="00E139BE" w:rsidP="00E139BE">
      <w:pPr>
        <w:spacing w:after="0" w:line="360" w:lineRule="auto"/>
        <w:ind w:firstLine="720"/>
        <w:jc w:val="both"/>
        <w:rPr>
          <w:rFonts w:ascii="Times New Roman" w:hAnsi="Times New Roman"/>
          <w:bCs/>
          <w:sz w:val="24"/>
          <w:szCs w:val="24"/>
        </w:rPr>
      </w:pPr>
      <w:r w:rsidRPr="007529D8">
        <w:rPr>
          <w:rFonts w:ascii="Times New Roman" w:hAnsi="Times New Roman"/>
          <w:bCs/>
          <w:sz w:val="24"/>
          <w:szCs w:val="24"/>
        </w:rPr>
        <w:t>Fatos Lulo,</w:t>
      </w:r>
      <w:r w:rsidRPr="007529D8">
        <w:rPr>
          <w:rFonts w:ascii="Times New Roman" w:hAnsi="Times New Roman"/>
          <w:bCs/>
          <w:sz w:val="24"/>
          <w:szCs w:val="24"/>
        </w:rPr>
        <w:tab/>
      </w:r>
      <w:r w:rsidRPr="007529D8">
        <w:rPr>
          <w:rFonts w:ascii="Times New Roman" w:hAnsi="Times New Roman"/>
          <w:bCs/>
          <w:sz w:val="24"/>
          <w:szCs w:val="24"/>
        </w:rPr>
        <w:tab/>
        <w:t>Anëtar    i        “             “</w:t>
      </w:r>
    </w:p>
    <w:p w:rsidR="00E139BE" w:rsidRPr="007529D8" w:rsidRDefault="00E139BE" w:rsidP="00E139BE">
      <w:pPr>
        <w:spacing w:after="0" w:line="360" w:lineRule="auto"/>
        <w:ind w:firstLine="720"/>
        <w:jc w:val="both"/>
        <w:rPr>
          <w:rFonts w:ascii="Times New Roman" w:hAnsi="Times New Roman"/>
          <w:bCs/>
          <w:sz w:val="24"/>
          <w:szCs w:val="24"/>
        </w:rPr>
      </w:pPr>
      <w:r>
        <w:rPr>
          <w:rFonts w:ascii="Times New Roman" w:hAnsi="Times New Roman"/>
          <w:bCs/>
          <w:sz w:val="24"/>
          <w:szCs w:val="24"/>
        </w:rPr>
        <w:t>Gani Dizdari</w:t>
      </w:r>
      <w:r w:rsidRPr="007529D8">
        <w:rPr>
          <w:rFonts w:ascii="Times New Roman" w:hAnsi="Times New Roman"/>
          <w:bCs/>
          <w:sz w:val="24"/>
          <w:szCs w:val="24"/>
        </w:rPr>
        <w:t>,</w:t>
      </w:r>
      <w:r w:rsidRPr="007529D8">
        <w:rPr>
          <w:rFonts w:ascii="Times New Roman" w:hAnsi="Times New Roman"/>
          <w:bCs/>
          <w:sz w:val="24"/>
          <w:szCs w:val="24"/>
        </w:rPr>
        <w:tab/>
      </w:r>
      <w:r w:rsidRPr="007529D8">
        <w:rPr>
          <w:rFonts w:ascii="Times New Roman" w:hAnsi="Times New Roman"/>
          <w:bCs/>
          <w:sz w:val="24"/>
          <w:szCs w:val="24"/>
        </w:rPr>
        <w:tab/>
        <w:t>Anëtar    i        “             “</w:t>
      </w:r>
    </w:p>
    <w:p w:rsidR="00E139BE" w:rsidRPr="007529D8" w:rsidRDefault="00E139BE" w:rsidP="00E139BE">
      <w:pPr>
        <w:spacing w:after="0" w:line="360" w:lineRule="auto"/>
        <w:jc w:val="both"/>
        <w:rPr>
          <w:rFonts w:ascii="Times New Roman" w:hAnsi="Times New Roman"/>
          <w:sz w:val="24"/>
          <w:szCs w:val="24"/>
        </w:rPr>
      </w:pPr>
    </w:p>
    <w:p w:rsidR="00E139BE" w:rsidRPr="007529D8" w:rsidRDefault="00E139BE" w:rsidP="00E139BE">
      <w:pPr>
        <w:spacing w:after="0" w:line="360" w:lineRule="auto"/>
        <w:jc w:val="both"/>
        <w:rPr>
          <w:rFonts w:ascii="Times New Roman" w:hAnsi="Times New Roman"/>
          <w:sz w:val="24"/>
          <w:szCs w:val="24"/>
        </w:rPr>
      </w:pPr>
      <w:r>
        <w:rPr>
          <w:rFonts w:ascii="Times New Roman" w:hAnsi="Times New Roman"/>
          <w:sz w:val="24"/>
          <w:szCs w:val="24"/>
        </w:rPr>
        <w:t>në datën 28.04</w:t>
      </w:r>
      <w:r w:rsidRPr="007529D8">
        <w:rPr>
          <w:rFonts w:ascii="Times New Roman" w:hAnsi="Times New Roman"/>
          <w:sz w:val="24"/>
          <w:szCs w:val="24"/>
        </w:rPr>
        <w:t>.2017 mori në sh</w:t>
      </w:r>
      <w:r>
        <w:rPr>
          <w:rFonts w:ascii="Times New Roman" w:hAnsi="Times New Roman"/>
          <w:sz w:val="24"/>
          <w:szCs w:val="24"/>
        </w:rPr>
        <w:t>qyrtim paraprak kërkesën me nr.9</w:t>
      </w:r>
      <w:r w:rsidR="00D01685">
        <w:rPr>
          <w:rFonts w:ascii="Times New Roman" w:hAnsi="Times New Roman"/>
          <w:sz w:val="24"/>
          <w:szCs w:val="24"/>
        </w:rPr>
        <w:t xml:space="preserve">0 </w:t>
      </w:r>
      <w:r w:rsidRPr="007529D8">
        <w:rPr>
          <w:rFonts w:ascii="Times New Roman" w:hAnsi="Times New Roman"/>
          <w:sz w:val="24"/>
          <w:szCs w:val="24"/>
        </w:rPr>
        <w:t>Akti, që i përket:</w:t>
      </w:r>
    </w:p>
    <w:p w:rsidR="00E139BE" w:rsidRPr="003F29D9" w:rsidRDefault="00E139BE" w:rsidP="00E139BE">
      <w:pPr>
        <w:spacing w:after="0" w:line="360" w:lineRule="auto"/>
        <w:ind w:left="2160" w:hanging="1440"/>
        <w:jc w:val="both"/>
        <w:rPr>
          <w:rFonts w:ascii="Times New Roman" w:eastAsia="Times New Roman" w:hAnsi="Times New Roman"/>
          <w:b/>
          <w:sz w:val="24"/>
          <w:szCs w:val="24"/>
        </w:rPr>
      </w:pPr>
    </w:p>
    <w:p w:rsidR="00E139BE" w:rsidRPr="007529D8" w:rsidRDefault="00E139BE" w:rsidP="00180FBE">
      <w:pPr>
        <w:spacing w:after="0" w:line="360" w:lineRule="auto"/>
        <w:ind w:firstLine="720"/>
        <w:jc w:val="both"/>
        <w:rPr>
          <w:rFonts w:ascii="Times New Roman" w:eastAsia="Times New Roman" w:hAnsi="Times New Roman"/>
          <w:bCs/>
          <w:caps/>
          <w:sz w:val="24"/>
          <w:szCs w:val="24"/>
        </w:rPr>
      </w:pPr>
      <w:r w:rsidRPr="00D00ABC">
        <w:rPr>
          <w:rFonts w:ascii="Times New Roman" w:eastAsia="Times New Roman" w:hAnsi="Times New Roman"/>
          <w:b/>
          <w:caps/>
          <w:sz w:val="24"/>
          <w:szCs w:val="24"/>
        </w:rPr>
        <w:t>Kërkues</w:t>
      </w:r>
      <w:r w:rsidR="00180FBE">
        <w:rPr>
          <w:rFonts w:ascii="Times New Roman" w:eastAsia="Times New Roman" w:hAnsi="Times New Roman"/>
          <w:b/>
          <w:caps/>
          <w:sz w:val="24"/>
          <w:szCs w:val="24"/>
        </w:rPr>
        <w:t>E</w:t>
      </w:r>
      <w:r w:rsidRPr="00D00ABC">
        <w:rPr>
          <w:rFonts w:ascii="Times New Roman" w:eastAsia="Times New Roman" w:hAnsi="Times New Roman"/>
          <w:b/>
          <w:caps/>
          <w:sz w:val="24"/>
          <w:szCs w:val="24"/>
        </w:rPr>
        <w:t>:</w:t>
      </w:r>
      <w:r w:rsidRPr="00D00ABC">
        <w:rPr>
          <w:rFonts w:ascii="Times New Roman" w:eastAsia="Times New Roman" w:hAnsi="Times New Roman"/>
          <w:b/>
          <w:sz w:val="24"/>
          <w:szCs w:val="24"/>
        </w:rPr>
        <w:t xml:space="preserve"> </w:t>
      </w:r>
      <w:r w:rsidRPr="003F29D9">
        <w:rPr>
          <w:rFonts w:ascii="Times New Roman" w:eastAsia="Times New Roman" w:hAnsi="Times New Roman"/>
          <w:b/>
          <w:sz w:val="24"/>
          <w:szCs w:val="24"/>
        </w:rPr>
        <w:tab/>
      </w:r>
      <w:r w:rsidR="00FC54D1">
        <w:rPr>
          <w:rFonts w:ascii="Times New Roman" w:eastAsia="Times New Roman" w:hAnsi="Times New Roman"/>
          <w:b/>
          <w:sz w:val="24"/>
          <w:szCs w:val="24"/>
        </w:rPr>
        <w:t>DHURATA MERLIKA</w:t>
      </w:r>
    </w:p>
    <w:p w:rsidR="00E139BE" w:rsidRPr="007529D8" w:rsidRDefault="00E139BE" w:rsidP="00E139BE">
      <w:pPr>
        <w:spacing w:after="0" w:line="360" w:lineRule="auto"/>
        <w:jc w:val="both"/>
        <w:rPr>
          <w:rFonts w:ascii="Times New Roman" w:eastAsia="Times New Roman" w:hAnsi="Times New Roman"/>
          <w:caps/>
          <w:sz w:val="24"/>
          <w:szCs w:val="24"/>
        </w:rPr>
      </w:pPr>
    </w:p>
    <w:p w:rsidR="00E139BE" w:rsidRPr="00FC54D1" w:rsidRDefault="00E139BE" w:rsidP="00180FBE">
      <w:pPr>
        <w:spacing w:after="0" w:line="360" w:lineRule="auto"/>
        <w:ind w:left="2880" w:hanging="2160"/>
        <w:jc w:val="both"/>
        <w:rPr>
          <w:rFonts w:ascii="Times New Roman" w:hAnsi="Times New Roman"/>
          <w:b/>
          <w:sz w:val="24"/>
          <w:szCs w:val="24"/>
        </w:rPr>
      </w:pPr>
      <w:r w:rsidRPr="00D00ABC">
        <w:rPr>
          <w:rFonts w:ascii="Times New Roman" w:eastAsia="Times New Roman" w:hAnsi="Times New Roman"/>
          <w:b/>
          <w:caps/>
          <w:sz w:val="24"/>
          <w:szCs w:val="24"/>
        </w:rPr>
        <w:t>Objekti:</w:t>
      </w:r>
      <w:r w:rsidRPr="003F29D9">
        <w:rPr>
          <w:rFonts w:ascii="Times New Roman" w:eastAsia="Times New Roman" w:hAnsi="Times New Roman"/>
          <w:b/>
          <w:sz w:val="24"/>
          <w:szCs w:val="24"/>
        </w:rPr>
        <w:tab/>
      </w:r>
      <w:r w:rsidR="00180FBE">
        <w:rPr>
          <w:rFonts w:ascii="Times New Roman" w:eastAsia="Times New Roman" w:hAnsi="Times New Roman"/>
          <w:b/>
          <w:bCs/>
          <w:sz w:val="24"/>
          <w:szCs w:val="24"/>
        </w:rPr>
        <w:t>Shfuqizimi</w:t>
      </w:r>
      <w:r w:rsidR="00FC54D1" w:rsidRPr="00FC54D1">
        <w:rPr>
          <w:rFonts w:ascii="Times New Roman" w:eastAsia="Times New Roman" w:hAnsi="Times New Roman"/>
          <w:b/>
          <w:bCs/>
          <w:sz w:val="24"/>
          <w:szCs w:val="24"/>
        </w:rPr>
        <w:t xml:space="preserve"> si i papajtueshëm me Kushtetutën e </w:t>
      </w:r>
      <w:r w:rsidR="00180FBE">
        <w:rPr>
          <w:rFonts w:ascii="Times New Roman" w:eastAsia="Times New Roman" w:hAnsi="Times New Roman"/>
          <w:b/>
          <w:bCs/>
          <w:sz w:val="24"/>
          <w:szCs w:val="24"/>
        </w:rPr>
        <w:t>Republikës së Shqipërisë</w:t>
      </w:r>
      <w:r w:rsidR="00FC54D1" w:rsidRPr="00FC54D1">
        <w:rPr>
          <w:rFonts w:ascii="Times New Roman" w:eastAsia="Times New Roman" w:hAnsi="Times New Roman"/>
          <w:b/>
          <w:bCs/>
          <w:sz w:val="24"/>
          <w:szCs w:val="24"/>
        </w:rPr>
        <w:t xml:space="preserve"> i vendimit nr.</w:t>
      </w:r>
      <w:r w:rsidR="00FC54D1" w:rsidRPr="00FC54D1">
        <w:rPr>
          <w:rFonts w:ascii="Times New Roman" w:eastAsia="Times New Roman" w:hAnsi="Times New Roman"/>
          <w:b/>
          <w:sz w:val="24"/>
          <w:szCs w:val="24"/>
        </w:rPr>
        <w:t xml:space="preserve">00-2016-2026, </w:t>
      </w:r>
      <w:r w:rsidR="00FC54D1" w:rsidRPr="00FC54D1">
        <w:rPr>
          <w:rFonts w:ascii="Times New Roman" w:eastAsia="Times New Roman" w:hAnsi="Times New Roman"/>
          <w:b/>
          <w:bCs/>
          <w:sz w:val="24"/>
          <w:szCs w:val="24"/>
        </w:rPr>
        <w:t>datë 24.11.2016 të Kolegjit Penal të Gjykatës së Lartë.</w:t>
      </w:r>
    </w:p>
    <w:p w:rsidR="00E139BE" w:rsidRPr="00246214" w:rsidRDefault="00E139BE" w:rsidP="00E139BE">
      <w:pPr>
        <w:spacing w:after="0" w:line="360" w:lineRule="auto"/>
        <w:ind w:left="2880"/>
        <w:jc w:val="both"/>
        <w:rPr>
          <w:rFonts w:ascii="Times New Roman" w:hAnsi="Times New Roman"/>
          <w:sz w:val="24"/>
          <w:szCs w:val="24"/>
        </w:rPr>
      </w:pPr>
    </w:p>
    <w:p w:rsidR="00E139BE" w:rsidRDefault="00E139BE" w:rsidP="00180FBE">
      <w:pPr>
        <w:spacing w:after="0" w:line="360" w:lineRule="auto"/>
        <w:ind w:firstLine="720"/>
        <w:jc w:val="both"/>
        <w:rPr>
          <w:rFonts w:ascii="Times New Roman" w:hAnsi="Times New Roman"/>
          <w:b/>
          <w:sz w:val="24"/>
          <w:szCs w:val="24"/>
          <w:lang w:eastAsia="fr-FR"/>
        </w:rPr>
      </w:pPr>
      <w:r w:rsidRPr="00D00ABC">
        <w:rPr>
          <w:rFonts w:ascii="Times New Roman" w:hAnsi="Times New Roman"/>
          <w:b/>
          <w:caps/>
          <w:sz w:val="24"/>
          <w:szCs w:val="24"/>
          <w:lang w:eastAsia="fr-FR"/>
        </w:rPr>
        <w:t>Subjekt</w:t>
      </w:r>
      <w:r>
        <w:rPr>
          <w:rFonts w:ascii="Times New Roman" w:hAnsi="Times New Roman"/>
          <w:b/>
          <w:caps/>
          <w:sz w:val="24"/>
          <w:szCs w:val="24"/>
          <w:lang w:eastAsia="fr-FR"/>
        </w:rPr>
        <w:t>E TË</w:t>
      </w:r>
      <w:r w:rsidRPr="00D00ABC">
        <w:rPr>
          <w:rFonts w:ascii="Times New Roman" w:hAnsi="Times New Roman"/>
          <w:b/>
          <w:caps/>
          <w:sz w:val="24"/>
          <w:szCs w:val="24"/>
          <w:lang w:eastAsia="fr-FR"/>
        </w:rPr>
        <w:t xml:space="preserve"> interesuar</w:t>
      </w:r>
      <w:r>
        <w:rPr>
          <w:rFonts w:ascii="Times New Roman" w:hAnsi="Times New Roman"/>
          <w:b/>
          <w:caps/>
          <w:sz w:val="24"/>
          <w:szCs w:val="24"/>
          <w:lang w:eastAsia="fr-FR"/>
        </w:rPr>
        <w:t>A</w:t>
      </w:r>
      <w:r w:rsidRPr="00D00ABC">
        <w:rPr>
          <w:rFonts w:ascii="Times New Roman" w:hAnsi="Times New Roman"/>
          <w:b/>
          <w:caps/>
          <w:sz w:val="24"/>
          <w:szCs w:val="24"/>
          <w:lang w:eastAsia="fr-FR"/>
        </w:rPr>
        <w:t>:</w:t>
      </w:r>
    </w:p>
    <w:p w:rsidR="00E139BE" w:rsidRPr="00D44690" w:rsidRDefault="00E139BE" w:rsidP="00FC54D1">
      <w:pPr>
        <w:spacing w:after="0" w:line="360" w:lineRule="auto"/>
        <w:ind w:left="2880" w:hanging="2160"/>
        <w:jc w:val="both"/>
        <w:rPr>
          <w:rFonts w:ascii="Times New Roman" w:hAnsi="Times New Roman"/>
          <w:b/>
          <w:sz w:val="24"/>
          <w:szCs w:val="24"/>
          <w:lang w:eastAsia="fr-FR"/>
        </w:rPr>
      </w:pPr>
      <w:r>
        <w:rPr>
          <w:rFonts w:ascii="Times New Roman" w:hAnsi="Times New Roman"/>
          <w:b/>
          <w:sz w:val="24"/>
          <w:szCs w:val="24"/>
          <w:lang w:eastAsia="fr-FR"/>
        </w:rPr>
        <w:tab/>
      </w:r>
      <w:r w:rsidR="00FC54D1">
        <w:rPr>
          <w:rFonts w:ascii="Times New Roman" w:hAnsi="Times New Roman"/>
          <w:b/>
          <w:sz w:val="24"/>
          <w:szCs w:val="24"/>
          <w:lang w:eastAsia="fr-FR"/>
        </w:rPr>
        <w:t>PROKURORIA E PERGJITHSHME</w:t>
      </w:r>
    </w:p>
    <w:p w:rsidR="00E139BE" w:rsidRPr="003F29D9" w:rsidRDefault="00E139BE" w:rsidP="00E139BE">
      <w:pPr>
        <w:spacing w:after="0" w:line="360" w:lineRule="auto"/>
        <w:ind w:left="2880"/>
        <w:jc w:val="both"/>
        <w:rPr>
          <w:rFonts w:ascii="Times New Roman" w:hAnsi="Times New Roman"/>
          <w:sz w:val="24"/>
          <w:szCs w:val="24"/>
          <w:lang w:eastAsia="fr-FR"/>
        </w:rPr>
      </w:pPr>
    </w:p>
    <w:p w:rsidR="00E139BE" w:rsidRDefault="00E139BE" w:rsidP="00F9600F">
      <w:pPr>
        <w:spacing w:after="0" w:line="360" w:lineRule="auto"/>
        <w:ind w:left="2835" w:hanging="2115"/>
        <w:jc w:val="both"/>
        <w:rPr>
          <w:rFonts w:ascii="Times New Roman" w:hAnsi="Times New Roman"/>
          <w:sz w:val="24"/>
          <w:szCs w:val="24"/>
        </w:rPr>
      </w:pPr>
      <w:r w:rsidRPr="00D00ABC">
        <w:rPr>
          <w:rFonts w:ascii="Times New Roman" w:eastAsia="Times New Roman" w:hAnsi="Times New Roman"/>
          <w:b/>
          <w:caps/>
          <w:sz w:val="24"/>
          <w:szCs w:val="24"/>
        </w:rPr>
        <w:t>Baza Ligjore:</w:t>
      </w:r>
      <w:r>
        <w:rPr>
          <w:rFonts w:ascii="Times New Roman" w:eastAsia="Times New Roman" w:hAnsi="Times New Roman"/>
          <w:b/>
          <w:caps/>
          <w:sz w:val="24"/>
          <w:szCs w:val="24"/>
        </w:rPr>
        <w:tab/>
      </w:r>
      <w:r w:rsidRPr="003F29D9">
        <w:rPr>
          <w:rFonts w:ascii="Times New Roman" w:hAnsi="Times New Roman"/>
          <w:sz w:val="24"/>
          <w:szCs w:val="24"/>
        </w:rPr>
        <w:t xml:space="preserve">Nenet 42, </w:t>
      </w:r>
      <w:r w:rsidRPr="00180FBE">
        <w:rPr>
          <w:rFonts w:ascii="Times New Roman" w:hAnsi="Times New Roman"/>
          <w:sz w:val="24"/>
          <w:szCs w:val="24"/>
        </w:rPr>
        <w:t>131/f</w:t>
      </w:r>
      <w:r w:rsidR="00180FBE">
        <w:rPr>
          <w:rFonts w:ascii="Times New Roman" w:hAnsi="Times New Roman"/>
          <w:sz w:val="24"/>
          <w:szCs w:val="24"/>
        </w:rPr>
        <w:t xml:space="preserve"> dhe</w:t>
      </w:r>
      <w:r w:rsidR="00180FBE" w:rsidRPr="003F29D9">
        <w:rPr>
          <w:rFonts w:ascii="Times New Roman" w:hAnsi="Times New Roman"/>
          <w:sz w:val="24"/>
          <w:szCs w:val="24"/>
        </w:rPr>
        <w:t xml:space="preserve"> </w:t>
      </w:r>
      <w:r w:rsidRPr="003F29D9">
        <w:rPr>
          <w:rFonts w:ascii="Times New Roman" w:hAnsi="Times New Roman"/>
          <w:sz w:val="24"/>
          <w:szCs w:val="24"/>
        </w:rPr>
        <w:t>13</w:t>
      </w:r>
      <w:r>
        <w:rPr>
          <w:rFonts w:ascii="Times New Roman" w:hAnsi="Times New Roman"/>
          <w:sz w:val="24"/>
          <w:szCs w:val="24"/>
        </w:rPr>
        <w:t>4/1/i</w:t>
      </w:r>
      <w:r w:rsidRPr="003F29D9">
        <w:rPr>
          <w:rFonts w:ascii="Times New Roman" w:hAnsi="Times New Roman"/>
          <w:sz w:val="24"/>
          <w:szCs w:val="24"/>
        </w:rPr>
        <w:t xml:space="preserve"> të Kushtetutës</w:t>
      </w:r>
      <w:r>
        <w:rPr>
          <w:rFonts w:ascii="Times New Roman" w:hAnsi="Times New Roman"/>
          <w:sz w:val="24"/>
          <w:szCs w:val="24"/>
        </w:rPr>
        <w:t>; n</w:t>
      </w:r>
      <w:r w:rsidRPr="007724BE">
        <w:rPr>
          <w:rFonts w:ascii="Times New Roman" w:hAnsi="Times New Roman"/>
          <w:sz w:val="24"/>
          <w:szCs w:val="24"/>
        </w:rPr>
        <w:t>ene</w:t>
      </w:r>
      <w:r>
        <w:rPr>
          <w:rFonts w:ascii="Times New Roman" w:hAnsi="Times New Roman"/>
          <w:sz w:val="24"/>
          <w:szCs w:val="24"/>
        </w:rPr>
        <w:t xml:space="preserve">t </w:t>
      </w:r>
      <w:r w:rsidR="00FC54D1">
        <w:rPr>
          <w:rFonts w:ascii="Times New Roman" w:hAnsi="Times New Roman"/>
          <w:sz w:val="24"/>
          <w:szCs w:val="24"/>
        </w:rPr>
        <w:t>31</w:t>
      </w:r>
      <w:r w:rsidR="00180FBE">
        <w:rPr>
          <w:rFonts w:ascii="Times New Roman" w:hAnsi="Times New Roman"/>
          <w:sz w:val="24"/>
          <w:szCs w:val="24"/>
        </w:rPr>
        <w:t xml:space="preserve"> dhe </w:t>
      </w:r>
      <w:r w:rsidR="00FC54D1">
        <w:rPr>
          <w:rFonts w:ascii="Times New Roman" w:hAnsi="Times New Roman"/>
          <w:sz w:val="24"/>
          <w:szCs w:val="24"/>
        </w:rPr>
        <w:t>31/a të</w:t>
      </w:r>
      <w:r w:rsidRPr="007724BE">
        <w:rPr>
          <w:rFonts w:ascii="Times New Roman" w:hAnsi="Times New Roman"/>
          <w:sz w:val="24"/>
          <w:szCs w:val="24"/>
        </w:rPr>
        <w:t xml:space="preserve"> ligjit nr.8577, datë 10.</w:t>
      </w:r>
      <w:r w:rsidR="00180FBE">
        <w:rPr>
          <w:rFonts w:ascii="Times New Roman" w:hAnsi="Times New Roman"/>
          <w:sz w:val="24"/>
          <w:szCs w:val="24"/>
        </w:rPr>
        <w:t>0</w:t>
      </w:r>
      <w:r w:rsidRPr="007724BE">
        <w:rPr>
          <w:rFonts w:ascii="Times New Roman" w:hAnsi="Times New Roman"/>
          <w:sz w:val="24"/>
          <w:szCs w:val="24"/>
        </w:rPr>
        <w:t xml:space="preserve">2.2000 “Për organizimin dhe funksionimin e Gjykatës Kushtetuese”, </w:t>
      </w:r>
      <w:r w:rsidR="00180FBE">
        <w:rPr>
          <w:rFonts w:ascii="Times New Roman" w:hAnsi="Times New Roman"/>
          <w:sz w:val="24"/>
          <w:szCs w:val="24"/>
        </w:rPr>
        <w:t>të</w:t>
      </w:r>
      <w:r w:rsidR="00180FBE" w:rsidRPr="007724BE">
        <w:rPr>
          <w:rFonts w:ascii="Times New Roman" w:hAnsi="Times New Roman"/>
          <w:sz w:val="24"/>
          <w:szCs w:val="24"/>
        </w:rPr>
        <w:t xml:space="preserve"> </w:t>
      </w:r>
      <w:r w:rsidRPr="007724BE">
        <w:rPr>
          <w:rFonts w:ascii="Times New Roman" w:hAnsi="Times New Roman"/>
          <w:sz w:val="24"/>
          <w:szCs w:val="24"/>
        </w:rPr>
        <w:t>ndryshuar.</w:t>
      </w:r>
    </w:p>
    <w:p w:rsidR="00F9600F" w:rsidRDefault="00F9600F" w:rsidP="00F9600F">
      <w:pPr>
        <w:spacing w:after="0" w:line="360" w:lineRule="auto"/>
        <w:ind w:firstLine="720"/>
        <w:jc w:val="both"/>
        <w:rPr>
          <w:rFonts w:ascii="Times New Roman" w:hAnsi="Times New Roman"/>
          <w:sz w:val="24"/>
          <w:szCs w:val="24"/>
        </w:rPr>
      </w:pPr>
    </w:p>
    <w:p w:rsidR="00F9600F" w:rsidRDefault="00E139BE" w:rsidP="00F9600F">
      <w:pPr>
        <w:spacing w:after="0" w:line="360" w:lineRule="auto"/>
        <w:ind w:firstLine="720"/>
        <w:jc w:val="both"/>
        <w:rPr>
          <w:rFonts w:ascii="Times New Roman" w:hAnsi="Times New Roman"/>
          <w:sz w:val="24"/>
          <w:szCs w:val="24"/>
        </w:rPr>
      </w:pPr>
      <w:r w:rsidRPr="00A62CF1">
        <w:rPr>
          <w:rFonts w:ascii="Times New Roman" w:hAnsi="Times New Roman"/>
          <w:sz w:val="24"/>
          <w:szCs w:val="24"/>
        </w:rPr>
        <w:t>Kolegji i Gjykatës Kushtetuese (Kolegji), pasi shqyrtoi kërkesën, dokumentet shoqëruese dhe diskutoi çështjen në tërësi,</w:t>
      </w:r>
    </w:p>
    <w:p w:rsidR="00F9600F" w:rsidRDefault="00F9600F" w:rsidP="00F9600F">
      <w:pPr>
        <w:spacing w:after="0" w:line="360" w:lineRule="auto"/>
        <w:jc w:val="both"/>
        <w:rPr>
          <w:rFonts w:ascii="Times New Roman" w:hAnsi="Times New Roman"/>
          <w:sz w:val="24"/>
          <w:szCs w:val="24"/>
        </w:rPr>
      </w:pPr>
    </w:p>
    <w:p w:rsidR="00F9600F" w:rsidRDefault="00E139BE" w:rsidP="00F9600F">
      <w:pPr>
        <w:spacing w:after="0" w:line="360" w:lineRule="auto"/>
        <w:jc w:val="center"/>
        <w:rPr>
          <w:rFonts w:ascii="Times New Roman" w:hAnsi="Times New Roman"/>
          <w:sz w:val="24"/>
          <w:szCs w:val="24"/>
        </w:rPr>
      </w:pPr>
      <w:r w:rsidRPr="00A62CF1">
        <w:rPr>
          <w:rFonts w:ascii="Times New Roman" w:hAnsi="Times New Roman"/>
          <w:b/>
          <w:bCs/>
          <w:sz w:val="24"/>
          <w:szCs w:val="24"/>
        </w:rPr>
        <w:t>V Ë R E N:</w:t>
      </w:r>
    </w:p>
    <w:p w:rsidR="00E139BE" w:rsidRPr="00F9600F" w:rsidRDefault="00E139BE" w:rsidP="00F9600F">
      <w:pPr>
        <w:spacing w:after="0" w:line="360" w:lineRule="auto"/>
        <w:jc w:val="center"/>
        <w:rPr>
          <w:rFonts w:ascii="Times New Roman" w:hAnsi="Times New Roman"/>
          <w:sz w:val="24"/>
          <w:szCs w:val="24"/>
        </w:rPr>
      </w:pPr>
      <w:r w:rsidRPr="00A62CF1">
        <w:rPr>
          <w:rFonts w:ascii="Times New Roman" w:hAnsi="Times New Roman"/>
          <w:b/>
          <w:bCs/>
          <w:sz w:val="24"/>
          <w:szCs w:val="24"/>
        </w:rPr>
        <w:t>I</w:t>
      </w:r>
    </w:p>
    <w:p w:rsidR="00FC54D1" w:rsidRPr="00FC54D1" w:rsidRDefault="00FC54D1" w:rsidP="00FC54D1">
      <w:pPr>
        <w:numPr>
          <w:ilvl w:val="0"/>
          <w:numId w:val="2"/>
        </w:numPr>
        <w:tabs>
          <w:tab w:val="left" w:pos="1080"/>
        </w:tabs>
        <w:spacing w:after="0" w:line="360" w:lineRule="auto"/>
        <w:ind w:left="0" w:firstLine="720"/>
        <w:jc w:val="both"/>
        <w:rPr>
          <w:rFonts w:ascii="Times New Roman" w:eastAsia="Times New Roman" w:hAnsi="Times New Roman"/>
          <w:sz w:val="24"/>
          <w:szCs w:val="24"/>
        </w:rPr>
      </w:pPr>
      <w:r w:rsidRPr="00FC54D1">
        <w:rPr>
          <w:rFonts w:ascii="Times New Roman" w:eastAsia="Times New Roman" w:hAnsi="Times New Roman"/>
          <w:sz w:val="24"/>
          <w:szCs w:val="24"/>
        </w:rPr>
        <w:t xml:space="preserve">Gjykata e Rrethit Gjyqësor Tiranë, me vendimin nr.1030, datë 22.07.2013, ka vendosur: </w:t>
      </w:r>
      <w:r w:rsidRPr="00FC54D1">
        <w:rPr>
          <w:rFonts w:ascii="Times New Roman" w:eastAsia="Times New Roman" w:hAnsi="Times New Roman"/>
          <w:i/>
          <w:sz w:val="24"/>
          <w:szCs w:val="24"/>
        </w:rPr>
        <w:t>“Deklarimin fajtor të të pandehurës Dhurata Merlika për veprën penale të vjedhjes së kryer duke shpërdoruar detyrën dhe në bazë të nenit 135 të Kodit Penal e dënon me dy vjet burgim.”.</w:t>
      </w:r>
    </w:p>
    <w:p w:rsidR="00FC54D1" w:rsidRPr="00FC54D1" w:rsidRDefault="00FC54D1" w:rsidP="00FC54D1">
      <w:pPr>
        <w:numPr>
          <w:ilvl w:val="0"/>
          <w:numId w:val="2"/>
        </w:numPr>
        <w:tabs>
          <w:tab w:val="left" w:pos="1080"/>
        </w:tabs>
        <w:spacing w:after="0" w:line="360" w:lineRule="auto"/>
        <w:ind w:left="0" w:firstLine="720"/>
        <w:jc w:val="both"/>
        <w:rPr>
          <w:rFonts w:ascii="Times New Roman" w:eastAsia="Times New Roman" w:hAnsi="Times New Roman"/>
          <w:sz w:val="24"/>
          <w:szCs w:val="24"/>
        </w:rPr>
      </w:pPr>
      <w:r w:rsidRPr="00FC54D1">
        <w:rPr>
          <w:rFonts w:ascii="Times New Roman" w:eastAsia="Times New Roman" w:hAnsi="Times New Roman"/>
          <w:sz w:val="24"/>
          <w:szCs w:val="24"/>
        </w:rPr>
        <w:t xml:space="preserve">Gjykata e Apelit Tiranë, me vendimin nr.973, datë 05.11.2014, </w:t>
      </w:r>
      <w:r w:rsidR="00180FBE">
        <w:rPr>
          <w:rFonts w:ascii="Times New Roman" w:eastAsia="Times New Roman" w:hAnsi="Times New Roman"/>
          <w:sz w:val="24"/>
          <w:szCs w:val="24"/>
        </w:rPr>
        <w:t xml:space="preserve">ka vendosur </w:t>
      </w:r>
      <w:r w:rsidRPr="00FC54D1">
        <w:rPr>
          <w:rFonts w:ascii="Times New Roman" w:eastAsia="Times New Roman" w:hAnsi="Times New Roman"/>
          <w:sz w:val="24"/>
          <w:szCs w:val="24"/>
        </w:rPr>
        <w:t xml:space="preserve">lënien në fuqi të vendimit penal të mësipërm. </w:t>
      </w:r>
    </w:p>
    <w:p w:rsidR="00F9600F" w:rsidRPr="00F9600F" w:rsidRDefault="00FC54D1" w:rsidP="00F9600F">
      <w:pPr>
        <w:numPr>
          <w:ilvl w:val="0"/>
          <w:numId w:val="3"/>
        </w:numPr>
        <w:tabs>
          <w:tab w:val="left" w:pos="1080"/>
        </w:tabs>
        <w:spacing w:after="0" w:line="360" w:lineRule="auto"/>
        <w:ind w:left="0" w:firstLine="720"/>
        <w:jc w:val="both"/>
        <w:rPr>
          <w:rFonts w:ascii="Times New Roman" w:eastAsia="Times New Roman" w:hAnsi="Times New Roman"/>
          <w:sz w:val="24"/>
          <w:szCs w:val="24"/>
        </w:rPr>
      </w:pPr>
      <w:r w:rsidRPr="00FC54D1">
        <w:rPr>
          <w:rFonts w:ascii="Times New Roman" w:eastAsia="Times New Roman" w:hAnsi="Times New Roman"/>
          <w:sz w:val="24"/>
          <w:szCs w:val="24"/>
        </w:rPr>
        <w:lastRenderedPageBreak/>
        <w:t>Kolegji Penal i Gjykatës së Lartë, me vendimin nr. 00-2016-2026, datë 24.11.2016, ka vendosur</w:t>
      </w:r>
      <w:r w:rsidRPr="00FC54D1">
        <w:rPr>
          <w:rFonts w:ascii="Times New Roman" w:eastAsia="Times New Roman" w:hAnsi="Times New Roman"/>
          <w:bCs/>
          <w:sz w:val="24"/>
          <w:szCs w:val="24"/>
        </w:rPr>
        <w:t xml:space="preserve">: </w:t>
      </w:r>
      <w:r w:rsidRPr="00FC54D1">
        <w:rPr>
          <w:rFonts w:ascii="Times New Roman" w:eastAsia="Times New Roman" w:hAnsi="Times New Roman"/>
          <w:bCs/>
          <w:i/>
          <w:sz w:val="24"/>
          <w:szCs w:val="24"/>
        </w:rPr>
        <w:t>“Mospranimin e rekursit.”</w:t>
      </w:r>
      <w:r w:rsidR="00180FBE">
        <w:rPr>
          <w:rFonts w:ascii="Times New Roman" w:eastAsia="Times New Roman" w:hAnsi="Times New Roman"/>
          <w:bCs/>
          <w:i/>
          <w:sz w:val="24"/>
          <w:szCs w:val="24"/>
        </w:rPr>
        <w:t>.</w:t>
      </w:r>
    </w:p>
    <w:p w:rsidR="00F9600F" w:rsidRDefault="00F9600F" w:rsidP="00F9600F">
      <w:pPr>
        <w:tabs>
          <w:tab w:val="left" w:pos="1080"/>
        </w:tabs>
        <w:spacing w:after="0" w:line="360" w:lineRule="auto"/>
        <w:jc w:val="both"/>
        <w:rPr>
          <w:rFonts w:ascii="Times New Roman" w:eastAsia="Times New Roman" w:hAnsi="Times New Roman"/>
          <w:bCs/>
          <w:sz w:val="24"/>
          <w:szCs w:val="24"/>
        </w:rPr>
      </w:pPr>
    </w:p>
    <w:p w:rsidR="00E139BE" w:rsidRPr="00F9600F" w:rsidRDefault="00E139BE" w:rsidP="00F9600F">
      <w:pPr>
        <w:tabs>
          <w:tab w:val="left" w:pos="1080"/>
        </w:tabs>
        <w:spacing w:after="0" w:line="360" w:lineRule="auto"/>
        <w:jc w:val="center"/>
        <w:rPr>
          <w:rFonts w:ascii="Times New Roman" w:eastAsia="Times New Roman" w:hAnsi="Times New Roman"/>
          <w:sz w:val="24"/>
          <w:szCs w:val="24"/>
        </w:rPr>
      </w:pPr>
      <w:r w:rsidRPr="00F9600F">
        <w:rPr>
          <w:rFonts w:ascii="Times New Roman" w:hAnsi="Times New Roman"/>
          <w:b/>
          <w:sz w:val="24"/>
          <w:szCs w:val="24"/>
        </w:rPr>
        <w:t>II</w:t>
      </w:r>
    </w:p>
    <w:p w:rsidR="00FC54D1" w:rsidRPr="00FC54D1" w:rsidRDefault="00FC54D1" w:rsidP="00FC54D1">
      <w:pPr>
        <w:tabs>
          <w:tab w:val="left" w:pos="1080"/>
        </w:tabs>
        <w:spacing w:after="0" w:line="360" w:lineRule="auto"/>
        <w:ind w:firstLine="720"/>
        <w:jc w:val="both"/>
        <w:rPr>
          <w:rFonts w:ascii="Times New Roman" w:eastAsia="Times New Roman" w:hAnsi="Times New Roman"/>
          <w:sz w:val="24"/>
          <w:szCs w:val="24"/>
        </w:rPr>
      </w:pPr>
      <w:r w:rsidRPr="00FC54D1">
        <w:rPr>
          <w:rFonts w:ascii="Times New Roman" w:eastAsia="Times New Roman" w:hAnsi="Times New Roman"/>
          <w:b/>
          <w:i/>
          <w:sz w:val="24"/>
          <w:szCs w:val="24"/>
        </w:rPr>
        <w:t>4. Kërkuesja</w:t>
      </w:r>
      <w:r w:rsidRPr="00FC54D1">
        <w:rPr>
          <w:rFonts w:ascii="Times New Roman" w:eastAsia="Times New Roman" w:hAnsi="Times New Roman"/>
          <w:sz w:val="24"/>
          <w:szCs w:val="24"/>
        </w:rPr>
        <w:t xml:space="preserve"> i është drejtuar Gjykatës Kushtetuese me kërkesë për shfuqizimin e vendimit të Kolegjit Penal, duke pretenduar se procesi gjyqësor nuk ka qenë rrjedhojë e një procesi të rregullt për këto shkaqe: </w:t>
      </w:r>
    </w:p>
    <w:p w:rsidR="00FC54D1" w:rsidRPr="00FC54D1" w:rsidRDefault="00FC54D1" w:rsidP="00180FBE">
      <w:pPr>
        <w:tabs>
          <w:tab w:val="left" w:pos="1170"/>
          <w:tab w:val="left" w:pos="1350"/>
          <w:tab w:val="left" w:pos="1440"/>
        </w:tabs>
        <w:spacing w:after="0" w:line="360" w:lineRule="auto"/>
        <w:ind w:left="1350" w:hanging="540"/>
        <w:jc w:val="both"/>
        <w:rPr>
          <w:rFonts w:ascii="Times New Roman" w:eastAsia="Times New Roman" w:hAnsi="Times New Roman"/>
          <w:sz w:val="24"/>
          <w:szCs w:val="24"/>
        </w:rPr>
      </w:pPr>
      <w:r w:rsidRPr="00FC54D1">
        <w:rPr>
          <w:rFonts w:ascii="Times New Roman" w:eastAsia="Times New Roman" w:hAnsi="Times New Roman"/>
          <w:sz w:val="24"/>
          <w:szCs w:val="24"/>
        </w:rPr>
        <w:t>4.1</w:t>
      </w:r>
      <w:r w:rsidR="00180FBE">
        <w:rPr>
          <w:rFonts w:ascii="Times New Roman" w:eastAsia="Times New Roman" w:hAnsi="Times New Roman"/>
          <w:sz w:val="24"/>
          <w:szCs w:val="24"/>
        </w:rPr>
        <w:t>.</w:t>
      </w:r>
      <w:r w:rsidRPr="00FC54D1">
        <w:rPr>
          <w:rFonts w:ascii="Times New Roman" w:eastAsia="Times New Roman" w:hAnsi="Times New Roman"/>
          <w:sz w:val="24"/>
          <w:szCs w:val="24"/>
        </w:rPr>
        <w:tab/>
        <w:t>Vendimi nuk bazohet në prova të marra gjatë gjykimit</w:t>
      </w:r>
      <w:r w:rsidR="00180FBE">
        <w:rPr>
          <w:rFonts w:ascii="Times New Roman" w:eastAsia="Times New Roman" w:hAnsi="Times New Roman"/>
          <w:sz w:val="24"/>
          <w:szCs w:val="24"/>
        </w:rPr>
        <w:t>.</w:t>
      </w:r>
      <w:r w:rsidR="00180FBE" w:rsidRPr="00FC54D1">
        <w:rPr>
          <w:rFonts w:ascii="Times New Roman" w:eastAsia="Times New Roman" w:hAnsi="Times New Roman"/>
          <w:sz w:val="24"/>
          <w:szCs w:val="24"/>
        </w:rPr>
        <w:t xml:space="preserve"> </w:t>
      </w:r>
    </w:p>
    <w:p w:rsidR="00FC54D1" w:rsidRPr="00FC54D1" w:rsidRDefault="00FC54D1" w:rsidP="00180FBE">
      <w:pPr>
        <w:tabs>
          <w:tab w:val="num" w:pos="900"/>
          <w:tab w:val="left" w:pos="1350"/>
          <w:tab w:val="left" w:pos="1440"/>
        </w:tabs>
        <w:spacing w:after="0" w:line="360" w:lineRule="auto"/>
        <w:ind w:left="1350" w:hanging="540"/>
        <w:jc w:val="both"/>
        <w:rPr>
          <w:rFonts w:ascii="Times New Roman" w:eastAsia="Times New Roman" w:hAnsi="Times New Roman"/>
          <w:sz w:val="24"/>
          <w:szCs w:val="24"/>
        </w:rPr>
      </w:pPr>
      <w:r w:rsidRPr="00FC54D1">
        <w:rPr>
          <w:rFonts w:ascii="Times New Roman" w:eastAsia="Times New Roman" w:hAnsi="Times New Roman"/>
          <w:sz w:val="24"/>
          <w:szCs w:val="24"/>
        </w:rPr>
        <w:t>4.2</w:t>
      </w:r>
      <w:r w:rsidR="00180FBE">
        <w:rPr>
          <w:rFonts w:ascii="Times New Roman" w:eastAsia="Times New Roman" w:hAnsi="Times New Roman"/>
          <w:sz w:val="24"/>
          <w:szCs w:val="24"/>
        </w:rPr>
        <w:t>.</w:t>
      </w:r>
      <w:r w:rsidRPr="00FC54D1">
        <w:rPr>
          <w:rFonts w:ascii="Times New Roman" w:eastAsia="Times New Roman" w:hAnsi="Times New Roman"/>
          <w:sz w:val="24"/>
          <w:szCs w:val="24"/>
        </w:rPr>
        <w:t xml:space="preserve">  Vendimi i Kolegjit Penal nuk është i arsyetuar</w:t>
      </w:r>
      <w:r w:rsidR="00180FBE">
        <w:rPr>
          <w:rFonts w:ascii="Times New Roman" w:eastAsia="Times New Roman" w:hAnsi="Times New Roman"/>
          <w:sz w:val="24"/>
          <w:szCs w:val="24"/>
        </w:rPr>
        <w:t>.</w:t>
      </w:r>
      <w:r w:rsidR="00180FBE" w:rsidRPr="00FC54D1">
        <w:rPr>
          <w:rFonts w:ascii="Times New Roman" w:eastAsia="Times New Roman" w:hAnsi="Times New Roman"/>
          <w:sz w:val="24"/>
          <w:szCs w:val="24"/>
        </w:rPr>
        <w:t xml:space="preserve"> </w:t>
      </w:r>
      <w:r w:rsidR="00180FBE">
        <w:rPr>
          <w:rFonts w:ascii="Times New Roman" w:eastAsia="Times New Roman" w:hAnsi="Times New Roman"/>
          <w:sz w:val="24"/>
          <w:szCs w:val="24"/>
        </w:rPr>
        <w:t>J</w:t>
      </w:r>
      <w:r w:rsidR="00180FBE" w:rsidRPr="00FC54D1">
        <w:rPr>
          <w:rFonts w:ascii="Times New Roman" w:eastAsia="Times New Roman" w:hAnsi="Times New Roman"/>
          <w:sz w:val="24"/>
          <w:szCs w:val="24"/>
        </w:rPr>
        <w:t xml:space="preserve">anë </w:t>
      </w:r>
      <w:r w:rsidRPr="00FC54D1">
        <w:rPr>
          <w:rFonts w:ascii="Times New Roman" w:eastAsia="Times New Roman" w:hAnsi="Times New Roman"/>
          <w:sz w:val="24"/>
          <w:szCs w:val="24"/>
        </w:rPr>
        <w:t>paraqitur vetëm shkaqet e rekursit</w:t>
      </w:r>
      <w:r w:rsidR="00180FBE">
        <w:rPr>
          <w:rFonts w:ascii="Times New Roman" w:eastAsia="Times New Roman" w:hAnsi="Times New Roman"/>
          <w:sz w:val="24"/>
          <w:szCs w:val="24"/>
        </w:rPr>
        <w:t>,</w:t>
      </w:r>
      <w:r w:rsidRPr="00FC54D1">
        <w:rPr>
          <w:rFonts w:ascii="Times New Roman" w:eastAsia="Times New Roman" w:hAnsi="Times New Roman"/>
          <w:sz w:val="24"/>
          <w:szCs w:val="24"/>
        </w:rPr>
        <w:t xml:space="preserve"> por ato nuk janë marrë në shqyrtim dhe nuk u është </w:t>
      </w:r>
      <w:r w:rsidR="00180FBE" w:rsidRPr="00FC54D1">
        <w:rPr>
          <w:rFonts w:ascii="Times New Roman" w:eastAsia="Times New Roman" w:hAnsi="Times New Roman"/>
          <w:sz w:val="24"/>
          <w:szCs w:val="24"/>
        </w:rPr>
        <w:t>dh</w:t>
      </w:r>
      <w:r w:rsidR="00180FBE">
        <w:rPr>
          <w:rFonts w:ascii="Times New Roman" w:eastAsia="Times New Roman" w:hAnsi="Times New Roman"/>
          <w:sz w:val="24"/>
          <w:szCs w:val="24"/>
        </w:rPr>
        <w:t>ë</w:t>
      </w:r>
      <w:r w:rsidR="00180FBE" w:rsidRPr="00FC54D1">
        <w:rPr>
          <w:rFonts w:ascii="Times New Roman" w:eastAsia="Times New Roman" w:hAnsi="Times New Roman"/>
          <w:sz w:val="24"/>
          <w:szCs w:val="24"/>
        </w:rPr>
        <w:t xml:space="preserve">në </w:t>
      </w:r>
      <w:r w:rsidRPr="00FC54D1">
        <w:rPr>
          <w:rFonts w:ascii="Times New Roman" w:eastAsia="Times New Roman" w:hAnsi="Times New Roman"/>
          <w:sz w:val="24"/>
          <w:szCs w:val="24"/>
        </w:rPr>
        <w:t>përgjigje</w:t>
      </w:r>
      <w:r w:rsidR="00180FBE">
        <w:rPr>
          <w:rFonts w:ascii="Times New Roman" w:eastAsia="Times New Roman" w:hAnsi="Times New Roman"/>
          <w:sz w:val="24"/>
          <w:szCs w:val="24"/>
        </w:rPr>
        <w:t>.</w:t>
      </w:r>
    </w:p>
    <w:p w:rsidR="00F9600F" w:rsidRDefault="00FC54D1" w:rsidP="00F9600F">
      <w:pPr>
        <w:tabs>
          <w:tab w:val="num" w:pos="900"/>
          <w:tab w:val="left" w:pos="1350"/>
          <w:tab w:val="left" w:pos="1440"/>
        </w:tabs>
        <w:spacing w:after="0" w:line="360" w:lineRule="auto"/>
        <w:ind w:left="1350" w:hanging="540"/>
        <w:jc w:val="both"/>
        <w:rPr>
          <w:rFonts w:ascii="Times New Roman" w:hAnsi="Times New Roman"/>
          <w:sz w:val="24"/>
          <w:szCs w:val="24"/>
          <w:lang w:eastAsia="fr-FR"/>
        </w:rPr>
      </w:pPr>
      <w:r w:rsidRPr="00FC54D1">
        <w:rPr>
          <w:rFonts w:ascii="Times New Roman" w:eastAsia="Times New Roman" w:hAnsi="Times New Roman"/>
          <w:sz w:val="24"/>
          <w:szCs w:val="24"/>
        </w:rPr>
        <w:t>4.3</w:t>
      </w:r>
      <w:r w:rsidR="00180FBE">
        <w:rPr>
          <w:rFonts w:ascii="Times New Roman" w:eastAsia="Times New Roman" w:hAnsi="Times New Roman"/>
          <w:sz w:val="24"/>
          <w:szCs w:val="24"/>
        </w:rPr>
        <w:t>.</w:t>
      </w:r>
      <w:r w:rsidRPr="00FC54D1">
        <w:rPr>
          <w:rFonts w:ascii="Times New Roman" w:eastAsia="Times New Roman" w:hAnsi="Times New Roman"/>
          <w:sz w:val="24"/>
          <w:szCs w:val="24"/>
        </w:rPr>
        <w:t xml:space="preserve"> Kolegji Penal ka cenuar aksesin dhe të drejtën për t’u dëgjuar duke mos e kaluar çështjen në gjykim.</w:t>
      </w:r>
    </w:p>
    <w:p w:rsidR="00F9600F" w:rsidRDefault="00F9600F" w:rsidP="00F9600F">
      <w:pPr>
        <w:tabs>
          <w:tab w:val="num" w:pos="900"/>
          <w:tab w:val="left" w:pos="1350"/>
          <w:tab w:val="left" w:pos="1440"/>
        </w:tabs>
        <w:spacing w:after="0" w:line="360" w:lineRule="auto"/>
        <w:jc w:val="both"/>
        <w:rPr>
          <w:rFonts w:ascii="Times New Roman" w:hAnsi="Times New Roman"/>
          <w:sz w:val="24"/>
          <w:szCs w:val="24"/>
          <w:lang w:eastAsia="fr-FR"/>
        </w:rPr>
      </w:pPr>
    </w:p>
    <w:p w:rsidR="00E139BE" w:rsidRPr="00F9600F" w:rsidRDefault="00E139BE" w:rsidP="00F9600F">
      <w:pPr>
        <w:tabs>
          <w:tab w:val="num" w:pos="900"/>
          <w:tab w:val="left" w:pos="1350"/>
          <w:tab w:val="left" w:pos="1440"/>
        </w:tabs>
        <w:spacing w:after="0" w:line="360" w:lineRule="auto"/>
        <w:jc w:val="center"/>
        <w:rPr>
          <w:rFonts w:ascii="Times New Roman" w:hAnsi="Times New Roman"/>
          <w:sz w:val="24"/>
          <w:szCs w:val="24"/>
          <w:lang w:eastAsia="fr-FR"/>
        </w:rPr>
      </w:pPr>
      <w:r w:rsidRPr="00C31758">
        <w:rPr>
          <w:rFonts w:ascii="Times New Roman" w:hAnsi="Times New Roman"/>
          <w:b/>
          <w:sz w:val="24"/>
          <w:szCs w:val="24"/>
          <w:lang w:eastAsia="fr-FR"/>
        </w:rPr>
        <w:t>III</w:t>
      </w:r>
    </w:p>
    <w:p w:rsidR="00E139BE" w:rsidRPr="00C31758" w:rsidRDefault="00E139BE" w:rsidP="00E139BE">
      <w:pPr>
        <w:spacing w:line="360" w:lineRule="auto"/>
        <w:jc w:val="center"/>
        <w:rPr>
          <w:rFonts w:ascii="Times New Roman" w:hAnsi="Times New Roman"/>
          <w:b/>
          <w:sz w:val="24"/>
          <w:szCs w:val="24"/>
          <w:lang w:eastAsia="fr-FR"/>
        </w:rPr>
      </w:pPr>
      <w:r w:rsidRPr="00C31758">
        <w:rPr>
          <w:rFonts w:ascii="Times New Roman" w:hAnsi="Times New Roman"/>
          <w:b/>
          <w:sz w:val="24"/>
          <w:szCs w:val="24"/>
          <w:lang w:eastAsia="fr-FR"/>
        </w:rPr>
        <w:t>Vlerësimi i Kolegjit</w:t>
      </w:r>
    </w:p>
    <w:p w:rsidR="00FC54D1" w:rsidRPr="00FC54D1" w:rsidRDefault="00FC54D1" w:rsidP="00FC54D1">
      <w:pPr>
        <w:numPr>
          <w:ilvl w:val="0"/>
          <w:numId w:val="4"/>
        </w:numPr>
        <w:tabs>
          <w:tab w:val="left" w:pos="0"/>
        </w:tabs>
        <w:spacing w:after="0" w:line="360" w:lineRule="auto"/>
        <w:contextualSpacing/>
        <w:jc w:val="both"/>
        <w:rPr>
          <w:rFonts w:ascii="Times New Roman" w:hAnsi="Times New Roman"/>
          <w:i/>
          <w:sz w:val="24"/>
          <w:szCs w:val="24"/>
          <w:lang w:eastAsia="fr-FR"/>
        </w:rPr>
      </w:pPr>
      <w:r w:rsidRPr="00FC54D1">
        <w:rPr>
          <w:rFonts w:ascii="Times New Roman" w:hAnsi="Times New Roman"/>
          <w:i/>
          <w:sz w:val="24"/>
          <w:szCs w:val="24"/>
          <w:lang w:eastAsia="fr-FR"/>
        </w:rPr>
        <w:t xml:space="preserve">Për legjitimimin e kërkueses  </w:t>
      </w:r>
    </w:p>
    <w:p w:rsidR="00FC54D1" w:rsidRPr="00FC54D1" w:rsidRDefault="00FC54D1" w:rsidP="00FC54D1">
      <w:pPr>
        <w:tabs>
          <w:tab w:val="left" w:pos="1440"/>
        </w:tabs>
        <w:spacing w:after="0" w:line="360" w:lineRule="auto"/>
        <w:ind w:firstLine="720"/>
        <w:jc w:val="both"/>
        <w:rPr>
          <w:rFonts w:ascii="Times New Roman" w:eastAsia="Times New Roman" w:hAnsi="Times New Roman"/>
          <w:i/>
          <w:sz w:val="24"/>
          <w:szCs w:val="24"/>
        </w:rPr>
      </w:pPr>
      <w:r w:rsidRPr="00FC54D1">
        <w:rPr>
          <w:rFonts w:ascii="Times New Roman" w:hAnsi="Times New Roman"/>
          <w:sz w:val="24"/>
          <w:szCs w:val="24"/>
          <w:lang w:eastAsia="fr-FR"/>
        </w:rPr>
        <w:t xml:space="preserve">5. </w:t>
      </w:r>
      <w:r w:rsidRPr="00FC54D1">
        <w:rPr>
          <w:rFonts w:ascii="Times New Roman" w:eastAsia="Times New Roman" w:hAnsi="Times New Roman"/>
          <w:sz w:val="24"/>
          <w:szCs w:val="24"/>
        </w:rPr>
        <w:t xml:space="preserve"> </w:t>
      </w:r>
      <w:r w:rsidRPr="00FC54D1">
        <w:rPr>
          <w:rFonts w:ascii="Times New Roman" w:eastAsia="MS Mincho" w:hAnsi="Times New Roman"/>
          <w:sz w:val="24"/>
          <w:szCs w:val="24"/>
        </w:rPr>
        <w:t xml:space="preserve">Kërkuesja legjitimohet </w:t>
      </w:r>
      <w:r w:rsidRPr="00FC54D1">
        <w:rPr>
          <w:rFonts w:ascii="Times New Roman" w:eastAsia="MS Mincho" w:hAnsi="Times New Roman"/>
          <w:i/>
          <w:sz w:val="24"/>
          <w:szCs w:val="24"/>
        </w:rPr>
        <w:t>ratione personae</w:t>
      </w:r>
      <w:r w:rsidRPr="00FC54D1">
        <w:rPr>
          <w:rFonts w:ascii="Times New Roman" w:eastAsia="MS Mincho" w:hAnsi="Times New Roman"/>
          <w:sz w:val="24"/>
          <w:szCs w:val="24"/>
        </w:rPr>
        <w:t>, në kuptim të rregullimit kushtetues të neneve 131/f dhe 134/1/i të Kushtetutës</w:t>
      </w:r>
      <w:r w:rsidR="00180FBE">
        <w:rPr>
          <w:rFonts w:ascii="Times New Roman" w:eastAsia="MS Mincho" w:hAnsi="Times New Roman"/>
          <w:sz w:val="24"/>
          <w:szCs w:val="24"/>
        </w:rPr>
        <w:t xml:space="preserve"> dhe</w:t>
      </w:r>
      <w:r w:rsidR="00180FBE" w:rsidRPr="00FC54D1">
        <w:rPr>
          <w:rFonts w:ascii="Times New Roman" w:eastAsia="MS Mincho" w:hAnsi="Times New Roman"/>
          <w:sz w:val="24"/>
          <w:szCs w:val="24"/>
        </w:rPr>
        <w:t xml:space="preserve"> </w:t>
      </w:r>
      <w:r w:rsidRPr="00FC54D1">
        <w:rPr>
          <w:rFonts w:ascii="Times New Roman" w:eastAsia="MS Mincho" w:hAnsi="Times New Roman"/>
          <w:i/>
          <w:sz w:val="24"/>
          <w:szCs w:val="24"/>
        </w:rPr>
        <w:t>ratione temporis,</w:t>
      </w:r>
      <w:r w:rsidRPr="00FC54D1">
        <w:rPr>
          <w:rFonts w:ascii="Times New Roman" w:eastAsia="MS Mincho" w:hAnsi="Times New Roman"/>
          <w:sz w:val="24"/>
          <w:szCs w:val="24"/>
        </w:rPr>
        <w:t xml:space="preserve"> pasi </w:t>
      </w:r>
      <w:r w:rsidRPr="00FC54D1">
        <w:rPr>
          <w:rFonts w:ascii="Times New Roman" w:eastAsia="Times New Roman" w:hAnsi="Times New Roman"/>
          <w:sz w:val="24"/>
          <w:szCs w:val="24"/>
        </w:rPr>
        <w:t xml:space="preserve">pretendimet e </w:t>
      </w:r>
      <w:r w:rsidR="00180FBE">
        <w:rPr>
          <w:rFonts w:ascii="Times New Roman" w:eastAsia="Times New Roman" w:hAnsi="Times New Roman"/>
          <w:sz w:val="24"/>
          <w:szCs w:val="24"/>
        </w:rPr>
        <w:t>saj</w:t>
      </w:r>
      <w:r w:rsidRPr="00FC54D1">
        <w:rPr>
          <w:rFonts w:ascii="Times New Roman" w:eastAsia="Times New Roman" w:hAnsi="Times New Roman"/>
          <w:sz w:val="24"/>
          <w:szCs w:val="24"/>
        </w:rPr>
        <w:t xml:space="preserve"> janë paraqitur brenda afatit 4-mujor të parashikuar </w:t>
      </w:r>
      <w:r w:rsidRPr="00FC54D1">
        <w:rPr>
          <w:rFonts w:ascii="Times New Roman" w:eastAsia="MS Mincho" w:hAnsi="Times New Roman"/>
          <w:sz w:val="24"/>
          <w:szCs w:val="24"/>
        </w:rPr>
        <w:t>nga neni 71/a, paragrafi 1, shkronja “b”</w:t>
      </w:r>
      <w:r w:rsidR="00180FBE">
        <w:rPr>
          <w:rFonts w:ascii="Times New Roman" w:eastAsia="MS Mincho" w:hAnsi="Times New Roman"/>
          <w:sz w:val="24"/>
          <w:szCs w:val="24"/>
        </w:rPr>
        <w:t>,</w:t>
      </w:r>
      <w:r w:rsidRPr="00FC54D1">
        <w:rPr>
          <w:rFonts w:ascii="Times New Roman" w:eastAsia="MS Mincho" w:hAnsi="Times New Roman"/>
          <w:sz w:val="24"/>
          <w:szCs w:val="24"/>
        </w:rPr>
        <w:t xml:space="preserve"> i ligjit nr.8577, datë 10.02.2000 “Për organizimin dhe funksionimin e Gjykatës Kushtetuese të Republikës së Shqipërisë”, të ndryshuar. Gjithashtu, rezulton se kërkuesja i ka shteruar të gjitha mjetet juridike si kusht për t’iu drejtuar kësaj Gjykate, prandaj legjitimohet edhe </w:t>
      </w:r>
      <w:r w:rsidRPr="00FC54D1">
        <w:rPr>
          <w:rFonts w:ascii="Times New Roman" w:eastAsia="Times New Roman" w:hAnsi="Times New Roman"/>
          <w:i/>
          <w:sz w:val="24"/>
          <w:szCs w:val="24"/>
        </w:rPr>
        <w:t xml:space="preserve">ratione materiae. </w:t>
      </w:r>
    </w:p>
    <w:p w:rsidR="00FC54D1" w:rsidRPr="00FC54D1" w:rsidRDefault="00FC54D1" w:rsidP="00FC54D1">
      <w:pPr>
        <w:tabs>
          <w:tab w:val="left" w:pos="1440"/>
        </w:tabs>
        <w:spacing w:after="0" w:line="360" w:lineRule="auto"/>
        <w:ind w:firstLine="720"/>
        <w:jc w:val="both"/>
        <w:rPr>
          <w:rFonts w:ascii="Times New Roman" w:eastAsia="Times New Roman" w:hAnsi="Times New Roman"/>
          <w:i/>
          <w:sz w:val="24"/>
          <w:szCs w:val="24"/>
        </w:rPr>
      </w:pPr>
    </w:p>
    <w:p w:rsidR="00FC54D1" w:rsidRPr="00FC54D1" w:rsidRDefault="00FC54D1" w:rsidP="00FC54D1">
      <w:pPr>
        <w:numPr>
          <w:ilvl w:val="0"/>
          <w:numId w:val="4"/>
        </w:numPr>
        <w:tabs>
          <w:tab w:val="left" w:pos="1440"/>
        </w:tabs>
        <w:spacing w:after="0" w:line="360" w:lineRule="auto"/>
        <w:contextualSpacing/>
        <w:jc w:val="both"/>
        <w:rPr>
          <w:rFonts w:ascii="Times New Roman" w:eastAsia="Times New Roman" w:hAnsi="Times New Roman"/>
          <w:i/>
          <w:sz w:val="24"/>
          <w:szCs w:val="24"/>
        </w:rPr>
      </w:pPr>
      <w:r w:rsidRPr="00FC54D1">
        <w:rPr>
          <w:rFonts w:ascii="Times New Roman" w:eastAsia="Times New Roman" w:hAnsi="Times New Roman"/>
          <w:i/>
          <w:sz w:val="24"/>
          <w:szCs w:val="24"/>
        </w:rPr>
        <w:t xml:space="preserve">Për </w:t>
      </w:r>
      <w:r>
        <w:rPr>
          <w:rFonts w:ascii="Times New Roman" w:eastAsia="Times New Roman" w:hAnsi="Times New Roman"/>
          <w:i/>
          <w:sz w:val="24"/>
          <w:szCs w:val="24"/>
        </w:rPr>
        <w:t xml:space="preserve">bazueshmërinë prima facia të pretendimeve </w:t>
      </w:r>
    </w:p>
    <w:p w:rsidR="00FC54D1" w:rsidRPr="00FC54D1" w:rsidRDefault="00FC54D1" w:rsidP="00FC54D1">
      <w:pPr>
        <w:spacing w:after="0" w:line="360" w:lineRule="auto"/>
        <w:ind w:firstLine="720"/>
        <w:jc w:val="both"/>
        <w:rPr>
          <w:rFonts w:ascii="Times New Roman" w:eastAsia="Times New Roman" w:hAnsi="Times New Roman"/>
          <w:sz w:val="24"/>
          <w:szCs w:val="24"/>
        </w:rPr>
      </w:pPr>
      <w:r w:rsidRPr="00FC54D1">
        <w:rPr>
          <w:rFonts w:ascii="Times New Roman" w:eastAsia="Times New Roman" w:hAnsi="Times New Roman"/>
          <w:sz w:val="24"/>
          <w:szCs w:val="24"/>
        </w:rPr>
        <w:t>6. Kërkuesja pretendon se në rekursin e paraqitur në Gjykatë</w:t>
      </w:r>
      <w:r w:rsidR="00180FBE">
        <w:rPr>
          <w:rFonts w:ascii="Times New Roman" w:eastAsia="Times New Roman" w:hAnsi="Times New Roman"/>
          <w:sz w:val="24"/>
          <w:szCs w:val="24"/>
        </w:rPr>
        <w:t>n</w:t>
      </w:r>
      <w:r w:rsidRPr="00FC54D1">
        <w:rPr>
          <w:rFonts w:ascii="Times New Roman" w:eastAsia="Times New Roman" w:hAnsi="Times New Roman"/>
          <w:sz w:val="24"/>
          <w:szCs w:val="24"/>
        </w:rPr>
        <w:t xml:space="preserve"> </w:t>
      </w:r>
      <w:r w:rsidR="00180FBE">
        <w:rPr>
          <w:rFonts w:ascii="Times New Roman" w:eastAsia="Times New Roman" w:hAnsi="Times New Roman"/>
          <w:sz w:val="24"/>
          <w:szCs w:val="24"/>
        </w:rPr>
        <w:t>e</w:t>
      </w:r>
      <w:r w:rsidR="00180FBE" w:rsidRPr="00FC54D1">
        <w:rPr>
          <w:rFonts w:ascii="Times New Roman" w:eastAsia="Times New Roman" w:hAnsi="Times New Roman"/>
          <w:sz w:val="24"/>
          <w:szCs w:val="24"/>
        </w:rPr>
        <w:t xml:space="preserve"> </w:t>
      </w:r>
      <w:r w:rsidRPr="00FC54D1">
        <w:rPr>
          <w:rFonts w:ascii="Times New Roman" w:eastAsia="Times New Roman" w:hAnsi="Times New Roman"/>
          <w:sz w:val="24"/>
          <w:szCs w:val="24"/>
        </w:rPr>
        <w:t xml:space="preserve">Lartë ka paraqitur pretendime, që kanë të bëjnë me shkeljen e parimeve themelore të procesit gjyqësor dhe </w:t>
      </w:r>
      <w:r w:rsidR="00180FBE">
        <w:rPr>
          <w:rFonts w:ascii="Times New Roman" w:eastAsia="Times New Roman" w:hAnsi="Times New Roman"/>
          <w:sz w:val="24"/>
          <w:szCs w:val="24"/>
        </w:rPr>
        <w:t>që</w:t>
      </w:r>
      <w:r w:rsidRPr="00FC54D1">
        <w:rPr>
          <w:rFonts w:ascii="Times New Roman" w:eastAsia="Times New Roman" w:hAnsi="Times New Roman"/>
          <w:sz w:val="24"/>
          <w:szCs w:val="24"/>
        </w:rPr>
        <w:t xml:space="preserve"> gjejnë pasqyrim në materialet e çështjes. Gjykata e Lartë duke mos u dhënë përgjigje pretendimeve të natyrës kushtetuese të ngritura nga kërkuesja ka cenuar të drejtën e aksesit dhe të drejtën për t’u dëgjuar.</w:t>
      </w:r>
    </w:p>
    <w:p w:rsidR="00FC54D1" w:rsidRPr="00FC54D1" w:rsidRDefault="00FC54D1" w:rsidP="00FC54D1">
      <w:pPr>
        <w:spacing w:after="0" w:line="360" w:lineRule="auto"/>
        <w:ind w:firstLine="720"/>
        <w:jc w:val="both"/>
        <w:rPr>
          <w:rFonts w:ascii="Times New Roman" w:eastAsia="Times New Roman" w:hAnsi="Times New Roman"/>
          <w:sz w:val="24"/>
          <w:szCs w:val="24"/>
        </w:rPr>
      </w:pPr>
      <w:r w:rsidRPr="00FC54D1">
        <w:rPr>
          <w:rFonts w:ascii="Times New Roman" w:eastAsia="Times New Roman" w:hAnsi="Times New Roman"/>
          <w:sz w:val="24"/>
          <w:szCs w:val="24"/>
        </w:rPr>
        <w:t xml:space="preserve">7. Gjykata ka pranuar se kontrolli kushtetues që ajo ushtron ndaj vendimeve gjyqësore është i kufizuar vetëm në funksion të mbrojtjes së të drejtave kushtetuese të çdo individi për një proces të rregullt ligjor. Në këtë vështrim, Gjykata mund të vlerësojë mënyrën e </w:t>
      </w:r>
      <w:r w:rsidRPr="00FC54D1">
        <w:rPr>
          <w:rFonts w:ascii="Times New Roman" w:eastAsia="Times New Roman" w:hAnsi="Times New Roman"/>
          <w:sz w:val="24"/>
          <w:szCs w:val="24"/>
        </w:rPr>
        <w:lastRenderedPageBreak/>
        <w:t xml:space="preserve">interpretimit dhe të zbatimit të ligjit, që në parim u takon gjykatave të sistemit të zakonshëm, vetëm nëse përmes këtij procesi janë cenuar të drejtat kushtetuese të individit për një proces të rregullt ligjor. Në këto raste Gjykata analizon ligjin, faktin dhe rrethanën përkatëse në atë dimension që ka ndikim mbi të drejtat dhe liritë e parashikuara nga neni 42 i Kushtetutës dhe neni 6 i KEDNJ-së, gjë që përbën juridiksionin e saj kushtetues. Detyra e kësaj Gjykate nuk është zgjidhja e një çështjeje konkrete, por identifikimi i fakteve të natyrës kushtetuese, të cilat shërbejnë për realizimin e kompetencave të saj </w:t>
      </w:r>
      <w:r w:rsidRPr="00FC54D1">
        <w:rPr>
          <w:rFonts w:ascii="Times New Roman" w:eastAsia="Times New Roman" w:hAnsi="Times New Roman"/>
          <w:i/>
          <w:sz w:val="24"/>
          <w:szCs w:val="24"/>
        </w:rPr>
        <w:t xml:space="preserve">(shih vendimet </w:t>
      </w:r>
      <w:r w:rsidRPr="00FC54D1">
        <w:rPr>
          <w:rFonts w:ascii="Times New Roman" w:eastAsia="Times New Roman" w:hAnsi="Times New Roman"/>
          <w:bCs/>
          <w:i/>
          <w:sz w:val="24"/>
          <w:szCs w:val="24"/>
        </w:rPr>
        <w:t>nr.84, dat</w:t>
      </w:r>
      <w:r w:rsidRPr="00FC54D1">
        <w:rPr>
          <w:rFonts w:ascii="Times New Roman" w:eastAsia="Times New Roman" w:hAnsi="Times New Roman"/>
          <w:i/>
          <w:sz w:val="24"/>
          <w:szCs w:val="24"/>
        </w:rPr>
        <w:t>ë 30.12.2016</w:t>
      </w:r>
      <w:r w:rsidR="00180FBE">
        <w:rPr>
          <w:rFonts w:ascii="Times New Roman" w:eastAsia="Times New Roman" w:hAnsi="Times New Roman"/>
          <w:i/>
          <w:sz w:val="24"/>
          <w:szCs w:val="24"/>
        </w:rPr>
        <w:t>;</w:t>
      </w:r>
      <w:r w:rsidRPr="00FC54D1">
        <w:rPr>
          <w:rFonts w:ascii="Times New Roman" w:eastAsia="Times New Roman" w:hAnsi="Times New Roman"/>
          <w:i/>
          <w:sz w:val="24"/>
          <w:szCs w:val="24"/>
        </w:rPr>
        <w:t xml:space="preserve"> nr.27, datë 27.03.2017 të Gjykatës Kushtetuese)</w:t>
      </w:r>
      <w:r w:rsidRPr="00FC54D1">
        <w:rPr>
          <w:rFonts w:ascii="Times New Roman" w:eastAsia="Times New Roman" w:hAnsi="Times New Roman"/>
          <w:sz w:val="24"/>
          <w:szCs w:val="24"/>
        </w:rPr>
        <w:t>.</w:t>
      </w:r>
    </w:p>
    <w:p w:rsidR="00FC54D1" w:rsidRPr="00FC54D1" w:rsidRDefault="00FC54D1" w:rsidP="00FC54D1">
      <w:pPr>
        <w:spacing w:after="0" w:line="360" w:lineRule="auto"/>
        <w:ind w:firstLine="720"/>
        <w:jc w:val="both"/>
        <w:rPr>
          <w:rFonts w:ascii="Times New Roman" w:eastAsia="Times New Roman" w:hAnsi="Times New Roman"/>
          <w:sz w:val="24"/>
          <w:szCs w:val="24"/>
        </w:rPr>
      </w:pPr>
      <w:r w:rsidRPr="00FC54D1">
        <w:rPr>
          <w:rFonts w:ascii="Times New Roman" w:eastAsia="Times New Roman" w:hAnsi="Times New Roman"/>
          <w:sz w:val="24"/>
          <w:szCs w:val="24"/>
        </w:rPr>
        <w:t>8. Në këtë këndvështrim, Gjykata ka vlerësuar se Gjykata e Lartë, rast pas rasti, duhet t’u japë përgjigje problemeve ligjore, që në praktikë lidhen me interpretimin e ligjit. Sipas Gjykatës, në të tilla raste kërkuesi duke mos marrë përgjigje për pretendimet e tij me natyrë kushtetuese, për shkak të vendimit të mospranimit të rekursit, i cenohet jo vetëm e drejta e aksesit, në kuptim të nenit 42 të Kushtetutës, por edhe e drejta e ankimit në kuptimin substancial, e parashikuar në nenin 43 të Kushtetutës</w:t>
      </w:r>
      <w:r w:rsidRPr="00FC54D1">
        <w:rPr>
          <w:rFonts w:ascii="Times New Roman" w:eastAsia="Times New Roman" w:hAnsi="Times New Roman"/>
          <w:i/>
          <w:sz w:val="24"/>
          <w:szCs w:val="24"/>
        </w:rPr>
        <w:t xml:space="preserve"> (shih vendimet nr.73, datë 16.12.2016; nr.24, datë 25.04.2016 të Gjykatës Kushtetuese).</w:t>
      </w:r>
    </w:p>
    <w:p w:rsidR="00FC54D1" w:rsidRPr="00FC54D1" w:rsidRDefault="00FC54D1" w:rsidP="00FC54D1">
      <w:pPr>
        <w:spacing w:after="0" w:line="360" w:lineRule="auto"/>
        <w:ind w:firstLine="720"/>
        <w:jc w:val="both"/>
        <w:rPr>
          <w:rFonts w:ascii="Times New Roman" w:eastAsia="Times New Roman" w:hAnsi="Times New Roman"/>
          <w:i/>
          <w:sz w:val="24"/>
          <w:szCs w:val="24"/>
        </w:rPr>
      </w:pPr>
      <w:r w:rsidRPr="00FC54D1">
        <w:rPr>
          <w:rFonts w:ascii="Times New Roman" w:eastAsia="Times New Roman" w:hAnsi="Times New Roman"/>
          <w:bCs/>
          <w:sz w:val="24"/>
          <w:szCs w:val="24"/>
        </w:rPr>
        <w:t xml:space="preserve">9. E drejta për t’iu drejtuar gjykatës përbën një nga elementet e procesit të rregullt ligjor, </w:t>
      </w:r>
      <w:r w:rsidRPr="00FC54D1">
        <w:rPr>
          <w:rFonts w:ascii="Times New Roman" w:eastAsia="Times New Roman" w:hAnsi="Times New Roman"/>
          <w:sz w:val="24"/>
          <w:szCs w:val="24"/>
        </w:rPr>
        <w:t>në kuptim të nenit 42 të Kushtetutës dhe nenit 6 të Konventës Europiane për të Drejtat e Njeriut.</w:t>
      </w:r>
      <w:r w:rsidRPr="00FC54D1">
        <w:rPr>
          <w:rFonts w:ascii="Times New Roman" w:eastAsia="Times New Roman" w:hAnsi="Times New Roman"/>
          <w:bCs/>
          <w:sz w:val="24"/>
          <w:szCs w:val="24"/>
        </w:rPr>
        <w:t xml:space="preserve"> Kjo e drejtë e individit është garanci për administrimin e mirë të drejtësisë, prandaj çdo interpretim </w:t>
      </w:r>
      <w:r w:rsidRPr="00FC54D1">
        <w:rPr>
          <w:rFonts w:ascii="Times New Roman" w:eastAsia="Times New Roman" w:hAnsi="Times New Roman"/>
          <w:bCs/>
          <w:iCs/>
          <w:sz w:val="24"/>
          <w:szCs w:val="24"/>
        </w:rPr>
        <w:t>i ngushtë</w:t>
      </w:r>
      <w:r w:rsidRPr="00FC54D1">
        <w:rPr>
          <w:rFonts w:ascii="Times New Roman" w:eastAsia="Times New Roman" w:hAnsi="Times New Roman"/>
          <w:bCs/>
          <w:sz w:val="24"/>
          <w:szCs w:val="24"/>
        </w:rPr>
        <w:t xml:space="preserve"> i nenit 42 të Kushtetutës dhe i nenit 6 të KEDNJ-së nuk përputhet me qëllimet dhe objektin e tyre. Në këtë kuptim, e drejta e individit për t’iu drejtuar gjykatës </w:t>
      </w:r>
      <w:r w:rsidRPr="00FC54D1">
        <w:rPr>
          <w:rFonts w:ascii="Times New Roman" w:eastAsia="Times New Roman" w:hAnsi="Times New Roman"/>
          <w:sz w:val="24"/>
          <w:szCs w:val="24"/>
        </w:rPr>
        <w:t>nuk përfshin vetëm të drejtën për të hapur një proces, por edhe të drejtën për të pasur, nga ana e gjykatës, një zgjidhje përfundimtare në lidhje me mosmarrëveshjen objekt gjykimi, pasi a</w:t>
      </w:r>
      <w:r w:rsidRPr="00FC54D1">
        <w:rPr>
          <w:rFonts w:ascii="Times New Roman" w:eastAsia="Times New Roman" w:hAnsi="Times New Roman"/>
          <w:bCs/>
          <w:sz w:val="24"/>
          <w:szCs w:val="24"/>
        </w:rPr>
        <w:t xml:space="preserve">ksesi në gjykatë duhet të jetë substantiv dhe jo thjesht formal. </w:t>
      </w:r>
      <w:r w:rsidRPr="00FC54D1">
        <w:rPr>
          <w:rFonts w:ascii="Times New Roman" w:eastAsia="Times New Roman" w:hAnsi="Times New Roman"/>
          <w:sz w:val="24"/>
          <w:szCs w:val="24"/>
        </w:rPr>
        <w:t xml:space="preserve">Mohimi i së drejtës për t’iu drejtuar gjykatës dhe për të marrë një përgjigje përfundimtare prej saj lidhur me pretendimet e ngritura përbën cenim të së drejtës themelore për një proces të rregullt ligjor </w:t>
      </w:r>
      <w:r w:rsidRPr="00FC54D1">
        <w:rPr>
          <w:rFonts w:ascii="Times New Roman" w:eastAsia="Times New Roman" w:hAnsi="Times New Roman"/>
          <w:i/>
          <w:sz w:val="24"/>
          <w:szCs w:val="24"/>
        </w:rPr>
        <w:t>(shih vendimet</w:t>
      </w:r>
      <w:r w:rsidRPr="00FC54D1">
        <w:rPr>
          <w:rFonts w:ascii="Times New Roman" w:eastAsia="Times New Roman" w:hAnsi="Times New Roman"/>
          <w:bCs/>
          <w:i/>
          <w:sz w:val="24"/>
          <w:szCs w:val="24"/>
        </w:rPr>
        <w:t xml:space="preserve"> nr.84, dat</w:t>
      </w:r>
      <w:r w:rsidRPr="00FC54D1">
        <w:rPr>
          <w:rFonts w:ascii="Times New Roman" w:eastAsia="Times New Roman" w:hAnsi="Times New Roman"/>
          <w:i/>
          <w:sz w:val="24"/>
          <w:szCs w:val="24"/>
        </w:rPr>
        <w:t>ë 30.12.2016; nr.14, datë 03.06.2009</w:t>
      </w:r>
      <w:r w:rsidRPr="00FC54D1">
        <w:rPr>
          <w:rFonts w:ascii="Times New Roman" w:eastAsia="Times New Roman" w:hAnsi="Times New Roman"/>
          <w:b/>
          <w:bCs/>
          <w:sz w:val="24"/>
          <w:szCs w:val="24"/>
        </w:rPr>
        <w:t xml:space="preserve"> </w:t>
      </w:r>
      <w:r w:rsidRPr="00FC54D1">
        <w:rPr>
          <w:rFonts w:ascii="Times New Roman" w:eastAsia="Times New Roman" w:hAnsi="Times New Roman"/>
          <w:i/>
          <w:sz w:val="24"/>
          <w:szCs w:val="24"/>
        </w:rPr>
        <w:t>të Gjykatës Kushtetuese).</w:t>
      </w:r>
    </w:p>
    <w:p w:rsidR="00FC54D1" w:rsidRPr="00FC54D1" w:rsidRDefault="00FC54D1" w:rsidP="00FC54D1">
      <w:pPr>
        <w:spacing w:after="0" w:line="360" w:lineRule="auto"/>
        <w:ind w:firstLine="720"/>
        <w:jc w:val="both"/>
        <w:rPr>
          <w:rFonts w:ascii="Times New Roman" w:eastAsia="Times New Roman" w:hAnsi="Times New Roman"/>
          <w:bCs/>
          <w:i/>
          <w:kern w:val="28"/>
          <w:sz w:val="24"/>
          <w:szCs w:val="24"/>
        </w:rPr>
      </w:pPr>
      <w:r w:rsidRPr="00FC54D1">
        <w:rPr>
          <w:rFonts w:ascii="Times New Roman" w:eastAsia="Times New Roman" w:hAnsi="Times New Roman"/>
          <w:bCs/>
          <w:kern w:val="28"/>
          <w:sz w:val="24"/>
          <w:szCs w:val="24"/>
        </w:rPr>
        <w:t xml:space="preserve">10. Gjithashtu, Gjykata ka vlerësuar se neni 42 i Kushtetutës sanksionon në vetvete jo vetëm të drejtën e individit për t’iu drejtuar gjykatës, por edhe detyrimin e shtetit që t’ia garantojë atij këtë akses. Gjykata ka konsideruar se sipas këtij neni detyrimi për të garantuar të drejtën efektive të aksesit në gjykatë nuk nënkupton thjesht mungesën e një ndërhyrjeje, por mund të kërkojë edhe ndërmarrjen e veprimeve pozitive nga ana e shtetit. Në rast se mohohet një e drejtë e tillë, procesi konsiderohet jo i rregullt, sepse aksesi në gjykatë është para së gjithash një kusht kryesor për të realizuar mbrojtjen e të drejtave të tjera. Shteti i së drejtës nuk mund të konceptohet pa u njohur individëve të drejtën dhe mundësinë për t’iu </w:t>
      </w:r>
      <w:r w:rsidRPr="00FC54D1">
        <w:rPr>
          <w:rFonts w:ascii="Times New Roman" w:eastAsia="Times New Roman" w:hAnsi="Times New Roman"/>
          <w:bCs/>
          <w:kern w:val="28"/>
          <w:sz w:val="24"/>
          <w:szCs w:val="24"/>
        </w:rPr>
        <w:lastRenderedPageBreak/>
        <w:t xml:space="preserve">drejtuar gjykatës </w:t>
      </w:r>
      <w:r w:rsidRPr="00FC54D1">
        <w:rPr>
          <w:rFonts w:ascii="Times New Roman" w:eastAsia="Times New Roman" w:hAnsi="Times New Roman"/>
          <w:bCs/>
          <w:i/>
          <w:kern w:val="28"/>
          <w:sz w:val="24"/>
          <w:szCs w:val="24"/>
        </w:rPr>
        <w:t>(shih vendimet nr.84, datë 30.12.2016; nr.67, datë 17.11.2015 të Gjykatës Kushtetuese).</w:t>
      </w:r>
    </w:p>
    <w:p w:rsidR="00FC54D1" w:rsidRPr="00FC54D1" w:rsidRDefault="00FC54D1" w:rsidP="00FC54D1">
      <w:pPr>
        <w:spacing w:after="0" w:line="360" w:lineRule="auto"/>
        <w:ind w:firstLine="720"/>
        <w:jc w:val="both"/>
        <w:rPr>
          <w:rFonts w:ascii="Times New Roman" w:eastAsia="Times New Roman" w:hAnsi="Times New Roman"/>
          <w:i/>
          <w:sz w:val="24"/>
          <w:szCs w:val="24"/>
        </w:rPr>
      </w:pPr>
      <w:r w:rsidRPr="00FC54D1">
        <w:rPr>
          <w:rFonts w:ascii="Times New Roman" w:eastAsia="Times New Roman" w:hAnsi="Times New Roman"/>
          <w:sz w:val="24"/>
          <w:szCs w:val="24"/>
        </w:rPr>
        <w:t xml:space="preserve">11. Gjykata është shprehur se përdorimi i mjetit procedural të përshtatshëm ankimues në formë e në përmbajtje, siç është sanksionuar në Kodin e Procedurës Penale, nuk përbën një kërkesë formale, por një kërkesë që lidhet me thelbin e së drejtës së mbrojtjes dhe të pjesëmarrjes aktive në gjykim. Mostrajtimi i mjetit procedural në mënyrë substanciale cenon të drejtën e mbrojtjes së të gjykuarit dhe njëkohësisht aksesin e tij në Gjykatën e Lartë </w:t>
      </w:r>
      <w:r w:rsidRPr="00FC54D1">
        <w:rPr>
          <w:rFonts w:ascii="Times New Roman" w:eastAsia="Times New Roman" w:hAnsi="Times New Roman"/>
          <w:i/>
          <w:sz w:val="24"/>
          <w:szCs w:val="24"/>
        </w:rPr>
        <w:t xml:space="preserve">(shih vendimet </w:t>
      </w:r>
      <w:r w:rsidRPr="00FC54D1">
        <w:rPr>
          <w:rFonts w:ascii="Times New Roman" w:eastAsia="Times New Roman" w:hAnsi="Times New Roman"/>
          <w:bCs/>
          <w:i/>
          <w:sz w:val="24"/>
          <w:szCs w:val="24"/>
        </w:rPr>
        <w:t>nr.84, dat</w:t>
      </w:r>
      <w:r w:rsidRPr="00FC54D1">
        <w:rPr>
          <w:rFonts w:ascii="Times New Roman" w:eastAsia="Times New Roman" w:hAnsi="Times New Roman"/>
          <w:i/>
          <w:sz w:val="24"/>
          <w:szCs w:val="24"/>
        </w:rPr>
        <w:t>ë 30.12.2016; nr.21, datë 24.07.2006 të Gjykatës Kushtetuese).</w:t>
      </w:r>
    </w:p>
    <w:p w:rsidR="00FC54D1" w:rsidRPr="00FC54D1" w:rsidRDefault="00FC54D1" w:rsidP="00FC54D1">
      <w:pPr>
        <w:spacing w:after="0" w:line="360" w:lineRule="auto"/>
        <w:ind w:firstLine="720"/>
        <w:jc w:val="both"/>
        <w:rPr>
          <w:rFonts w:ascii="Times New Roman" w:eastAsia="Times New Roman" w:hAnsi="Times New Roman"/>
          <w:i/>
          <w:sz w:val="24"/>
          <w:szCs w:val="24"/>
        </w:rPr>
      </w:pPr>
      <w:r w:rsidRPr="00FC54D1">
        <w:rPr>
          <w:rFonts w:ascii="Times New Roman" w:eastAsia="Times New Roman" w:hAnsi="Times New Roman"/>
          <w:bCs/>
          <w:sz w:val="24"/>
          <w:szCs w:val="24"/>
        </w:rPr>
        <w:t>12. Gjykata në këtë drejtim ka theksuar se është kompetencë e Kolegjit Civil/Penal (dhoma e këshillimit) të analizojë dhe vlerësojë nëse shkaqet e ngritura në rekurs janë në përputhje me kërkesat e ligjit</w:t>
      </w:r>
      <w:r w:rsidRPr="00FC54D1">
        <w:rPr>
          <w:rFonts w:ascii="Times New Roman" w:eastAsia="Times New Roman" w:hAnsi="Times New Roman"/>
          <w:sz w:val="24"/>
          <w:szCs w:val="24"/>
        </w:rPr>
        <w:t xml:space="preserve">. </w:t>
      </w:r>
      <w:r w:rsidRPr="00FC54D1">
        <w:rPr>
          <w:rFonts w:ascii="Times New Roman" w:eastAsia="Times New Roman" w:hAnsi="Times New Roman"/>
          <w:bCs/>
          <w:sz w:val="24"/>
          <w:szCs w:val="24"/>
        </w:rPr>
        <w:t xml:space="preserve">Megjithatë, ky standard nuk duhet kuptuar sikur i mundëson Gjykatës së Lartë ushtrimin e kompetencës së mësipërme në mënyrë diskrecionale. Gjykata ka theksuar se standardet kushtetuese për një proces të rregullt ligjor duhen respektuar në të gjitha fazat e gjykimit, përfshirë këtu shqyrtimin e rekursit nga Gjykata e Lartë në dhomën e këshillimit. Rekursi është mjeti procedural në dispozicion të kërkuesit, me anë të të cilit ai mund të ketë akses në Gjykatën e Lartë, duke e investuar këtë të fundit me shqyrtimin e pretendimeve të tij </w:t>
      </w:r>
      <w:r w:rsidRPr="00FC54D1">
        <w:rPr>
          <w:rFonts w:ascii="Times New Roman" w:eastAsia="Times New Roman" w:hAnsi="Times New Roman"/>
          <w:i/>
          <w:sz w:val="24"/>
          <w:szCs w:val="24"/>
        </w:rPr>
        <w:t>(shih vendimet nr.73, datë 16.12.2016; nr.24, datë 25.04.2016 të Gjykatës Kushtetuese).</w:t>
      </w:r>
    </w:p>
    <w:p w:rsidR="00FC54D1" w:rsidRPr="00FC54D1" w:rsidRDefault="00FC54D1" w:rsidP="00FC54D1">
      <w:pPr>
        <w:spacing w:after="0" w:line="360" w:lineRule="auto"/>
        <w:ind w:firstLine="720"/>
        <w:jc w:val="both"/>
        <w:rPr>
          <w:rFonts w:ascii="Times New Roman" w:eastAsia="Times New Roman" w:hAnsi="Times New Roman"/>
          <w:sz w:val="24"/>
          <w:szCs w:val="24"/>
        </w:rPr>
      </w:pPr>
      <w:r w:rsidRPr="00FC54D1">
        <w:rPr>
          <w:rFonts w:ascii="Times New Roman" w:eastAsia="Times New Roman" w:hAnsi="Times New Roman"/>
          <w:sz w:val="24"/>
          <w:szCs w:val="24"/>
        </w:rPr>
        <w:t>13.</w:t>
      </w:r>
      <w:r w:rsidRPr="00FC54D1">
        <w:rPr>
          <w:rFonts w:ascii="Times New Roman" w:eastAsia="Times New Roman" w:hAnsi="Times New Roman"/>
          <w:i/>
          <w:sz w:val="24"/>
          <w:szCs w:val="24"/>
        </w:rPr>
        <w:t xml:space="preserve"> </w:t>
      </w:r>
      <w:r w:rsidRPr="00FC54D1">
        <w:rPr>
          <w:rFonts w:ascii="Times New Roman" w:eastAsia="MS Mincho" w:hAnsi="Times New Roman"/>
          <w:sz w:val="24"/>
          <w:szCs w:val="24"/>
        </w:rPr>
        <w:t>Po ashtu, jurisprudenca kushtetuese ka theksuar se Gjykata e Lartë, për shkak të pozicionit dhe rolit të saj si gjykatë ligji, ka për detyrë të kontrollojë mënyrën e zbatimit të ligjit material dhe procedural nga ana e gjykatave më të ulëta</w:t>
      </w:r>
      <w:r w:rsidRPr="00FC54D1">
        <w:rPr>
          <w:rFonts w:ascii="Times New Roman" w:eastAsia="MS Mincho" w:hAnsi="Times New Roman"/>
          <w:i/>
          <w:sz w:val="24"/>
          <w:szCs w:val="24"/>
        </w:rPr>
        <w:t xml:space="preserve"> (shih vendimet</w:t>
      </w:r>
      <w:r w:rsidRPr="00FC54D1">
        <w:rPr>
          <w:rFonts w:ascii="Times New Roman" w:eastAsia="MS Mincho" w:hAnsi="Times New Roman"/>
          <w:bCs/>
          <w:i/>
          <w:sz w:val="24"/>
          <w:szCs w:val="24"/>
        </w:rPr>
        <w:t xml:space="preserve"> nr.84, dat</w:t>
      </w:r>
      <w:r w:rsidRPr="00FC54D1">
        <w:rPr>
          <w:rFonts w:ascii="Times New Roman" w:eastAsia="MS Mincho" w:hAnsi="Times New Roman"/>
          <w:i/>
          <w:sz w:val="24"/>
          <w:szCs w:val="24"/>
        </w:rPr>
        <w:t>ë 30.12.2016; nr.14, datë 17.04.2007;</w:t>
      </w:r>
      <w:r w:rsidRPr="00FC54D1">
        <w:rPr>
          <w:rFonts w:ascii="Times New Roman" w:eastAsia="MS Mincho" w:hAnsi="Times New Roman"/>
          <w:bCs/>
          <w:i/>
          <w:sz w:val="24"/>
          <w:szCs w:val="24"/>
        </w:rPr>
        <w:t xml:space="preserve"> </w:t>
      </w:r>
      <w:r w:rsidRPr="00FC54D1">
        <w:rPr>
          <w:rFonts w:ascii="Times New Roman" w:eastAsia="MS Mincho" w:hAnsi="Times New Roman"/>
          <w:i/>
          <w:sz w:val="24"/>
          <w:szCs w:val="24"/>
        </w:rPr>
        <w:t>nr.35, datë 20.12.2005 të Gjykatës Kushtetuese).</w:t>
      </w:r>
      <w:r w:rsidRPr="00FC54D1">
        <w:rPr>
          <w:rFonts w:ascii="Times New Roman" w:eastAsia="MS Mincho" w:hAnsi="Times New Roman"/>
          <w:sz w:val="24"/>
          <w:szCs w:val="24"/>
        </w:rPr>
        <w:t xml:space="preserve"> </w:t>
      </w:r>
      <w:r w:rsidRPr="00FC54D1">
        <w:rPr>
          <w:rFonts w:ascii="Times New Roman" w:eastAsia="Times New Roman" w:hAnsi="Times New Roman"/>
          <w:bCs/>
          <w:sz w:val="24"/>
          <w:szCs w:val="24"/>
        </w:rPr>
        <w:t>Gjykata, referuar natyrës së gjykimit kushtetues të kërkesave individuale, ka tashmë një qëndrim të konsoliduar, sipas të cilit kontrolli i respektimit të standardeve kushtetuese për një proces të rregullt ligjor ë</w:t>
      </w:r>
      <w:bookmarkStart w:id="0" w:name="_GoBack"/>
      <w:bookmarkEnd w:id="0"/>
      <w:r w:rsidRPr="00FC54D1">
        <w:rPr>
          <w:rFonts w:ascii="Times New Roman" w:eastAsia="Times New Roman" w:hAnsi="Times New Roman"/>
          <w:bCs/>
          <w:sz w:val="24"/>
          <w:szCs w:val="24"/>
        </w:rPr>
        <w:t>shtë funksion edhe i gjykatave të zakonshme, për më tepër i Gjykatës së Lartë. Një linjë e tillë lidhur me raportin ndërmjet juridiksionit kushtetues dhe juridiksionit të gjykatave të zakonshme, kur është rasti i shqyrtimit nga ana e Gjykatës Kushtetuese të kërkesave individuale, në bazë të nenit 131/f të Kushtetutës, udhëhiqet nga parimi i subsidiaritetit (komplementaritetit)</w:t>
      </w:r>
      <w:r w:rsidRPr="00FC54D1">
        <w:rPr>
          <w:rFonts w:ascii="Times New Roman" w:eastAsia="Times New Roman" w:hAnsi="Times New Roman"/>
          <w:bCs/>
          <w:i/>
          <w:sz w:val="24"/>
          <w:szCs w:val="24"/>
        </w:rPr>
        <w:t xml:space="preserve"> </w:t>
      </w:r>
      <w:r w:rsidRPr="00FC54D1">
        <w:rPr>
          <w:rFonts w:ascii="Times New Roman" w:eastAsia="Times New Roman" w:hAnsi="Times New Roman"/>
          <w:i/>
          <w:iCs/>
          <w:sz w:val="24"/>
          <w:szCs w:val="24"/>
        </w:rPr>
        <w:t>(shih vendimet nr.4, datë 28.02.2006; nr.19, datë 02.04.2012;</w:t>
      </w:r>
      <w:r w:rsidRPr="00FC54D1">
        <w:rPr>
          <w:rFonts w:ascii="Times New Roman" w:eastAsia="Times New Roman" w:hAnsi="Times New Roman"/>
          <w:bCs/>
          <w:i/>
          <w:iCs/>
          <w:sz w:val="24"/>
          <w:szCs w:val="24"/>
        </w:rPr>
        <w:t xml:space="preserve"> </w:t>
      </w:r>
      <w:r w:rsidRPr="00FC54D1">
        <w:rPr>
          <w:rFonts w:ascii="Times New Roman" w:eastAsia="Times New Roman" w:hAnsi="Times New Roman"/>
          <w:bCs/>
          <w:i/>
          <w:sz w:val="24"/>
          <w:szCs w:val="24"/>
        </w:rPr>
        <w:t>nr.</w:t>
      </w:r>
      <w:r w:rsidRPr="00FC54D1">
        <w:rPr>
          <w:rFonts w:ascii="Times New Roman" w:eastAsia="Times New Roman" w:hAnsi="Times New Roman"/>
          <w:i/>
          <w:sz w:val="24"/>
          <w:szCs w:val="24"/>
        </w:rPr>
        <w:t>58, datë 24.12.2012</w:t>
      </w:r>
      <w:r w:rsidRPr="00FC54D1">
        <w:rPr>
          <w:rFonts w:ascii="Times New Roman" w:eastAsia="Times New Roman" w:hAnsi="Times New Roman"/>
          <w:i/>
          <w:iCs/>
          <w:sz w:val="24"/>
          <w:szCs w:val="24"/>
        </w:rPr>
        <w:t xml:space="preserve">; </w:t>
      </w:r>
      <w:r w:rsidRPr="00FC54D1">
        <w:rPr>
          <w:rFonts w:ascii="Times New Roman" w:eastAsia="Times New Roman" w:hAnsi="Times New Roman"/>
          <w:i/>
          <w:sz w:val="24"/>
          <w:szCs w:val="24"/>
        </w:rPr>
        <w:t>nr.52, datë 02.12.2013; nr.3, datë 23.01.2014;</w:t>
      </w:r>
      <w:r w:rsidRPr="00FC54D1">
        <w:rPr>
          <w:rFonts w:ascii="Times New Roman" w:eastAsia="Times New Roman" w:hAnsi="Times New Roman"/>
          <w:bCs/>
          <w:i/>
          <w:sz w:val="24"/>
          <w:szCs w:val="24"/>
        </w:rPr>
        <w:t xml:space="preserve"> nr.84, dat</w:t>
      </w:r>
      <w:r w:rsidRPr="00FC54D1">
        <w:rPr>
          <w:rFonts w:ascii="Times New Roman" w:eastAsia="Times New Roman" w:hAnsi="Times New Roman"/>
          <w:i/>
          <w:sz w:val="24"/>
          <w:szCs w:val="24"/>
        </w:rPr>
        <w:t>ë 30.12.2016</w:t>
      </w:r>
      <w:r w:rsidRPr="00FC54D1">
        <w:rPr>
          <w:rFonts w:ascii="Times New Roman" w:eastAsia="Times New Roman" w:hAnsi="Times New Roman"/>
          <w:b/>
          <w:i/>
          <w:iCs/>
          <w:sz w:val="24"/>
          <w:szCs w:val="24"/>
        </w:rPr>
        <w:t xml:space="preserve"> </w:t>
      </w:r>
      <w:r w:rsidRPr="00FC54D1">
        <w:rPr>
          <w:rFonts w:ascii="Times New Roman" w:eastAsia="Times New Roman" w:hAnsi="Times New Roman"/>
          <w:i/>
          <w:iCs/>
          <w:sz w:val="24"/>
          <w:szCs w:val="24"/>
        </w:rPr>
        <w:t>të Gjykatës Kushtetuese</w:t>
      </w:r>
      <w:r w:rsidRPr="00FC54D1">
        <w:rPr>
          <w:rFonts w:ascii="Times New Roman" w:eastAsia="Times New Roman" w:hAnsi="Times New Roman"/>
          <w:i/>
          <w:sz w:val="24"/>
          <w:szCs w:val="24"/>
        </w:rPr>
        <w:t>).</w:t>
      </w:r>
      <w:r w:rsidRPr="00FC54D1">
        <w:rPr>
          <w:rFonts w:ascii="Times New Roman" w:eastAsia="Times New Roman" w:hAnsi="Times New Roman"/>
          <w:sz w:val="24"/>
          <w:szCs w:val="24"/>
        </w:rPr>
        <w:t xml:space="preserve"> </w:t>
      </w:r>
    </w:p>
    <w:p w:rsidR="00FC54D1" w:rsidRPr="00FC54D1" w:rsidRDefault="00FC54D1" w:rsidP="00FC54D1">
      <w:pPr>
        <w:spacing w:after="0" w:line="360" w:lineRule="auto"/>
        <w:ind w:firstLine="720"/>
        <w:jc w:val="both"/>
        <w:rPr>
          <w:rFonts w:ascii="Times New Roman" w:eastAsia="Times New Roman" w:hAnsi="Times New Roman"/>
          <w:i/>
          <w:sz w:val="24"/>
          <w:szCs w:val="24"/>
        </w:rPr>
      </w:pPr>
      <w:r w:rsidRPr="00FC54D1">
        <w:rPr>
          <w:rFonts w:ascii="Times New Roman" w:eastAsia="Times New Roman" w:hAnsi="Times New Roman"/>
          <w:sz w:val="24"/>
          <w:szCs w:val="24"/>
        </w:rPr>
        <w:t>14. Për vendimet e dhëna nga Gjykata e Lartë në dhomën e këshillimit</w:t>
      </w:r>
      <w:r w:rsidRPr="00FC54D1">
        <w:rPr>
          <w:rFonts w:ascii="Times New Roman" w:eastAsia="Times New Roman" w:hAnsi="Times New Roman"/>
          <w:bCs/>
          <w:sz w:val="24"/>
          <w:szCs w:val="24"/>
        </w:rPr>
        <w:t xml:space="preserve"> dhe referuar natyrës së gjykimit kushtetues të kërkesave individuale, Gjykata ka theksuar se </w:t>
      </w:r>
      <w:r w:rsidRPr="00FC54D1">
        <w:rPr>
          <w:rFonts w:ascii="Times New Roman" w:eastAsia="Times New Roman" w:hAnsi="Times New Roman"/>
          <w:sz w:val="24"/>
          <w:szCs w:val="24"/>
        </w:rPr>
        <w:t xml:space="preserve">vetëm kur janë të pranishme pretendime, që kanë të bëjnë me shkeljen e parimeve themelore të procesit </w:t>
      </w:r>
      <w:r w:rsidRPr="00FC54D1">
        <w:rPr>
          <w:rFonts w:ascii="Times New Roman" w:eastAsia="Times New Roman" w:hAnsi="Times New Roman"/>
          <w:sz w:val="24"/>
          <w:szCs w:val="24"/>
        </w:rPr>
        <w:lastRenderedPageBreak/>
        <w:t>gjyqësor, si dhe kur këto pretendime gjejnë pasqyrim në materialet e çështjes, vendimi i Kolegjit për mospranimin e rekursit vë në dyshim të drejtën për një proces të rregullt ligjor</w:t>
      </w:r>
      <w:r w:rsidRPr="00FC54D1">
        <w:rPr>
          <w:rFonts w:ascii="Times New Roman" w:eastAsia="Times New Roman" w:hAnsi="Times New Roman"/>
          <w:bCs/>
          <w:sz w:val="24"/>
          <w:szCs w:val="24"/>
        </w:rPr>
        <w:t xml:space="preserve"> </w:t>
      </w:r>
      <w:r w:rsidRPr="00FC54D1">
        <w:rPr>
          <w:rFonts w:ascii="Times New Roman" w:eastAsia="Times New Roman" w:hAnsi="Times New Roman"/>
          <w:bCs/>
          <w:i/>
          <w:sz w:val="24"/>
          <w:szCs w:val="24"/>
        </w:rPr>
        <w:t>(shih vendimet</w:t>
      </w:r>
      <w:r w:rsidRPr="00FC54D1">
        <w:rPr>
          <w:rFonts w:ascii="Times New Roman" w:eastAsia="Times New Roman" w:hAnsi="Times New Roman"/>
          <w:i/>
          <w:sz w:val="24"/>
          <w:szCs w:val="24"/>
        </w:rPr>
        <w:t xml:space="preserve"> nr.19, datë 19.07.2005;</w:t>
      </w:r>
      <w:r w:rsidRPr="00FC54D1">
        <w:rPr>
          <w:rFonts w:ascii="Times New Roman" w:eastAsia="Times New Roman" w:hAnsi="Times New Roman"/>
          <w:bCs/>
          <w:i/>
          <w:sz w:val="24"/>
          <w:szCs w:val="24"/>
        </w:rPr>
        <w:t xml:space="preserve"> nr.22, datë 06.06.2011; </w:t>
      </w:r>
      <w:r w:rsidRPr="00FC54D1">
        <w:rPr>
          <w:rFonts w:ascii="Times New Roman" w:eastAsia="Times New Roman" w:hAnsi="Times New Roman"/>
          <w:i/>
          <w:sz w:val="24"/>
          <w:szCs w:val="24"/>
        </w:rPr>
        <w:t xml:space="preserve">nr.18, datë 14.04.2015; </w:t>
      </w:r>
      <w:r w:rsidRPr="00FC54D1">
        <w:rPr>
          <w:rFonts w:ascii="Times New Roman" w:eastAsia="Times New Roman" w:hAnsi="Times New Roman"/>
          <w:bCs/>
          <w:i/>
          <w:sz w:val="24"/>
          <w:szCs w:val="24"/>
        </w:rPr>
        <w:t>nr.84, dat</w:t>
      </w:r>
      <w:r w:rsidRPr="00FC54D1">
        <w:rPr>
          <w:rFonts w:ascii="Times New Roman" w:eastAsia="Times New Roman" w:hAnsi="Times New Roman"/>
          <w:i/>
          <w:sz w:val="24"/>
          <w:szCs w:val="24"/>
        </w:rPr>
        <w:t xml:space="preserve">ë 30.12.2016; nr.27, datë 27.03.2017 </w:t>
      </w:r>
      <w:r w:rsidRPr="00FC54D1">
        <w:rPr>
          <w:rFonts w:ascii="Times New Roman" w:eastAsia="Times New Roman" w:hAnsi="Times New Roman"/>
          <w:bCs/>
          <w:i/>
          <w:sz w:val="24"/>
          <w:szCs w:val="24"/>
        </w:rPr>
        <w:t>të Gjykatës Kushtetuese).</w:t>
      </w:r>
    </w:p>
    <w:p w:rsidR="00FC54D1" w:rsidRPr="00FC54D1" w:rsidRDefault="00FC54D1" w:rsidP="00FC54D1">
      <w:pPr>
        <w:tabs>
          <w:tab w:val="left" w:pos="0"/>
        </w:tabs>
        <w:spacing w:after="0" w:line="360" w:lineRule="auto"/>
        <w:ind w:firstLine="720"/>
        <w:jc w:val="both"/>
        <w:rPr>
          <w:rFonts w:ascii="Times New Roman" w:eastAsia="Times New Roman" w:hAnsi="Times New Roman"/>
          <w:sz w:val="24"/>
          <w:szCs w:val="24"/>
        </w:rPr>
      </w:pPr>
      <w:r w:rsidRPr="00FC54D1">
        <w:rPr>
          <w:rFonts w:ascii="Times New Roman" w:eastAsia="Times New Roman" w:hAnsi="Times New Roman"/>
          <w:sz w:val="24"/>
          <w:szCs w:val="24"/>
        </w:rPr>
        <w:t>15.</w:t>
      </w:r>
      <w:r w:rsidRPr="00FC54D1">
        <w:rPr>
          <w:rFonts w:ascii="Times New Roman" w:eastAsia="Times New Roman" w:hAnsi="Times New Roman"/>
          <w:i/>
          <w:sz w:val="24"/>
          <w:szCs w:val="24"/>
        </w:rPr>
        <w:t xml:space="preserve"> </w:t>
      </w:r>
      <w:r w:rsidRPr="00FC54D1">
        <w:rPr>
          <w:rFonts w:ascii="Times New Roman" w:eastAsia="Times New Roman" w:hAnsi="Times New Roman"/>
          <w:bCs/>
          <w:kern w:val="28"/>
          <w:sz w:val="24"/>
          <w:szCs w:val="24"/>
        </w:rPr>
        <w:t xml:space="preserve">Edhe </w:t>
      </w:r>
      <w:r w:rsidRPr="00FC54D1">
        <w:rPr>
          <w:rFonts w:ascii="Times New Roman" w:eastAsia="Times New Roman" w:hAnsi="Times New Roman"/>
          <w:sz w:val="24"/>
          <w:szCs w:val="24"/>
        </w:rPr>
        <w:t>GJEDNJ-ja ka theksuar se: “</w:t>
      </w:r>
      <w:r w:rsidRPr="00FC54D1">
        <w:rPr>
          <w:rFonts w:ascii="Times New Roman" w:eastAsia="Times New Roman" w:hAnsi="Times New Roman"/>
          <w:color w:val="000000"/>
          <w:sz w:val="24"/>
          <w:szCs w:val="24"/>
        </w:rPr>
        <w:t>detyrimi që ka gjykata vendase për të arsyetuar vendimet e saj, nuk mund të interpretohet sikur kërkohet arsyetim i detajuar për çdo pretendim të palës ndërgjyqëse. Masa e arsyetimit të vendimit varet nga natyra e vendimit në fjalë” (...)</w:t>
      </w:r>
      <w:r w:rsidRPr="00FC54D1">
        <w:rPr>
          <w:rFonts w:ascii="Times New Roman" w:eastAsia="Times New Roman" w:hAnsi="Times New Roman"/>
          <w:sz w:val="24"/>
          <w:szCs w:val="24"/>
        </w:rPr>
        <w:t xml:space="preserve"> “arsyetimi i kufizuar i dhënë nga Gjykata e Lartë në formulimin e vendimit në dhomë këshillimi, në mënyrë të nënkuptuar evidenton se aplikanti nuk ka ngritur një nga argumentet ligjore të përcaktuara në dispozitën përkatëse të legjislacionit të brendshëm, që është kusht për pranimin e kërkesës. Gjykata vëren se kur një </w:t>
      </w:r>
      <w:r w:rsidR="00180FBE">
        <w:rPr>
          <w:rFonts w:ascii="Times New Roman" w:eastAsia="Times New Roman" w:hAnsi="Times New Roman"/>
          <w:sz w:val="24"/>
          <w:szCs w:val="24"/>
        </w:rPr>
        <w:t>g</w:t>
      </w:r>
      <w:r w:rsidR="00180FBE" w:rsidRPr="00FC54D1">
        <w:rPr>
          <w:rFonts w:ascii="Times New Roman" w:eastAsia="Times New Roman" w:hAnsi="Times New Roman"/>
          <w:sz w:val="24"/>
          <w:szCs w:val="24"/>
        </w:rPr>
        <w:t xml:space="preserve">jykatë </w:t>
      </w:r>
      <w:r w:rsidRPr="00FC54D1">
        <w:rPr>
          <w:rFonts w:ascii="Times New Roman" w:eastAsia="Times New Roman" w:hAnsi="Times New Roman"/>
          <w:sz w:val="24"/>
          <w:szCs w:val="24"/>
        </w:rPr>
        <w:t xml:space="preserve">e </w:t>
      </w:r>
      <w:r w:rsidR="00180FBE">
        <w:rPr>
          <w:rFonts w:ascii="Times New Roman" w:eastAsia="Times New Roman" w:hAnsi="Times New Roman"/>
          <w:sz w:val="24"/>
          <w:szCs w:val="24"/>
        </w:rPr>
        <w:t>l</w:t>
      </w:r>
      <w:r w:rsidR="00180FBE" w:rsidRPr="00FC54D1">
        <w:rPr>
          <w:rFonts w:ascii="Times New Roman" w:eastAsia="Times New Roman" w:hAnsi="Times New Roman"/>
          <w:sz w:val="24"/>
          <w:szCs w:val="24"/>
        </w:rPr>
        <w:t xml:space="preserve">artë </w:t>
      </w:r>
      <w:r w:rsidRPr="00FC54D1">
        <w:rPr>
          <w:rFonts w:ascii="Times New Roman" w:eastAsia="Times New Roman" w:hAnsi="Times New Roman"/>
          <w:sz w:val="24"/>
          <w:szCs w:val="24"/>
        </w:rPr>
        <w:t>refuzon të pranojë një çështje, për arsye se mungojnë shkaqet ligjore për ngritjen e çështjes, një arsyetim shumë i kufizuar mund të përmbushë kriterin e nenit 6 të Konventës</w:t>
      </w:r>
      <w:r w:rsidRPr="00FC54D1">
        <w:rPr>
          <w:rFonts w:ascii="Times New Roman" w:eastAsia="Times New Roman" w:hAnsi="Times New Roman"/>
          <w:i/>
          <w:sz w:val="24"/>
          <w:szCs w:val="24"/>
        </w:rPr>
        <w:t>”</w:t>
      </w:r>
      <w:r w:rsidRPr="00FC54D1">
        <w:rPr>
          <w:rFonts w:ascii="Times New Roman" w:eastAsia="Times New Roman" w:hAnsi="Times New Roman"/>
          <w:sz w:val="24"/>
          <w:szCs w:val="24"/>
        </w:rPr>
        <w:t xml:space="preserve"> (</w:t>
      </w:r>
      <w:r w:rsidRPr="00FC54D1">
        <w:rPr>
          <w:rFonts w:ascii="Times New Roman" w:eastAsia="Times New Roman" w:hAnsi="Times New Roman"/>
          <w:i/>
          <w:sz w:val="24"/>
          <w:szCs w:val="24"/>
        </w:rPr>
        <w:t>Marini kundër Shqipërisë, datë 18.12.2007, §105-106; Mishgjoni kundër Shqipërisë, datë 07.12.2010, § 51</w:t>
      </w:r>
      <w:r w:rsidRPr="00FC54D1">
        <w:rPr>
          <w:rFonts w:ascii="Times New Roman" w:eastAsia="Times New Roman" w:hAnsi="Times New Roman"/>
          <w:sz w:val="24"/>
          <w:szCs w:val="24"/>
        </w:rPr>
        <w:t xml:space="preserve">). </w:t>
      </w:r>
    </w:p>
    <w:p w:rsidR="00FC54D1" w:rsidRDefault="00FC54D1" w:rsidP="00FC54D1">
      <w:pPr>
        <w:tabs>
          <w:tab w:val="left" w:pos="0"/>
        </w:tabs>
        <w:spacing w:after="0" w:line="360" w:lineRule="auto"/>
        <w:ind w:firstLine="720"/>
        <w:jc w:val="both"/>
        <w:rPr>
          <w:rFonts w:ascii="Times New Roman" w:eastAsia="Times New Roman" w:hAnsi="Times New Roman"/>
          <w:sz w:val="24"/>
          <w:szCs w:val="24"/>
        </w:rPr>
      </w:pPr>
      <w:r w:rsidRPr="00FC54D1">
        <w:rPr>
          <w:rFonts w:ascii="Times New Roman" w:eastAsia="Times New Roman" w:hAnsi="Times New Roman"/>
          <w:sz w:val="24"/>
          <w:szCs w:val="24"/>
        </w:rPr>
        <w:t xml:space="preserve">16. Duke iu rikthyer çështjes konkrete, </w:t>
      </w:r>
      <w:r>
        <w:rPr>
          <w:rFonts w:ascii="Times New Roman" w:eastAsia="Times New Roman" w:hAnsi="Times New Roman"/>
          <w:sz w:val="24"/>
          <w:szCs w:val="24"/>
        </w:rPr>
        <w:t>Kolegji konstaton se</w:t>
      </w:r>
      <w:r w:rsidRPr="00FC54D1">
        <w:rPr>
          <w:rFonts w:ascii="Times New Roman" w:eastAsia="Times New Roman" w:hAnsi="Times New Roman"/>
          <w:sz w:val="24"/>
          <w:szCs w:val="24"/>
        </w:rPr>
        <w:t xml:space="preserve"> Kolegji Penal i Gjykatës së Lartë ka vendosur mospranimin e rekursit me argumentin se nuk përmban shkaqe nga ato që parashikon neni 432 i KPP-së.</w:t>
      </w:r>
      <w:r w:rsidRPr="00FC54D1">
        <w:rPr>
          <w:rFonts w:ascii="Times New Roman" w:eastAsia="MS Mincho" w:hAnsi="Times New Roman"/>
          <w:sz w:val="24"/>
          <w:szCs w:val="24"/>
        </w:rPr>
        <w:t xml:space="preserve"> Po ashtu, </w:t>
      </w:r>
      <w:r w:rsidRPr="00FC54D1">
        <w:rPr>
          <w:rFonts w:ascii="Times New Roman" w:eastAsia="Times New Roman" w:hAnsi="Times New Roman"/>
          <w:sz w:val="24"/>
          <w:szCs w:val="24"/>
        </w:rPr>
        <w:t>Gjykata konstaton se k</w:t>
      </w:r>
      <w:r w:rsidRPr="00FC54D1">
        <w:rPr>
          <w:rFonts w:ascii="Times New Roman" w:eastAsia="Times New Roman" w:hAnsi="Times New Roman"/>
          <w:bCs/>
          <w:sz w:val="24"/>
          <w:szCs w:val="24"/>
        </w:rPr>
        <w:t>ërkuesi në rekursin e paraqitur në Gjykatën e Lartë nuk ka ngritur pretendime të natyrës kushtetuese, por vetëm çështje të provave dhe fakteve, si p.sh</w:t>
      </w:r>
      <w:r w:rsidR="00180FBE">
        <w:rPr>
          <w:rFonts w:ascii="Times New Roman" w:eastAsia="Times New Roman" w:hAnsi="Times New Roman"/>
          <w:bCs/>
          <w:sz w:val="24"/>
          <w:szCs w:val="24"/>
        </w:rPr>
        <w:t>.</w:t>
      </w:r>
      <w:r w:rsidRPr="00FC54D1">
        <w:rPr>
          <w:rFonts w:ascii="Times New Roman" w:eastAsia="Times New Roman" w:hAnsi="Times New Roman"/>
          <w:bCs/>
          <w:sz w:val="24"/>
          <w:szCs w:val="24"/>
        </w:rPr>
        <w:t xml:space="preserve"> deklarimet që kanë bërë dëshmitarët gjatë gjykimit, </w:t>
      </w:r>
      <w:r w:rsidR="00180FBE" w:rsidRPr="00FC54D1">
        <w:rPr>
          <w:rFonts w:ascii="Times New Roman" w:eastAsia="Times New Roman" w:hAnsi="Times New Roman"/>
          <w:bCs/>
          <w:sz w:val="24"/>
          <w:szCs w:val="24"/>
        </w:rPr>
        <w:t>forc</w:t>
      </w:r>
      <w:r w:rsidR="00180FBE">
        <w:rPr>
          <w:rFonts w:ascii="Times New Roman" w:eastAsia="Times New Roman" w:hAnsi="Times New Roman"/>
          <w:bCs/>
          <w:sz w:val="24"/>
          <w:szCs w:val="24"/>
        </w:rPr>
        <w:t>ën</w:t>
      </w:r>
      <w:r w:rsidR="00180FBE" w:rsidRPr="00FC54D1">
        <w:rPr>
          <w:rFonts w:ascii="Times New Roman" w:eastAsia="Times New Roman" w:hAnsi="Times New Roman"/>
          <w:bCs/>
          <w:sz w:val="24"/>
          <w:szCs w:val="24"/>
        </w:rPr>
        <w:t xml:space="preserve"> </w:t>
      </w:r>
      <w:r w:rsidRPr="00FC54D1">
        <w:rPr>
          <w:rFonts w:ascii="Times New Roman" w:eastAsia="Times New Roman" w:hAnsi="Times New Roman"/>
          <w:bCs/>
          <w:sz w:val="24"/>
          <w:szCs w:val="24"/>
        </w:rPr>
        <w:t xml:space="preserve">provuese </w:t>
      </w:r>
      <w:r w:rsidR="00180FBE">
        <w:rPr>
          <w:rFonts w:ascii="Times New Roman" w:eastAsia="Times New Roman" w:hAnsi="Times New Roman"/>
          <w:bCs/>
          <w:sz w:val="24"/>
          <w:szCs w:val="24"/>
        </w:rPr>
        <w:t>të</w:t>
      </w:r>
      <w:r w:rsidR="00180FBE" w:rsidRPr="00FC54D1">
        <w:rPr>
          <w:rFonts w:ascii="Times New Roman" w:eastAsia="Times New Roman" w:hAnsi="Times New Roman"/>
          <w:bCs/>
          <w:sz w:val="24"/>
          <w:szCs w:val="24"/>
        </w:rPr>
        <w:t xml:space="preserve"> </w:t>
      </w:r>
      <w:r w:rsidRPr="00FC54D1">
        <w:rPr>
          <w:rFonts w:ascii="Times New Roman" w:eastAsia="Times New Roman" w:hAnsi="Times New Roman"/>
          <w:bCs/>
          <w:sz w:val="24"/>
          <w:szCs w:val="24"/>
        </w:rPr>
        <w:t xml:space="preserve">tyre etj. Nisur nga këto rrethana, </w:t>
      </w:r>
      <w:r>
        <w:rPr>
          <w:rFonts w:ascii="Times New Roman" w:eastAsia="Times New Roman" w:hAnsi="Times New Roman"/>
          <w:bCs/>
          <w:sz w:val="24"/>
          <w:szCs w:val="24"/>
        </w:rPr>
        <w:t xml:space="preserve">Kolegji Penal vlerësoi se </w:t>
      </w:r>
      <w:r w:rsidRPr="00FC54D1">
        <w:rPr>
          <w:rFonts w:ascii="Times New Roman" w:eastAsia="Times New Roman" w:hAnsi="Times New Roman"/>
          <w:bCs/>
          <w:sz w:val="24"/>
          <w:szCs w:val="24"/>
        </w:rPr>
        <w:t xml:space="preserve">rekursi nuk përmbushte kushtet për t’u shqyrtuar në seancë, pasi shqyrtimi i provave dhe vlerësimi i tyre nuk </w:t>
      </w:r>
      <w:r w:rsidR="00180FBE">
        <w:rPr>
          <w:rFonts w:ascii="Times New Roman" w:eastAsia="Times New Roman" w:hAnsi="Times New Roman"/>
          <w:bCs/>
          <w:sz w:val="24"/>
          <w:szCs w:val="24"/>
        </w:rPr>
        <w:t>janë</w:t>
      </w:r>
      <w:r w:rsidR="00180FBE" w:rsidRPr="00FC54D1">
        <w:rPr>
          <w:rFonts w:ascii="Times New Roman" w:eastAsia="Times New Roman" w:hAnsi="Times New Roman"/>
          <w:bCs/>
          <w:sz w:val="24"/>
          <w:szCs w:val="24"/>
        </w:rPr>
        <w:t xml:space="preserve"> </w:t>
      </w:r>
      <w:r w:rsidRPr="00FC54D1">
        <w:rPr>
          <w:rFonts w:ascii="Times New Roman" w:eastAsia="Times New Roman" w:hAnsi="Times New Roman"/>
          <w:bCs/>
          <w:sz w:val="24"/>
          <w:szCs w:val="24"/>
        </w:rPr>
        <w:t>kompetencë e gjykimit rishikues që bën Kolegji Penal, por funksion i gjykatave të zakonshme.</w:t>
      </w:r>
    </w:p>
    <w:p w:rsidR="00FC54D1" w:rsidRDefault="00FC54D1" w:rsidP="00FC54D1">
      <w:pPr>
        <w:tabs>
          <w:tab w:val="left" w:pos="0"/>
        </w:tabs>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00E139BE" w:rsidRPr="00D44690">
        <w:rPr>
          <w:rFonts w:ascii="Times New Roman" w:hAnsi="Times New Roman"/>
          <w:sz w:val="24"/>
          <w:szCs w:val="24"/>
        </w:rPr>
        <w:t xml:space="preserve">Sa më sipër, Kolegji çmon se pretendimet e kërkuesit janë të lidhura me zbatimin e ligjit gjatë gjykimit të çështjes nga gjykatat e juridiksionit të zakonshëm. Kolegji rithekson se </w:t>
      </w:r>
      <w:r w:rsidR="00E139BE" w:rsidRPr="00D44690">
        <w:rPr>
          <w:rFonts w:ascii="Times New Roman" w:hAnsi="Times New Roman"/>
          <w:color w:val="000000"/>
          <w:sz w:val="24"/>
          <w:szCs w:val="24"/>
        </w:rPr>
        <w:t>zbatimi i ligjit, mënyra e marrjes së provave dhe konkluzionet lidhur me to</w:t>
      </w:r>
      <w:r w:rsidR="00E139BE" w:rsidRPr="00D44690">
        <w:rPr>
          <w:rFonts w:ascii="Times New Roman" w:hAnsi="Times New Roman"/>
          <w:sz w:val="24"/>
          <w:szCs w:val="24"/>
        </w:rPr>
        <w:t xml:space="preserve"> </w:t>
      </w:r>
      <w:r w:rsidR="00FC46C7">
        <w:rPr>
          <w:rFonts w:ascii="Times New Roman" w:hAnsi="Times New Roman"/>
          <w:sz w:val="24"/>
          <w:szCs w:val="24"/>
        </w:rPr>
        <w:t>jan</w:t>
      </w:r>
      <w:r w:rsidR="00FC46C7" w:rsidRPr="00D44690">
        <w:rPr>
          <w:rFonts w:ascii="Times New Roman" w:hAnsi="Times New Roman"/>
          <w:sz w:val="24"/>
          <w:szCs w:val="24"/>
        </w:rPr>
        <w:t xml:space="preserve">ë </w:t>
      </w:r>
      <w:r w:rsidR="00E139BE" w:rsidRPr="00D44690">
        <w:rPr>
          <w:rFonts w:ascii="Times New Roman" w:hAnsi="Times New Roman"/>
          <w:sz w:val="24"/>
          <w:szCs w:val="24"/>
        </w:rPr>
        <w:t>në kompetencë të g</w:t>
      </w:r>
      <w:r w:rsidR="00E139BE" w:rsidRPr="00D44690">
        <w:rPr>
          <w:rFonts w:ascii="Times New Roman" w:hAnsi="Times New Roman"/>
          <w:color w:val="000000"/>
          <w:sz w:val="24"/>
          <w:szCs w:val="24"/>
        </w:rPr>
        <w:t xml:space="preserve">jykatave të juridiksionit të zakonshëm </w:t>
      </w:r>
      <w:r w:rsidR="00E139BE" w:rsidRPr="00D44690">
        <w:rPr>
          <w:rFonts w:ascii="Times New Roman" w:hAnsi="Times New Roman"/>
          <w:sz w:val="24"/>
          <w:szCs w:val="24"/>
        </w:rPr>
        <w:t>dhe jo në juridiksionin kushtetues</w:t>
      </w:r>
      <w:r w:rsidR="00E139BE" w:rsidRPr="00D44690">
        <w:rPr>
          <w:rFonts w:ascii="Times New Roman" w:hAnsi="Times New Roman"/>
          <w:color w:val="000000"/>
          <w:sz w:val="24"/>
          <w:szCs w:val="24"/>
        </w:rPr>
        <w:t xml:space="preserve"> (</w:t>
      </w:r>
      <w:r w:rsidR="00E139BE" w:rsidRPr="00D44690">
        <w:rPr>
          <w:rFonts w:ascii="Times New Roman" w:hAnsi="Times New Roman"/>
          <w:i/>
          <w:color w:val="000000"/>
          <w:sz w:val="24"/>
          <w:szCs w:val="24"/>
        </w:rPr>
        <w:t xml:space="preserve">shih </w:t>
      </w:r>
      <w:r w:rsidR="00E139BE" w:rsidRPr="00D44690">
        <w:rPr>
          <w:rFonts w:ascii="Times New Roman" w:hAnsi="Times New Roman"/>
          <w:i/>
          <w:iCs/>
          <w:color w:val="000000"/>
          <w:sz w:val="24"/>
          <w:szCs w:val="24"/>
        </w:rPr>
        <w:t xml:space="preserve">vendimin </w:t>
      </w:r>
      <w:r w:rsidR="00E139BE" w:rsidRPr="00D44690">
        <w:rPr>
          <w:rFonts w:ascii="Times New Roman" w:hAnsi="Times New Roman"/>
          <w:i/>
          <w:iCs/>
          <w:sz w:val="24"/>
          <w:szCs w:val="24"/>
        </w:rPr>
        <w:t>nr.2, datë 26.01.2015</w:t>
      </w:r>
      <w:r w:rsidR="00E139BE" w:rsidRPr="00D44690">
        <w:rPr>
          <w:rFonts w:ascii="Times New Roman" w:hAnsi="Times New Roman"/>
          <w:i/>
          <w:iCs/>
          <w:color w:val="000000"/>
          <w:sz w:val="24"/>
          <w:szCs w:val="24"/>
        </w:rPr>
        <w:t xml:space="preserve"> të Gjykatës Kushtetuese</w:t>
      </w:r>
      <w:r w:rsidR="00E139BE" w:rsidRPr="00D44690">
        <w:rPr>
          <w:rFonts w:ascii="Times New Roman" w:hAnsi="Times New Roman"/>
          <w:iCs/>
          <w:color w:val="000000"/>
          <w:sz w:val="24"/>
          <w:szCs w:val="24"/>
        </w:rPr>
        <w:t>).</w:t>
      </w:r>
    </w:p>
    <w:p w:rsidR="00F9600F" w:rsidRDefault="00FC54D1" w:rsidP="00F9600F">
      <w:pPr>
        <w:tabs>
          <w:tab w:val="left" w:pos="0"/>
        </w:tabs>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E139BE" w:rsidRPr="00D44690">
        <w:rPr>
          <w:rFonts w:ascii="Times New Roman" w:hAnsi="Times New Roman"/>
          <w:sz w:val="24"/>
          <w:szCs w:val="24"/>
        </w:rPr>
        <w:t xml:space="preserve">Në përfundim, Kolegji vlerëson se </w:t>
      </w:r>
      <w:r>
        <w:rPr>
          <w:rFonts w:ascii="Times New Roman" w:hAnsi="Times New Roman"/>
          <w:sz w:val="24"/>
          <w:szCs w:val="24"/>
        </w:rPr>
        <w:t xml:space="preserve">kërkesa </w:t>
      </w:r>
      <w:r w:rsidR="00E139BE" w:rsidRPr="00D44690">
        <w:rPr>
          <w:rFonts w:ascii="Times New Roman" w:hAnsi="Times New Roman"/>
          <w:color w:val="000000"/>
          <w:sz w:val="24"/>
          <w:szCs w:val="24"/>
        </w:rPr>
        <w:t xml:space="preserve">nuk i </w:t>
      </w:r>
      <w:r w:rsidR="00E139BE" w:rsidRPr="00D44690">
        <w:rPr>
          <w:rFonts w:ascii="Times New Roman" w:hAnsi="Times New Roman"/>
          <w:sz w:val="24"/>
          <w:szCs w:val="24"/>
        </w:rPr>
        <w:t>plotëson kriteret për të kaluar për shqyrtim në seancë plenare</w:t>
      </w:r>
      <w:r w:rsidR="00E139BE" w:rsidRPr="00D44690">
        <w:rPr>
          <w:rFonts w:ascii="Times New Roman" w:eastAsia="Times New Roman" w:hAnsi="Times New Roman"/>
          <w:sz w:val="24"/>
          <w:szCs w:val="24"/>
        </w:rPr>
        <w:t>.</w:t>
      </w:r>
    </w:p>
    <w:p w:rsidR="00F9600F" w:rsidRDefault="00F9600F" w:rsidP="00F9600F">
      <w:pPr>
        <w:tabs>
          <w:tab w:val="left" w:pos="0"/>
        </w:tabs>
        <w:spacing w:after="0" w:line="360" w:lineRule="auto"/>
        <w:jc w:val="both"/>
        <w:rPr>
          <w:rFonts w:ascii="Times New Roman" w:eastAsia="Times New Roman" w:hAnsi="Times New Roman"/>
          <w:sz w:val="24"/>
          <w:szCs w:val="24"/>
        </w:rPr>
      </w:pPr>
    </w:p>
    <w:p w:rsidR="00E139BE" w:rsidRPr="00F9600F" w:rsidRDefault="00E139BE" w:rsidP="00F9600F">
      <w:pPr>
        <w:tabs>
          <w:tab w:val="left" w:pos="0"/>
        </w:tabs>
        <w:spacing w:after="0" w:line="360" w:lineRule="auto"/>
        <w:jc w:val="center"/>
        <w:rPr>
          <w:rFonts w:ascii="Times New Roman" w:eastAsia="Times New Roman" w:hAnsi="Times New Roman"/>
          <w:sz w:val="24"/>
          <w:szCs w:val="24"/>
        </w:rPr>
      </w:pPr>
      <w:r w:rsidRPr="006A4A6F">
        <w:rPr>
          <w:rFonts w:ascii="Times New Roman" w:hAnsi="Times New Roman"/>
          <w:b/>
          <w:bCs/>
          <w:sz w:val="24"/>
          <w:szCs w:val="24"/>
        </w:rPr>
        <w:t>PËR KËTO ARSYE,</w:t>
      </w:r>
    </w:p>
    <w:p w:rsidR="007D4C8D" w:rsidRDefault="00E139BE" w:rsidP="007D4C8D">
      <w:pPr>
        <w:spacing w:after="0" w:line="360" w:lineRule="auto"/>
        <w:jc w:val="both"/>
        <w:rPr>
          <w:rFonts w:ascii="Times New Roman" w:hAnsi="Times New Roman"/>
          <w:sz w:val="24"/>
          <w:szCs w:val="24"/>
        </w:rPr>
      </w:pPr>
      <w:r w:rsidRPr="006A4A6F">
        <w:rPr>
          <w:rFonts w:ascii="Times New Roman" w:hAnsi="Times New Roman"/>
          <w:sz w:val="24"/>
          <w:szCs w:val="24"/>
        </w:rPr>
        <w:lastRenderedPageBreak/>
        <w:tab/>
        <w:t xml:space="preserve">Kolegji i Gjykatës Kushtetuese të Republikës së Shqipërisë, në bazë të nenit 31 </w:t>
      </w:r>
      <w:r w:rsidR="007F744B">
        <w:rPr>
          <w:rFonts w:ascii="Times New Roman" w:hAnsi="Times New Roman"/>
          <w:sz w:val="24"/>
          <w:szCs w:val="24"/>
        </w:rPr>
        <w:t xml:space="preserve">dhe 31/a </w:t>
      </w:r>
      <w:r w:rsidRPr="006A4A6F">
        <w:rPr>
          <w:rFonts w:ascii="Times New Roman" w:hAnsi="Times New Roman"/>
          <w:sz w:val="24"/>
          <w:szCs w:val="24"/>
        </w:rPr>
        <w:t>të ligjit nr.8577, datë 10.02.2000 “Për organizimin dhe funksionimin e Gjykatës Kushtetuese të Republikës së Shqipërisë”, të ndryshuar,</w:t>
      </w:r>
    </w:p>
    <w:p w:rsidR="007D4C8D" w:rsidRDefault="007D4C8D" w:rsidP="007D4C8D">
      <w:pPr>
        <w:spacing w:after="0" w:line="360" w:lineRule="auto"/>
        <w:jc w:val="both"/>
        <w:rPr>
          <w:rFonts w:ascii="Times New Roman" w:hAnsi="Times New Roman"/>
          <w:sz w:val="24"/>
          <w:szCs w:val="24"/>
        </w:rPr>
      </w:pPr>
    </w:p>
    <w:p w:rsidR="00E139BE" w:rsidRPr="00F9600F" w:rsidRDefault="00E139BE" w:rsidP="007D4C8D">
      <w:pPr>
        <w:spacing w:after="0" w:line="360" w:lineRule="auto"/>
        <w:jc w:val="center"/>
        <w:rPr>
          <w:rFonts w:ascii="Times New Roman" w:hAnsi="Times New Roman"/>
          <w:sz w:val="24"/>
          <w:szCs w:val="24"/>
        </w:rPr>
      </w:pPr>
      <w:r w:rsidRPr="006A4A6F">
        <w:rPr>
          <w:rFonts w:ascii="Times New Roman" w:hAnsi="Times New Roman"/>
          <w:b/>
          <w:bCs/>
          <w:sz w:val="24"/>
          <w:szCs w:val="24"/>
        </w:rPr>
        <w:t>V E N D O S I:</w:t>
      </w:r>
    </w:p>
    <w:p w:rsidR="00201CBF" w:rsidRDefault="00E139BE" w:rsidP="007D4C8D">
      <w:pPr>
        <w:spacing w:line="360" w:lineRule="auto"/>
        <w:ind w:firstLine="567"/>
        <w:jc w:val="both"/>
      </w:pPr>
      <w:r w:rsidRPr="006A4A6F">
        <w:rPr>
          <w:rFonts w:ascii="Times New Roman" w:hAnsi="Times New Roman"/>
          <w:sz w:val="24"/>
          <w:szCs w:val="24"/>
        </w:rPr>
        <w:t>Moskalimin e çështjes për shqyrtim në seancë plenare.</w:t>
      </w:r>
    </w:p>
    <w:sectPr w:rsidR="00201CBF" w:rsidSect="004C4153">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03" w:rsidRDefault="00F26303">
      <w:pPr>
        <w:spacing w:after="0" w:line="240" w:lineRule="auto"/>
      </w:pPr>
      <w:r>
        <w:separator/>
      </w:r>
    </w:p>
  </w:endnote>
  <w:endnote w:type="continuationSeparator" w:id="0">
    <w:p w:rsidR="00F26303" w:rsidRDefault="00F26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99300"/>
      <w:docPartObj>
        <w:docPartGallery w:val="Page Numbers (Bottom of Page)"/>
        <w:docPartUnique/>
      </w:docPartObj>
    </w:sdtPr>
    <w:sdtContent>
      <w:p w:rsidR="004C4153" w:rsidRDefault="007070EE">
        <w:pPr>
          <w:pStyle w:val="Footer"/>
          <w:jc w:val="right"/>
        </w:pPr>
        <w:fldSimple w:instr=" PAGE   \* MERGEFORMAT ">
          <w:r w:rsidR="007D4C8D">
            <w:rPr>
              <w:noProof/>
            </w:rPr>
            <w:t>1</w:t>
          </w:r>
        </w:fldSimple>
      </w:p>
    </w:sdtContent>
  </w:sdt>
  <w:p w:rsidR="00324B40" w:rsidRDefault="00324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57" w:rsidRDefault="007F744B" w:rsidP="00FF0E57">
    <w:pPr>
      <w:pStyle w:val="Footer"/>
      <w:pBdr>
        <w:top w:val="thinThickSmallGap" w:sz="24" w:space="1" w:color="622423"/>
      </w:pBdr>
      <w:tabs>
        <w:tab w:val="clear" w:pos="4680"/>
        <w:tab w:val="clear" w:pos="9360"/>
        <w:tab w:val="right" w:pos="9026"/>
      </w:tabs>
      <w:rPr>
        <w:rFonts w:ascii="Cambria" w:hAnsi="Cambria"/>
      </w:rPr>
    </w:pPr>
    <w:r>
      <w:rPr>
        <w:rFonts w:ascii="Cambria" w:hAnsi="Cambria"/>
      </w:rPr>
      <w:t>Vendim i Kolegjit</w:t>
    </w:r>
    <w:r>
      <w:rPr>
        <w:rFonts w:ascii="Cambria" w:hAnsi="Cambria"/>
      </w:rPr>
      <w:tab/>
      <w:t xml:space="preserve">faqe </w:t>
    </w:r>
    <w:r w:rsidR="007070EE">
      <w:fldChar w:fldCharType="begin"/>
    </w:r>
    <w:r>
      <w:instrText xml:space="preserve"> PAGE   \* MERGEFORMAT </w:instrText>
    </w:r>
    <w:r w:rsidR="007070EE">
      <w:fldChar w:fldCharType="separate"/>
    </w:r>
    <w:r w:rsidR="004C4153" w:rsidRPr="004C4153">
      <w:rPr>
        <w:rFonts w:ascii="Cambria" w:hAnsi="Cambria"/>
        <w:noProof/>
      </w:rPr>
      <w:t>1</w:t>
    </w:r>
    <w:r w:rsidR="007070EE">
      <w:fldChar w:fldCharType="end"/>
    </w:r>
  </w:p>
  <w:p w:rsidR="00FF0E57" w:rsidRDefault="007F744B">
    <w:pPr>
      <w:pStyle w:val="Footer"/>
    </w:pPr>
    <w:r>
      <w:t xml:space="preserve">Kërkues: </w:t>
    </w:r>
    <w:r w:rsidR="00EA41C6">
      <w:t>Dhurata Merlika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03" w:rsidRDefault="00F26303">
      <w:pPr>
        <w:spacing w:after="0" w:line="240" w:lineRule="auto"/>
      </w:pPr>
      <w:r>
        <w:separator/>
      </w:r>
    </w:p>
  </w:footnote>
  <w:footnote w:type="continuationSeparator" w:id="0">
    <w:p w:rsidR="00F26303" w:rsidRDefault="00F26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1AA9"/>
    <w:multiLevelType w:val="hybridMultilevel"/>
    <w:tmpl w:val="1B62C7D8"/>
    <w:lvl w:ilvl="0" w:tplc="6254953E">
      <w:start w:val="1"/>
      <w:numFmt w:val="decimal"/>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C7DDE"/>
    <w:multiLevelType w:val="hybridMultilevel"/>
    <w:tmpl w:val="FE78F804"/>
    <w:lvl w:ilvl="0" w:tplc="151C44E2">
      <w:start w:val="1"/>
      <w:numFmt w:val="decimal"/>
      <w:lvlText w:val="%1."/>
      <w:lvlJc w:val="left"/>
      <w:pPr>
        <w:ind w:left="3876" w:hanging="996"/>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2016062"/>
    <w:multiLevelType w:val="hybridMultilevel"/>
    <w:tmpl w:val="1106646A"/>
    <w:lvl w:ilvl="0" w:tplc="7EAC2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AE6FEA"/>
    <w:multiLevelType w:val="hybridMultilevel"/>
    <w:tmpl w:val="67F82B1E"/>
    <w:lvl w:ilvl="0" w:tplc="C646E5DC">
      <w:start w:val="3"/>
      <w:numFmt w:val="decimal"/>
      <w:lvlText w:val="%1."/>
      <w:lvlJc w:val="left"/>
      <w:pPr>
        <w:ind w:left="1716" w:hanging="9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39BE"/>
    <w:rsid w:val="00141C26"/>
    <w:rsid w:val="001762B8"/>
    <w:rsid w:val="00180FBE"/>
    <w:rsid w:val="001B4398"/>
    <w:rsid w:val="00201CBF"/>
    <w:rsid w:val="00296D79"/>
    <w:rsid w:val="00324B40"/>
    <w:rsid w:val="003937E5"/>
    <w:rsid w:val="00487E61"/>
    <w:rsid w:val="004C4153"/>
    <w:rsid w:val="00570014"/>
    <w:rsid w:val="006D2DC0"/>
    <w:rsid w:val="007070EE"/>
    <w:rsid w:val="007D4C8D"/>
    <w:rsid w:val="007F744B"/>
    <w:rsid w:val="00812EE0"/>
    <w:rsid w:val="008A6B9B"/>
    <w:rsid w:val="00A457DF"/>
    <w:rsid w:val="00A53798"/>
    <w:rsid w:val="00A56254"/>
    <w:rsid w:val="00C40E35"/>
    <w:rsid w:val="00D01685"/>
    <w:rsid w:val="00D0437E"/>
    <w:rsid w:val="00E139BE"/>
    <w:rsid w:val="00EA41C6"/>
    <w:rsid w:val="00F26303"/>
    <w:rsid w:val="00F9600F"/>
    <w:rsid w:val="00FC46C7"/>
    <w:rsid w:val="00FC54D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BE"/>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9BE"/>
    <w:pPr>
      <w:spacing w:after="200" w:line="276" w:lineRule="auto"/>
      <w:ind w:left="720"/>
      <w:contextualSpacing/>
    </w:pPr>
  </w:style>
  <w:style w:type="character" w:customStyle="1" w:styleId="ListParagraphChar">
    <w:name w:val="List Paragraph Char"/>
    <w:link w:val="ListParagraph"/>
    <w:uiPriority w:val="34"/>
    <w:rsid w:val="00E139BE"/>
    <w:rPr>
      <w:rFonts w:ascii="Calibri" w:eastAsia="Calibri" w:hAnsi="Calibri" w:cs="Times New Roman"/>
      <w:lang w:val="sq-AL"/>
    </w:rPr>
  </w:style>
  <w:style w:type="paragraph" w:styleId="Footer">
    <w:name w:val="footer"/>
    <w:basedOn w:val="Normal"/>
    <w:link w:val="FooterChar"/>
    <w:uiPriority w:val="99"/>
    <w:unhideWhenUsed/>
    <w:rsid w:val="00E13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9BE"/>
    <w:rPr>
      <w:rFonts w:ascii="Calibri" w:eastAsia="Calibri" w:hAnsi="Calibri" w:cs="Times New Roman"/>
      <w:lang w:val="sq-AL"/>
    </w:rPr>
  </w:style>
  <w:style w:type="paragraph" w:styleId="BodyText2">
    <w:name w:val="Body Text 2"/>
    <w:basedOn w:val="Normal"/>
    <w:link w:val="BodyText2Char"/>
    <w:uiPriority w:val="99"/>
    <w:semiHidden/>
    <w:unhideWhenUsed/>
    <w:rsid w:val="00E139BE"/>
    <w:pPr>
      <w:spacing w:after="120" w:line="480" w:lineRule="auto"/>
    </w:pPr>
  </w:style>
  <w:style w:type="character" w:customStyle="1" w:styleId="BodyText2Char">
    <w:name w:val="Body Text 2 Char"/>
    <w:basedOn w:val="DefaultParagraphFont"/>
    <w:link w:val="BodyText2"/>
    <w:uiPriority w:val="99"/>
    <w:semiHidden/>
    <w:rsid w:val="00E139BE"/>
    <w:rPr>
      <w:rFonts w:ascii="Calibri" w:eastAsia="Calibri" w:hAnsi="Calibri" w:cs="Times New Roman"/>
      <w:lang w:val="sq-AL"/>
    </w:rPr>
  </w:style>
  <w:style w:type="paragraph" w:styleId="Header">
    <w:name w:val="header"/>
    <w:basedOn w:val="Normal"/>
    <w:link w:val="HeaderChar"/>
    <w:uiPriority w:val="99"/>
    <w:unhideWhenUsed/>
    <w:rsid w:val="00EA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C6"/>
    <w:rPr>
      <w:rFonts w:ascii="Calibri" w:eastAsia="Calibri" w:hAnsi="Calibri" w:cs="Times New Roman"/>
      <w:lang w:val="sq-AL"/>
    </w:rPr>
  </w:style>
  <w:style w:type="paragraph" w:styleId="BalloonText">
    <w:name w:val="Balloon Text"/>
    <w:basedOn w:val="Normal"/>
    <w:link w:val="BalloonTextChar"/>
    <w:uiPriority w:val="99"/>
    <w:semiHidden/>
    <w:unhideWhenUsed/>
    <w:rsid w:val="0018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BE"/>
    <w:rPr>
      <w:rFonts w:ascii="Tahoma" w:eastAsia="Calibri"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DHURATA MERLIKA</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DHURATA MERLIKA</dc:title>
  <dc:subject>Dt.28.04.2017</dc:subject>
  <dc:creator>Gani DIZDARI</dc:creator>
  <cp:lastModifiedBy>user</cp:lastModifiedBy>
  <cp:revision>4</cp:revision>
  <cp:lastPrinted>2017-05-19T09:53:00Z</cp:lastPrinted>
  <dcterms:created xsi:type="dcterms:W3CDTF">2017-05-19T09:56:00Z</dcterms:created>
  <dcterms:modified xsi:type="dcterms:W3CDTF">2017-05-23T09:21:00Z</dcterms:modified>
</cp:coreProperties>
</file>