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A5" w:rsidRPr="008B24FB" w:rsidRDefault="00591FA5" w:rsidP="00591FA5">
      <w:pPr>
        <w:spacing w:after="0" w:line="360" w:lineRule="auto"/>
        <w:jc w:val="center"/>
        <w:rPr>
          <w:rFonts w:ascii="Times New Roman" w:eastAsia="Times New Roman" w:hAnsi="Times New Roman" w:cs="Times New Roman"/>
          <w:b/>
          <w:sz w:val="24"/>
          <w:szCs w:val="24"/>
        </w:rPr>
      </w:pPr>
      <w:r w:rsidRPr="008B24FB">
        <w:rPr>
          <w:rFonts w:ascii="Times New Roman" w:eastAsia="Times New Roman" w:hAnsi="Times New Roman" w:cs="Times New Roman"/>
          <w:b/>
          <w:sz w:val="24"/>
          <w:szCs w:val="24"/>
        </w:rPr>
        <w:t>V</w:t>
      </w:r>
      <w:r w:rsidR="00527D1C">
        <w:rPr>
          <w:rFonts w:ascii="Times New Roman" w:eastAsia="Times New Roman" w:hAnsi="Times New Roman" w:cs="Times New Roman"/>
          <w:b/>
          <w:sz w:val="24"/>
          <w:szCs w:val="24"/>
        </w:rPr>
        <w:t xml:space="preserve">endim nr. 78 datë </w:t>
      </w:r>
      <w:r w:rsidR="00527D1C" w:rsidRPr="008B24FB">
        <w:rPr>
          <w:rFonts w:ascii="Times New Roman" w:eastAsia="Times New Roman" w:hAnsi="Times New Roman" w:cs="Times New Roman"/>
          <w:b/>
          <w:sz w:val="24"/>
          <w:szCs w:val="24"/>
        </w:rPr>
        <w:t>12.04.2017</w:t>
      </w:r>
    </w:p>
    <w:p w:rsidR="00591FA5" w:rsidRPr="008B24FB" w:rsidRDefault="00591FA5" w:rsidP="00591FA5">
      <w:pPr>
        <w:spacing w:after="0" w:line="360" w:lineRule="auto"/>
        <w:jc w:val="both"/>
        <w:rPr>
          <w:rFonts w:ascii="Times New Roman" w:eastAsia="Times New Roman" w:hAnsi="Times New Roman" w:cs="Times New Roman"/>
          <w:b/>
          <w:sz w:val="24"/>
          <w:szCs w:val="24"/>
          <w:u w:val="single"/>
        </w:rPr>
      </w:pPr>
    </w:p>
    <w:p w:rsidR="00591FA5" w:rsidRPr="008B24FB" w:rsidRDefault="004165CE" w:rsidP="00527D1C">
      <w:pPr>
        <w:spacing w:after="0" w:line="360" w:lineRule="auto"/>
        <w:ind w:firstLine="720"/>
        <w:jc w:val="both"/>
        <w:rPr>
          <w:rFonts w:ascii="Times New Roman" w:eastAsia="Times New Roman" w:hAnsi="Times New Roman" w:cs="Times New Roman"/>
          <w:b/>
          <w:bCs/>
          <w:spacing w:val="-1"/>
          <w:sz w:val="24"/>
          <w:szCs w:val="24"/>
        </w:rPr>
      </w:pPr>
      <w:r w:rsidRPr="008B24FB">
        <w:rPr>
          <w:rFonts w:ascii="Times New Roman" w:eastAsia="Times New Roman" w:hAnsi="Times New Roman" w:cs="Times New Roman"/>
          <w:sz w:val="24"/>
          <w:szCs w:val="24"/>
        </w:rPr>
        <w:t>Mbledhja e Gjyqtarëve të</w:t>
      </w:r>
      <w:r w:rsidR="00591FA5" w:rsidRPr="008B24FB">
        <w:rPr>
          <w:rFonts w:ascii="Times New Roman" w:eastAsia="Times New Roman" w:hAnsi="Times New Roman" w:cs="Times New Roman"/>
          <w:sz w:val="24"/>
          <w:szCs w:val="24"/>
        </w:rPr>
        <w:t xml:space="preserve"> Gjykatës Kushtetues</w:t>
      </w:r>
      <w:r w:rsidRPr="008B24FB">
        <w:rPr>
          <w:rFonts w:ascii="Times New Roman" w:eastAsia="Times New Roman" w:hAnsi="Times New Roman" w:cs="Times New Roman"/>
          <w:sz w:val="24"/>
          <w:szCs w:val="24"/>
        </w:rPr>
        <w:t>e të Republikës së Shqipërisë, e</w:t>
      </w:r>
      <w:r w:rsidR="00591FA5" w:rsidRPr="008B24FB">
        <w:rPr>
          <w:rFonts w:ascii="Times New Roman" w:eastAsia="Times New Roman" w:hAnsi="Times New Roman" w:cs="Times New Roman"/>
          <w:sz w:val="24"/>
          <w:szCs w:val="24"/>
        </w:rPr>
        <w:t xml:space="preserve"> përbërë nga:</w:t>
      </w:r>
    </w:p>
    <w:p w:rsidR="004165CE" w:rsidRPr="008B24FB" w:rsidRDefault="004165CE" w:rsidP="00591FA5">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rPr>
      </w:pPr>
      <w:r w:rsidRPr="008B24FB">
        <w:rPr>
          <w:rFonts w:ascii="Times New Roman" w:eastAsia="Times New Roman" w:hAnsi="Times New Roman" w:cs="Times New Roman"/>
          <w:bCs/>
          <w:spacing w:val="-1"/>
          <w:sz w:val="24"/>
          <w:szCs w:val="24"/>
        </w:rPr>
        <w:t xml:space="preserve">Vladimir Kristo, </w:t>
      </w:r>
      <w:r w:rsidRPr="008B24FB">
        <w:rPr>
          <w:rFonts w:ascii="Times New Roman" w:eastAsia="Times New Roman" w:hAnsi="Times New Roman" w:cs="Times New Roman"/>
          <w:bCs/>
          <w:spacing w:val="-1"/>
          <w:sz w:val="24"/>
          <w:szCs w:val="24"/>
        </w:rPr>
        <w:tab/>
        <w:t xml:space="preserve">Anëtar </w:t>
      </w:r>
      <w:r w:rsidR="008B24FB" w:rsidRPr="008B24FB">
        <w:rPr>
          <w:rFonts w:ascii="Times New Roman" w:eastAsia="Times New Roman" w:hAnsi="Times New Roman" w:cs="Times New Roman"/>
          <w:bCs/>
          <w:spacing w:val="-1"/>
          <w:sz w:val="24"/>
          <w:szCs w:val="24"/>
        </w:rPr>
        <w:t xml:space="preserve">  </w:t>
      </w:r>
      <w:r w:rsidRPr="008B24FB">
        <w:rPr>
          <w:rFonts w:ascii="Times New Roman" w:eastAsia="Times New Roman" w:hAnsi="Times New Roman" w:cs="Times New Roman"/>
          <w:bCs/>
          <w:spacing w:val="-1"/>
          <w:sz w:val="24"/>
          <w:szCs w:val="24"/>
        </w:rPr>
        <w:t>i  Gjykatës Kushtetuese</w:t>
      </w:r>
    </w:p>
    <w:p w:rsidR="004165CE" w:rsidRPr="008B24FB" w:rsidRDefault="004165CE" w:rsidP="00591FA5">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rPr>
      </w:pPr>
      <w:r w:rsidRPr="008B24FB">
        <w:rPr>
          <w:rFonts w:ascii="Times New Roman" w:eastAsia="Times New Roman" w:hAnsi="Times New Roman" w:cs="Times New Roman"/>
          <w:bCs/>
          <w:spacing w:val="-1"/>
          <w:sz w:val="24"/>
          <w:szCs w:val="24"/>
        </w:rPr>
        <w:t>Vitore Tusha</w:t>
      </w:r>
      <w:r w:rsidR="008B24FB" w:rsidRPr="008B24FB">
        <w:rPr>
          <w:rFonts w:ascii="Times New Roman" w:eastAsia="Times New Roman" w:hAnsi="Times New Roman" w:cs="Times New Roman"/>
          <w:bCs/>
          <w:spacing w:val="-1"/>
          <w:sz w:val="24"/>
          <w:szCs w:val="24"/>
        </w:rPr>
        <w:t>,</w:t>
      </w:r>
      <w:r w:rsidRPr="008B24FB">
        <w:rPr>
          <w:rFonts w:ascii="Times New Roman" w:eastAsia="Times New Roman" w:hAnsi="Times New Roman" w:cs="Times New Roman"/>
          <w:bCs/>
          <w:spacing w:val="-1"/>
          <w:sz w:val="24"/>
          <w:szCs w:val="24"/>
        </w:rPr>
        <w:tab/>
        <w:t xml:space="preserve">Anëtare </w:t>
      </w:r>
      <w:r w:rsidR="008B24FB" w:rsidRPr="008B24FB">
        <w:rPr>
          <w:rFonts w:ascii="Times New Roman" w:eastAsia="Times New Roman" w:hAnsi="Times New Roman" w:cs="Times New Roman"/>
          <w:bCs/>
          <w:spacing w:val="-1"/>
          <w:sz w:val="24"/>
          <w:szCs w:val="24"/>
        </w:rPr>
        <w:t>e</w:t>
      </w:r>
      <w:r w:rsidRPr="008B24FB">
        <w:rPr>
          <w:rFonts w:ascii="Times New Roman" w:eastAsia="Times New Roman" w:hAnsi="Times New Roman" w:cs="Times New Roman"/>
          <w:bCs/>
          <w:spacing w:val="-1"/>
          <w:sz w:val="24"/>
          <w:szCs w:val="24"/>
        </w:rPr>
        <w:tab/>
        <w:t>“</w:t>
      </w:r>
      <w:r w:rsidRPr="008B24FB">
        <w:rPr>
          <w:rFonts w:ascii="Times New Roman" w:eastAsia="Times New Roman" w:hAnsi="Times New Roman" w:cs="Times New Roman"/>
          <w:bCs/>
          <w:spacing w:val="-1"/>
          <w:sz w:val="24"/>
          <w:szCs w:val="24"/>
        </w:rPr>
        <w:tab/>
        <w:t>“</w:t>
      </w:r>
    </w:p>
    <w:p w:rsidR="00591FA5" w:rsidRPr="008B24FB" w:rsidRDefault="00591FA5" w:rsidP="00591FA5">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rPr>
      </w:pPr>
      <w:r w:rsidRPr="008B24FB">
        <w:rPr>
          <w:rFonts w:ascii="Times New Roman" w:eastAsia="Times New Roman" w:hAnsi="Times New Roman" w:cs="Times New Roman"/>
          <w:bCs/>
          <w:spacing w:val="-1"/>
          <w:sz w:val="24"/>
          <w:szCs w:val="24"/>
        </w:rPr>
        <w:t xml:space="preserve">Fatmir Hoxha, </w:t>
      </w:r>
      <w:r w:rsidRPr="008B24FB">
        <w:rPr>
          <w:rFonts w:ascii="Times New Roman" w:eastAsia="Times New Roman" w:hAnsi="Times New Roman" w:cs="Times New Roman"/>
          <w:bCs/>
          <w:spacing w:val="-1"/>
          <w:sz w:val="24"/>
          <w:szCs w:val="24"/>
        </w:rPr>
        <w:tab/>
      </w:r>
      <w:r w:rsidR="004165CE" w:rsidRPr="008B24FB">
        <w:rPr>
          <w:rFonts w:ascii="Times New Roman" w:eastAsia="Times New Roman" w:hAnsi="Times New Roman" w:cs="Times New Roman"/>
          <w:bCs/>
          <w:spacing w:val="-1"/>
          <w:sz w:val="24"/>
          <w:szCs w:val="24"/>
        </w:rPr>
        <w:t xml:space="preserve">Anëtar </w:t>
      </w:r>
      <w:r w:rsidR="008B24FB" w:rsidRPr="008B24FB">
        <w:rPr>
          <w:rFonts w:ascii="Times New Roman" w:eastAsia="Times New Roman" w:hAnsi="Times New Roman" w:cs="Times New Roman"/>
          <w:bCs/>
          <w:spacing w:val="-1"/>
          <w:sz w:val="24"/>
          <w:szCs w:val="24"/>
        </w:rPr>
        <w:t xml:space="preserve">  </w:t>
      </w:r>
      <w:r w:rsidR="004165CE" w:rsidRPr="008B24FB">
        <w:rPr>
          <w:rFonts w:ascii="Times New Roman" w:eastAsia="Times New Roman" w:hAnsi="Times New Roman" w:cs="Times New Roman"/>
          <w:bCs/>
          <w:spacing w:val="-1"/>
          <w:sz w:val="24"/>
          <w:szCs w:val="24"/>
        </w:rPr>
        <w:t xml:space="preserve">i  </w:t>
      </w:r>
      <w:r w:rsidR="004165CE" w:rsidRPr="008B24FB">
        <w:rPr>
          <w:rFonts w:ascii="Times New Roman" w:eastAsia="Times New Roman" w:hAnsi="Times New Roman" w:cs="Times New Roman"/>
          <w:bCs/>
          <w:spacing w:val="-1"/>
          <w:sz w:val="24"/>
          <w:szCs w:val="24"/>
        </w:rPr>
        <w:tab/>
        <w:t>“</w:t>
      </w:r>
      <w:r w:rsidR="004165CE" w:rsidRPr="008B24FB">
        <w:rPr>
          <w:rFonts w:ascii="Times New Roman" w:eastAsia="Times New Roman" w:hAnsi="Times New Roman" w:cs="Times New Roman"/>
          <w:bCs/>
          <w:spacing w:val="-1"/>
          <w:sz w:val="24"/>
          <w:szCs w:val="24"/>
        </w:rPr>
        <w:tab/>
        <w:t>“</w:t>
      </w:r>
    </w:p>
    <w:p w:rsidR="004165CE" w:rsidRPr="008B24FB" w:rsidRDefault="004165CE" w:rsidP="00591FA5">
      <w:pPr>
        <w:tabs>
          <w:tab w:val="left" w:pos="2844"/>
        </w:tabs>
        <w:spacing w:after="0" w:line="360" w:lineRule="auto"/>
        <w:ind w:left="720"/>
        <w:jc w:val="both"/>
        <w:rPr>
          <w:rFonts w:ascii="Times New Roman" w:eastAsia="Times New Roman" w:hAnsi="Times New Roman" w:cs="Times New Roman"/>
          <w:bCs/>
          <w:spacing w:val="-1"/>
          <w:sz w:val="24"/>
          <w:szCs w:val="24"/>
        </w:rPr>
      </w:pPr>
      <w:r w:rsidRPr="008B24FB">
        <w:rPr>
          <w:rFonts w:ascii="Times New Roman" w:eastAsia="Times New Roman" w:hAnsi="Times New Roman" w:cs="Times New Roman"/>
          <w:bCs/>
          <w:spacing w:val="-1"/>
          <w:sz w:val="24"/>
          <w:szCs w:val="24"/>
        </w:rPr>
        <w:t>Besnik Imeraj</w:t>
      </w:r>
      <w:r w:rsidR="008B24FB" w:rsidRPr="008B24FB">
        <w:rPr>
          <w:rFonts w:ascii="Times New Roman" w:eastAsia="Times New Roman" w:hAnsi="Times New Roman" w:cs="Times New Roman"/>
          <w:bCs/>
          <w:spacing w:val="-1"/>
          <w:sz w:val="24"/>
          <w:szCs w:val="24"/>
        </w:rPr>
        <w:t>,</w:t>
      </w:r>
      <w:r w:rsidRPr="008B24FB">
        <w:rPr>
          <w:rFonts w:ascii="Times New Roman" w:eastAsia="Times New Roman" w:hAnsi="Times New Roman" w:cs="Times New Roman"/>
          <w:bCs/>
          <w:spacing w:val="-1"/>
          <w:sz w:val="24"/>
          <w:szCs w:val="24"/>
        </w:rPr>
        <w:tab/>
        <w:t xml:space="preserve">Anëtar </w:t>
      </w:r>
      <w:r w:rsidR="008B24FB" w:rsidRPr="008B24FB">
        <w:rPr>
          <w:rFonts w:ascii="Times New Roman" w:eastAsia="Times New Roman" w:hAnsi="Times New Roman" w:cs="Times New Roman"/>
          <w:bCs/>
          <w:spacing w:val="-1"/>
          <w:sz w:val="24"/>
          <w:szCs w:val="24"/>
        </w:rPr>
        <w:t xml:space="preserve">  </w:t>
      </w:r>
      <w:r w:rsidRPr="008B24FB">
        <w:rPr>
          <w:rFonts w:ascii="Times New Roman" w:eastAsia="Times New Roman" w:hAnsi="Times New Roman" w:cs="Times New Roman"/>
          <w:bCs/>
          <w:spacing w:val="-1"/>
          <w:sz w:val="24"/>
          <w:szCs w:val="24"/>
        </w:rPr>
        <w:t>i</w:t>
      </w:r>
      <w:r w:rsidRPr="008B24FB">
        <w:rPr>
          <w:rFonts w:ascii="Times New Roman" w:eastAsia="Times New Roman" w:hAnsi="Times New Roman" w:cs="Times New Roman"/>
          <w:bCs/>
          <w:spacing w:val="-1"/>
          <w:sz w:val="24"/>
          <w:szCs w:val="24"/>
        </w:rPr>
        <w:tab/>
        <w:t>“</w:t>
      </w:r>
      <w:r w:rsidRPr="008B24FB">
        <w:rPr>
          <w:rFonts w:ascii="Times New Roman" w:eastAsia="Times New Roman" w:hAnsi="Times New Roman" w:cs="Times New Roman"/>
          <w:bCs/>
          <w:spacing w:val="-1"/>
          <w:sz w:val="24"/>
          <w:szCs w:val="24"/>
        </w:rPr>
        <w:tab/>
        <w:t>“</w:t>
      </w:r>
    </w:p>
    <w:p w:rsidR="00591FA5" w:rsidRPr="008B24FB" w:rsidRDefault="00591FA5" w:rsidP="00591FA5">
      <w:pPr>
        <w:tabs>
          <w:tab w:val="left" w:pos="2844"/>
        </w:tabs>
        <w:spacing w:after="0" w:line="360" w:lineRule="auto"/>
        <w:ind w:left="720"/>
        <w:jc w:val="both"/>
        <w:rPr>
          <w:rFonts w:ascii="Times New Roman" w:eastAsia="Times New Roman" w:hAnsi="Times New Roman" w:cs="Times New Roman"/>
          <w:bCs/>
          <w:spacing w:val="-1"/>
          <w:sz w:val="24"/>
          <w:szCs w:val="24"/>
        </w:rPr>
      </w:pPr>
      <w:r w:rsidRPr="008B24FB">
        <w:rPr>
          <w:rFonts w:ascii="Times New Roman" w:eastAsia="Times New Roman" w:hAnsi="Times New Roman" w:cs="Times New Roman"/>
          <w:bCs/>
          <w:spacing w:val="-1"/>
          <w:sz w:val="24"/>
          <w:szCs w:val="24"/>
        </w:rPr>
        <w:t>Fatos Lulo,</w:t>
      </w:r>
      <w:r w:rsidRPr="008B24FB">
        <w:rPr>
          <w:rFonts w:ascii="Times New Roman" w:eastAsia="Times New Roman" w:hAnsi="Times New Roman" w:cs="Times New Roman"/>
          <w:bCs/>
          <w:spacing w:val="-1"/>
          <w:sz w:val="24"/>
          <w:szCs w:val="24"/>
        </w:rPr>
        <w:tab/>
      </w:r>
      <w:r w:rsidRPr="008B24FB">
        <w:rPr>
          <w:rFonts w:ascii="Times New Roman" w:eastAsia="Times New Roman" w:hAnsi="Times New Roman" w:cs="Times New Roman"/>
          <w:bCs/>
          <w:spacing w:val="-1"/>
          <w:sz w:val="24"/>
          <w:szCs w:val="24"/>
        </w:rPr>
        <w:tab/>
        <w:t xml:space="preserve">Anëtar </w:t>
      </w:r>
      <w:r w:rsidR="008B24FB" w:rsidRPr="008B24FB">
        <w:rPr>
          <w:rFonts w:ascii="Times New Roman" w:eastAsia="Times New Roman" w:hAnsi="Times New Roman" w:cs="Times New Roman"/>
          <w:bCs/>
          <w:spacing w:val="-1"/>
          <w:sz w:val="24"/>
          <w:szCs w:val="24"/>
        </w:rPr>
        <w:t xml:space="preserve"> </w:t>
      </w:r>
      <w:r w:rsidRPr="008B24FB">
        <w:rPr>
          <w:rFonts w:ascii="Times New Roman" w:eastAsia="Times New Roman" w:hAnsi="Times New Roman" w:cs="Times New Roman"/>
          <w:bCs/>
          <w:spacing w:val="-1"/>
          <w:sz w:val="24"/>
          <w:szCs w:val="24"/>
        </w:rPr>
        <w:t xml:space="preserve">i </w:t>
      </w:r>
      <w:r w:rsidRPr="008B24FB">
        <w:rPr>
          <w:rFonts w:ascii="Times New Roman" w:eastAsia="Times New Roman" w:hAnsi="Times New Roman" w:cs="Times New Roman"/>
          <w:bCs/>
          <w:spacing w:val="-1"/>
          <w:sz w:val="24"/>
          <w:szCs w:val="24"/>
        </w:rPr>
        <w:tab/>
        <w:t>“</w:t>
      </w:r>
      <w:r w:rsidRPr="008B24FB">
        <w:rPr>
          <w:rFonts w:ascii="Times New Roman" w:eastAsia="Times New Roman" w:hAnsi="Times New Roman" w:cs="Times New Roman"/>
          <w:bCs/>
          <w:spacing w:val="-1"/>
          <w:sz w:val="24"/>
          <w:szCs w:val="24"/>
        </w:rPr>
        <w:tab/>
        <w:t>“</w:t>
      </w:r>
    </w:p>
    <w:p w:rsidR="00591FA5" w:rsidRPr="008B24FB" w:rsidRDefault="00591FA5" w:rsidP="00591FA5">
      <w:pPr>
        <w:tabs>
          <w:tab w:val="left" w:pos="2844"/>
          <w:tab w:val="left" w:pos="4320"/>
          <w:tab w:val="left" w:pos="5004"/>
        </w:tabs>
        <w:spacing w:after="0" w:line="360" w:lineRule="auto"/>
        <w:ind w:left="720"/>
        <w:jc w:val="both"/>
        <w:rPr>
          <w:rFonts w:ascii="Times New Roman" w:eastAsia="Times New Roman" w:hAnsi="Times New Roman" w:cs="Times New Roman"/>
          <w:sz w:val="24"/>
          <w:szCs w:val="24"/>
          <w:vertAlign w:val="superscript"/>
        </w:rPr>
      </w:pPr>
      <w:r w:rsidRPr="008B24FB">
        <w:rPr>
          <w:rFonts w:ascii="Times New Roman" w:eastAsia="Times New Roman" w:hAnsi="Times New Roman" w:cs="Times New Roman"/>
          <w:bCs/>
          <w:sz w:val="24"/>
          <w:szCs w:val="24"/>
        </w:rPr>
        <w:t>Gani Dizdari,</w:t>
      </w:r>
      <w:r w:rsidRPr="008B24FB">
        <w:rPr>
          <w:rFonts w:ascii="Times New Roman" w:eastAsia="Times New Roman" w:hAnsi="Times New Roman" w:cs="Times New Roman"/>
          <w:bCs/>
          <w:sz w:val="24"/>
          <w:szCs w:val="24"/>
        </w:rPr>
        <w:tab/>
      </w:r>
      <w:r w:rsidRPr="008B24FB">
        <w:rPr>
          <w:rFonts w:ascii="Times New Roman" w:eastAsia="Times New Roman" w:hAnsi="Times New Roman" w:cs="Times New Roman"/>
          <w:bCs/>
          <w:spacing w:val="-2"/>
          <w:sz w:val="24"/>
          <w:szCs w:val="24"/>
        </w:rPr>
        <w:t xml:space="preserve">Anëtar </w:t>
      </w:r>
      <w:r w:rsidR="008B24FB" w:rsidRPr="008B24FB">
        <w:rPr>
          <w:rFonts w:ascii="Times New Roman" w:eastAsia="Times New Roman" w:hAnsi="Times New Roman" w:cs="Times New Roman"/>
          <w:bCs/>
          <w:spacing w:val="-2"/>
          <w:sz w:val="24"/>
          <w:szCs w:val="24"/>
        </w:rPr>
        <w:t xml:space="preserve">  </w:t>
      </w:r>
      <w:r w:rsidRPr="008B24FB">
        <w:rPr>
          <w:rFonts w:ascii="Times New Roman" w:eastAsia="Times New Roman" w:hAnsi="Times New Roman" w:cs="Times New Roman"/>
          <w:bCs/>
          <w:spacing w:val="-2"/>
          <w:sz w:val="24"/>
          <w:szCs w:val="24"/>
        </w:rPr>
        <w:t>i</w:t>
      </w:r>
      <w:r w:rsidRPr="008B24FB">
        <w:rPr>
          <w:rFonts w:ascii="Times New Roman" w:eastAsia="Times New Roman" w:hAnsi="Times New Roman" w:cs="Times New Roman"/>
          <w:bCs/>
          <w:spacing w:val="-2"/>
          <w:sz w:val="24"/>
          <w:szCs w:val="24"/>
        </w:rPr>
        <w:tab/>
        <w:t>“</w:t>
      </w:r>
      <w:r w:rsidRPr="008B24FB">
        <w:rPr>
          <w:rFonts w:ascii="Times New Roman" w:eastAsia="Times New Roman" w:hAnsi="Times New Roman" w:cs="Times New Roman"/>
          <w:bCs/>
          <w:sz w:val="24"/>
          <w:szCs w:val="24"/>
        </w:rPr>
        <w:tab/>
      </w:r>
      <w:r w:rsidRPr="008B24FB">
        <w:rPr>
          <w:rFonts w:ascii="Times New Roman" w:eastAsia="Times New Roman" w:hAnsi="Times New Roman" w:cs="Times New Roman"/>
          <w:sz w:val="24"/>
          <w:szCs w:val="24"/>
          <w:vertAlign w:val="superscript"/>
        </w:rPr>
        <w:tab/>
      </w:r>
      <w:r w:rsidRPr="008B24FB">
        <w:rPr>
          <w:rFonts w:ascii="Times New Roman" w:eastAsia="Times New Roman" w:hAnsi="Times New Roman" w:cs="Times New Roman"/>
          <w:sz w:val="24"/>
          <w:szCs w:val="24"/>
        </w:rPr>
        <w:t>“</w:t>
      </w:r>
    </w:p>
    <w:p w:rsidR="00591FA5" w:rsidRPr="008B24FB" w:rsidRDefault="00591FA5" w:rsidP="00591FA5">
      <w:pPr>
        <w:spacing w:after="0" w:line="360" w:lineRule="auto"/>
        <w:jc w:val="both"/>
        <w:rPr>
          <w:rFonts w:ascii="Times New Roman" w:eastAsia="Times New Roman" w:hAnsi="Times New Roman" w:cs="Times New Roman"/>
          <w:sz w:val="24"/>
          <w:szCs w:val="24"/>
        </w:rPr>
      </w:pPr>
    </w:p>
    <w:p w:rsidR="00591FA5" w:rsidRPr="008B24FB" w:rsidRDefault="00591FA5" w:rsidP="00591FA5">
      <w:pPr>
        <w:spacing w:after="0" w:line="360" w:lineRule="auto"/>
        <w:jc w:val="both"/>
        <w:rPr>
          <w:rFonts w:ascii="Times New Roman" w:eastAsia="Times New Roman" w:hAnsi="Times New Roman" w:cs="Times New Roman"/>
          <w:sz w:val="24"/>
          <w:szCs w:val="24"/>
        </w:rPr>
      </w:pPr>
      <w:r w:rsidRPr="008B24FB">
        <w:rPr>
          <w:rFonts w:ascii="Times New Roman" w:eastAsia="Times New Roman" w:hAnsi="Times New Roman" w:cs="Times New Roman"/>
          <w:sz w:val="24"/>
          <w:szCs w:val="24"/>
        </w:rPr>
        <w:t>në datën 12.04.2017 mori në shqyrtim paraprak kërkesën me nr.78 Akti, që i përket:</w:t>
      </w:r>
    </w:p>
    <w:p w:rsidR="00591FA5" w:rsidRPr="008B24FB" w:rsidRDefault="00591FA5" w:rsidP="00591FA5">
      <w:pPr>
        <w:spacing w:after="0" w:line="360" w:lineRule="auto"/>
        <w:jc w:val="both"/>
        <w:rPr>
          <w:rFonts w:ascii="Times New Roman" w:eastAsia="Times New Roman" w:hAnsi="Times New Roman" w:cs="Times New Roman"/>
          <w:b/>
          <w:sz w:val="24"/>
          <w:szCs w:val="24"/>
        </w:rPr>
      </w:pPr>
    </w:p>
    <w:p w:rsidR="00591FA5" w:rsidRPr="008B24FB" w:rsidRDefault="00591FA5" w:rsidP="00591FA5">
      <w:pPr>
        <w:spacing w:after="0" w:line="360" w:lineRule="auto"/>
        <w:ind w:firstLine="720"/>
        <w:jc w:val="both"/>
        <w:rPr>
          <w:rFonts w:ascii="Times New Roman" w:eastAsia="Times New Roman" w:hAnsi="Times New Roman" w:cs="Times New Roman"/>
          <w:b/>
          <w:sz w:val="24"/>
          <w:szCs w:val="24"/>
        </w:rPr>
      </w:pPr>
      <w:r w:rsidRPr="008B24FB">
        <w:rPr>
          <w:rFonts w:ascii="Times New Roman" w:eastAsia="Times New Roman" w:hAnsi="Times New Roman" w:cs="Times New Roman"/>
          <w:b/>
          <w:sz w:val="24"/>
          <w:szCs w:val="24"/>
        </w:rPr>
        <w:t>KËRKUES:</w:t>
      </w:r>
      <w:r w:rsidRPr="008B24FB">
        <w:rPr>
          <w:rFonts w:ascii="Times New Roman" w:eastAsia="Times New Roman" w:hAnsi="Times New Roman" w:cs="Times New Roman"/>
          <w:b/>
          <w:sz w:val="24"/>
          <w:szCs w:val="24"/>
        </w:rPr>
        <w:tab/>
      </w:r>
      <w:r w:rsidRPr="008B24FB">
        <w:rPr>
          <w:rFonts w:ascii="Times New Roman" w:eastAsia="Times New Roman" w:hAnsi="Times New Roman" w:cs="Times New Roman"/>
          <w:b/>
          <w:sz w:val="24"/>
          <w:szCs w:val="24"/>
        </w:rPr>
        <w:tab/>
      </w:r>
      <w:r w:rsidR="002F2702" w:rsidRPr="008B24FB">
        <w:rPr>
          <w:rFonts w:ascii="Times New Roman" w:eastAsia="Times New Roman" w:hAnsi="Times New Roman" w:cs="Times New Roman"/>
          <w:b/>
          <w:sz w:val="24"/>
          <w:szCs w:val="24"/>
        </w:rPr>
        <w:t>DAVID GJOKEJA</w:t>
      </w:r>
    </w:p>
    <w:p w:rsidR="00591FA5" w:rsidRPr="008B24FB" w:rsidRDefault="00591FA5" w:rsidP="00591FA5">
      <w:pPr>
        <w:spacing w:after="0" w:line="360" w:lineRule="auto"/>
        <w:ind w:firstLine="720"/>
        <w:jc w:val="both"/>
        <w:rPr>
          <w:rFonts w:ascii="Times New Roman" w:eastAsia="Times New Roman" w:hAnsi="Times New Roman" w:cs="Times New Roman"/>
          <w:b/>
          <w:sz w:val="24"/>
          <w:szCs w:val="24"/>
        </w:rPr>
      </w:pPr>
    </w:p>
    <w:p w:rsidR="002F2702" w:rsidRPr="008B24FB" w:rsidRDefault="00591FA5" w:rsidP="002F2702">
      <w:pPr>
        <w:suppressAutoHyphens/>
        <w:spacing w:after="0" w:line="360" w:lineRule="auto"/>
        <w:ind w:left="2880" w:hanging="2160"/>
        <w:jc w:val="both"/>
        <w:outlineLvl w:val="0"/>
        <w:rPr>
          <w:rFonts w:ascii="Times New Roman" w:eastAsia="Calibri" w:hAnsi="Times New Roman"/>
          <w:b/>
          <w:bCs/>
          <w:sz w:val="24"/>
          <w:szCs w:val="24"/>
          <w:lang w:eastAsia="fr-FR"/>
        </w:rPr>
      </w:pPr>
      <w:r w:rsidRPr="008B24FB">
        <w:rPr>
          <w:rFonts w:ascii="Times New Roman" w:eastAsia="Times New Roman" w:hAnsi="Times New Roman" w:cs="Times New Roman"/>
          <w:b/>
          <w:sz w:val="24"/>
          <w:szCs w:val="24"/>
        </w:rPr>
        <w:t>OBJEKTI:</w:t>
      </w:r>
      <w:r w:rsidRPr="008B24FB">
        <w:rPr>
          <w:rFonts w:ascii="Times New Roman" w:eastAsia="Times New Roman" w:hAnsi="Times New Roman" w:cs="Times New Roman"/>
          <w:b/>
          <w:sz w:val="24"/>
          <w:szCs w:val="24"/>
        </w:rPr>
        <w:tab/>
      </w:r>
      <w:r w:rsidR="002F2702" w:rsidRPr="008B24FB">
        <w:rPr>
          <w:rFonts w:ascii="Times New Roman" w:eastAsia="Calibri" w:hAnsi="Times New Roman"/>
          <w:b/>
          <w:bCs/>
          <w:sz w:val="24"/>
          <w:szCs w:val="24"/>
          <w:lang w:eastAsia="fr-FR"/>
        </w:rPr>
        <w:t xml:space="preserve">Shfuqizimi si të </w:t>
      </w:r>
      <w:r w:rsidR="008B24FB" w:rsidRPr="008B24FB">
        <w:rPr>
          <w:rFonts w:ascii="Times New Roman" w:eastAsia="Calibri" w:hAnsi="Times New Roman"/>
          <w:b/>
          <w:bCs/>
          <w:sz w:val="24"/>
          <w:szCs w:val="24"/>
          <w:lang w:eastAsia="fr-FR"/>
        </w:rPr>
        <w:t>papajtuesh</w:t>
      </w:r>
      <w:r w:rsidR="008B24FB">
        <w:rPr>
          <w:rFonts w:ascii="Times New Roman" w:eastAsia="Calibri" w:hAnsi="Times New Roman"/>
          <w:b/>
          <w:bCs/>
          <w:sz w:val="24"/>
          <w:szCs w:val="24"/>
          <w:lang w:eastAsia="fr-FR"/>
        </w:rPr>
        <w:t>me</w:t>
      </w:r>
      <w:r w:rsidR="008B24FB" w:rsidRPr="008B24FB">
        <w:rPr>
          <w:rFonts w:ascii="Times New Roman" w:eastAsia="Calibri" w:hAnsi="Times New Roman"/>
          <w:b/>
          <w:bCs/>
          <w:sz w:val="24"/>
          <w:szCs w:val="24"/>
          <w:lang w:eastAsia="fr-FR"/>
        </w:rPr>
        <w:t xml:space="preserve"> </w:t>
      </w:r>
      <w:r w:rsidR="002F2702" w:rsidRPr="008B24FB">
        <w:rPr>
          <w:rFonts w:ascii="Times New Roman" w:eastAsia="Calibri" w:hAnsi="Times New Roman"/>
          <w:b/>
          <w:bCs/>
          <w:sz w:val="24"/>
          <w:szCs w:val="24"/>
          <w:lang w:eastAsia="fr-FR"/>
        </w:rPr>
        <w:t>me Kushtetutën e Republikës së Shqipërisë i vendimeve nr.207, datë 14.04.2009 të Gjykatës së Rrethit Gjyqësor Durrës; nr.352, datë 25.09.2009 të Gjykatës së Apelit Durrës</w:t>
      </w:r>
      <w:r w:rsidR="008B24FB">
        <w:rPr>
          <w:rFonts w:ascii="Times New Roman" w:eastAsia="Calibri" w:hAnsi="Times New Roman"/>
          <w:b/>
          <w:bCs/>
          <w:sz w:val="24"/>
          <w:szCs w:val="24"/>
          <w:lang w:eastAsia="fr-FR"/>
        </w:rPr>
        <w:t>;</w:t>
      </w:r>
      <w:r w:rsidR="002F2702" w:rsidRPr="008B24FB">
        <w:rPr>
          <w:rFonts w:ascii="Times New Roman" w:eastAsia="Calibri" w:hAnsi="Times New Roman"/>
          <w:b/>
          <w:bCs/>
          <w:sz w:val="24"/>
          <w:szCs w:val="24"/>
          <w:lang w:eastAsia="fr-FR"/>
        </w:rPr>
        <w:t xml:space="preserve"> nr.00-2012-1457(268), datë 17.10.2012 të Kolegjit Penal të Gjykatës së Lartë.</w:t>
      </w:r>
    </w:p>
    <w:p w:rsidR="00591FA5" w:rsidRPr="008B24FB" w:rsidRDefault="00591FA5" w:rsidP="00591FA5">
      <w:pPr>
        <w:spacing w:after="0" w:line="360" w:lineRule="auto"/>
        <w:jc w:val="both"/>
        <w:rPr>
          <w:rFonts w:ascii="Times New Roman" w:eastAsia="Times New Roman" w:hAnsi="Times New Roman" w:cs="Times New Roman"/>
          <w:b/>
          <w:sz w:val="24"/>
          <w:szCs w:val="24"/>
        </w:rPr>
      </w:pPr>
    </w:p>
    <w:p w:rsidR="00527D1C" w:rsidRDefault="00591FA5" w:rsidP="00527D1C">
      <w:pPr>
        <w:spacing w:after="0" w:line="360" w:lineRule="auto"/>
        <w:ind w:left="2880" w:hanging="2160"/>
        <w:jc w:val="both"/>
        <w:rPr>
          <w:rFonts w:ascii="Times New Roman" w:eastAsia="Times New Roman" w:hAnsi="Times New Roman" w:cs="Times New Roman"/>
          <w:b/>
          <w:sz w:val="24"/>
          <w:szCs w:val="24"/>
        </w:rPr>
      </w:pPr>
      <w:r w:rsidRPr="008B24FB">
        <w:rPr>
          <w:rFonts w:ascii="Times New Roman" w:eastAsia="Times New Roman" w:hAnsi="Times New Roman" w:cs="Times New Roman"/>
          <w:b/>
          <w:sz w:val="24"/>
          <w:szCs w:val="24"/>
        </w:rPr>
        <w:t>BAZA LIGJORE:</w:t>
      </w:r>
      <w:r w:rsidRPr="008B24FB">
        <w:rPr>
          <w:rFonts w:ascii="Times New Roman" w:eastAsia="Times New Roman" w:hAnsi="Times New Roman" w:cs="Times New Roman"/>
          <w:b/>
          <w:sz w:val="24"/>
          <w:szCs w:val="24"/>
        </w:rPr>
        <w:tab/>
      </w:r>
      <w:r w:rsidRPr="008B24FB">
        <w:rPr>
          <w:rFonts w:ascii="Times New Roman" w:eastAsia="Times New Roman" w:hAnsi="Times New Roman" w:cs="Times New Roman"/>
          <w:sz w:val="24"/>
          <w:szCs w:val="24"/>
        </w:rPr>
        <w:t xml:space="preserve">Nenet 42, 131/f dhe 134/1/i të Kushtetutës së Republikës së Shqipërisë, nenet 31 e vijues të ligjit nr.8577/2000 </w:t>
      </w:r>
      <w:r w:rsidR="008B24FB">
        <w:rPr>
          <w:rFonts w:ascii="Times New Roman" w:eastAsia="Times New Roman" w:hAnsi="Times New Roman" w:cs="Times New Roman"/>
          <w:sz w:val="24"/>
          <w:szCs w:val="24"/>
        </w:rPr>
        <w:t>“</w:t>
      </w:r>
      <w:r w:rsidRPr="008B24FB">
        <w:rPr>
          <w:rFonts w:ascii="Times New Roman" w:eastAsia="Times New Roman" w:hAnsi="Times New Roman" w:cs="Times New Roman"/>
          <w:sz w:val="24"/>
          <w:szCs w:val="24"/>
        </w:rPr>
        <w:t xml:space="preserve">Për </w:t>
      </w:r>
      <w:r w:rsidR="002F2702" w:rsidRPr="008B24FB">
        <w:rPr>
          <w:rFonts w:ascii="Times New Roman" w:eastAsia="Times New Roman" w:hAnsi="Times New Roman" w:cs="Times New Roman"/>
          <w:sz w:val="24"/>
          <w:szCs w:val="24"/>
        </w:rPr>
        <w:t>o</w:t>
      </w:r>
      <w:r w:rsidRPr="008B24FB">
        <w:rPr>
          <w:rFonts w:ascii="Times New Roman" w:eastAsia="Times New Roman" w:hAnsi="Times New Roman" w:cs="Times New Roman"/>
          <w:sz w:val="24"/>
          <w:szCs w:val="24"/>
        </w:rPr>
        <w:t xml:space="preserve">rganizimin dhe </w:t>
      </w:r>
      <w:r w:rsidR="002F2702" w:rsidRPr="008B24FB">
        <w:rPr>
          <w:rFonts w:ascii="Times New Roman" w:eastAsia="Times New Roman" w:hAnsi="Times New Roman" w:cs="Times New Roman"/>
          <w:sz w:val="24"/>
          <w:szCs w:val="24"/>
        </w:rPr>
        <w:t>f</w:t>
      </w:r>
      <w:r w:rsidRPr="008B24FB">
        <w:rPr>
          <w:rFonts w:ascii="Times New Roman" w:eastAsia="Times New Roman" w:hAnsi="Times New Roman" w:cs="Times New Roman"/>
          <w:sz w:val="24"/>
          <w:szCs w:val="24"/>
        </w:rPr>
        <w:t>unksionimin e Gjykatës Kushtetuese</w:t>
      </w:r>
      <w:r w:rsidR="008B24FB">
        <w:rPr>
          <w:rFonts w:ascii="Times New Roman" w:eastAsia="Times New Roman" w:hAnsi="Times New Roman" w:cs="Times New Roman"/>
          <w:sz w:val="24"/>
          <w:szCs w:val="24"/>
        </w:rPr>
        <w:t xml:space="preserve"> të Republikës së Shqipërisë”</w:t>
      </w:r>
      <w:r w:rsidRPr="008B24FB">
        <w:rPr>
          <w:rFonts w:ascii="Times New Roman" w:eastAsia="Times New Roman" w:hAnsi="Times New Roman" w:cs="Times New Roman"/>
          <w:sz w:val="24"/>
          <w:szCs w:val="24"/>
        </w:rPr>
        <w:t>, të ndryshuar.</w:t>
      </w:r>
    </w:p>
    <w:p w:rsidR="00527D1C" w:rsidRDefault="00527D1C" w:rsidP="00527D1C">
      <w:pPr>
        <w:spacing w:after="0" w:line="360" w:lineRule="auto"/>
        <w:jc w:val="both"/>
        <w:rPr>
          <w:rFonts w:ascii="Times New Roman" w:eastAsia="Times New Roman" w:hAnsi="Times New Roman" w:cs="Times New Roman"/>
          <w:b/>
          <w:sz w:val="24"/>
          <w:szCs w:val="24"/>
        </w:rPr>
      </w:pPr>
    </w:p>
    <w:p w:rsidR="00527D1C" w:rsidRDefault="004165CE" w:rsidP="00527D1C">
      <w:pPr>
        <w:spacing w:after="0" w:line="360" w:lineRule="auto"/>
        <w:ind w:firstLine="720"/>
        <w:jc w:val="both"/>
        <w:rPr>
          <w:rFonts w:ascii="Times New Roman" w:eastAsia="Times New Roman" w:hAnsi="Times New Roman" w:cs="Times New Roman"/>
          <w:b/>
          <w:sz w:val="24"/>
          <w:szCs w:val="24"/>
        </w:rPr>
      </w:pPr>
      <w:r w:rsidRPr="008B24FB">
        <w:rPr>
          <w:rFonts w:ascii="Times New Roman" w:eastAsia="Times New Roman" w:hAnsi="Times New Roman" w:cs="Times New Roman"/>
          <w:sz w:val="24"/>
          <w:szCs w:val="24"/>
        </w:rPr>
        <w:t>Mbledhja e Gjyqtarëve të Gjykatës Kushtetuese</w:t>
      </w:r>
      <w:r w:rsidR="00591FA5" w:rsidRPr="008B24FB">
        <w:rPr>
          <w:rFonts w:ascii="Times New Roman" w:eastAsia="Times New Roman" w:hAnsi="Times New Roman" w:cs="Times New Roman"/>
          <w:sz w:val="24"/>
          <w:szCs w:val="24"/>
        </w:rPr>
        <w:t>, pasi shqyrtoi kërkesën, dokumentet shoqëruese dhe diskutoi çështjen në tërësi,</w:t>
      </w:r>
    </w:p>
    <w:p w:rsidR="00527D1C" w:rsidRDefault="00527D1C" w:rsidP="00527D1C">
      <w:pPr>
        <w:spacing w:after="0" w:line="360" w:lineRule="auto"/>
        <w:jc w:val="both"/>
        <w:rPr>
          <w:rFonts w:ascii="Times New Roman" w:eastAsia="Times New Roman" w:hAnsi="Times New Roman" w:cs="Times New Roman"/>
          <w:b/>
          <w:sz w:val="24"/>
          <w:szCs w:val="24"/>
        </w:rPr>
      </w:pPr>
    </w:p>
    <w:p w:rsidR="00527D1C" w:rsidRDefault="00591FA5" w:rsidP="00527D1C">
      <w:pPr>
        <w:spacing w:after="0" w:line="360" w:lineRule="auto"/>
        <w:jc w:val="center"/>
        <w:rPr>
          <w:rFonts w:ascii="Times New Roman" w:eastAsia="Times New Roman" w:hAnsi="Times New Roman" w:cs="Times New Roman"/>
          <w:b/>
          <w:sz w:val="24"/>
          <w:szCs w:val="24"/>
        </w:rPr>
      </w:pPr>
      <w:r w:rsidRPr="008B24FB">
        <w:rPr>
          <w:rFonts w:ascii="Times New Roman" w:eastAsia="Times New Roman" w:hAnsi="Times New Roman" w:cs="Times New Roman"/>
          <w:b/>
          <w:sz w:val="24"/>
          <w:szCs w:val="24"/>
        </w:rPr>
        <w:t>V Ë R E N:</w:t>
      </w:r>
    </w:p>
    <w:p w:rsidR="00591FA5" w:rsidRPr="008B24FB" w:rsidRDefault="00591FA5" w:rsidP="00527D1C">
      <w:pPr>
        <w:spacing w:after="0" w:line="360" w:lineRule="auto"/>
        <w:jc w:val="center"/>
        <w:rPr>
          <w:rFonts w:ascii="Times New Roman" w:eastAsia="Times New Roman" w:hAnsi="Times New Roman" w:cs="Times New Roman"/>
          <w:b/>
          <w:sz w:val="24"/>
          <w:szCs w:val="24"/>
        </w:rPr>
      </w:pPr>
      <w:r w:rsidRPr="008B24FB">
        <w:rPr>
          <w:rFonts w:ascii="Times New Roman" w:eastAsia="Times New Roman" w:hAnsi="Times New Roman" w:cs="Times New Roman"/>
          <w:b/>
          <w:sz w:val="24"/>
          <w:szCs w:val="24"/>
        </w:rPr>
        <w:t>I</w:t>
      </w:r>
    </w:p>
    <w:p w:rsidR="002F2702" w:rsidRPr="008B24FB" w:rsidRDefault="004165CE" w:rsidP="002F2702">
      <w:pPr>
        <w:tabs>
          <w:tab w:val="left" w:pos="450"/>
        </w:tabs>
        <w:spacing w:after="0" w:line="360" w:lineRule="auto"/>
        <w:jc w:val="both"/>
        <w:rPr>
          <w:rFonts w:ascii="Times New Roman" w:eastAsia="Times New Roman" w:hAnsi="Times New Roman" w:cs="Times New Roman"/>
          <w:sz w:val="24"/>
          <w:szCs w:val="24"/>
        </w:rPr>
      </w:pPr>
      <w:r w:rsidRPr="008B24FB">
        <w:rPr>
          <w:rFonts w:ascii="Times New Roman" w:eastAsia="Times New Roman" w:hAnsi="Times New Roman" w:cs="Times New Roman"/>
          <w:sz w:val="24"/>
          <w:szCs w:val="24"/>
        </w:rPr>
        <w:lastRenderedPageBreak/>
        <w:tab/>
      </w:r>
      <w:r w:rsidRPr="008B24FB">
        <w:rPr>
          <w:rFonts w:ascii="Times New Roman" w:eastAsia="Times New Roman" w:hAnsi="Times New Roman" w:cs="Times New Roman"/>
          <w:sz w:val="24"/>
          <w:szCs w:val="24"/>
        </w:rPr>
        <w:tab/>
      </w:r>
      <w:r w:rsidR="002F2702" w:rsidRPr="008B24FB">
        <w:rPr>
          <w:rFonts w:ascii="Times New Roman" w:eastAsia="Times New Roman" w:hAnsi="Times New Roman" w:cs="Times New Roman"/>
          <w:sz w:val="24"/>
          <w:szCs w:val="24"/>
        </w:rPr>
        <w:t>1. Gjykata e Rrethit Gjyqësor Durrës, me vendimin nr.207, datë 14.04.2009, ka vendosur</w:t>
      </w:r>
      <w:r w:rsidR="008B24FB">
        <w:rPr>
          <w:rFonts w:ascii="Times New Roman" w:eastAsia="Times New Roman" w:hAnsi="Times New Roman" w:cs="Times New Roman"/>
          <w:sz w:val="24"/>
          <w:szCs w:val="24"/>
        </w:rPr>
        <w:t xml:space="preserve"> </w:t>
      </w:r>
      <w:bookmarkStart w:id="0" w:name="_GoBack"/>
      <w:bookmarkEnd w:id="0"/>
      <w:r w:rsidR="002F2702" w:rsidRPr="008B24FB">
        <w:rPr>
          <w:rFonts w:ascii="Times New Roman" w:eastAsia="Times New Roman" w:hAnsi="Times New Roman" w:cs="Times New Roman"/>
          <w:sz w:val="24"/>
          <w:szCs w:val="24"/>
        </w:rPr>
        <w:t>: “</w:t>
      </w:r>
      <w:r w:rsidR="002F2702" w:rsidRPr="008B24FB">
        <w:rPr>
          <w:rFonts w:ascii="Times New Roman" w:eastAsia="Times New Roman" w:hAnsi="Times New Roman" w:cs="Times New Roman"/>
          <w:i/>
          <w:sz w:val="24"/>
          <w:szCs w:val="24"/>
        </w:rPr>
        <w:t xml:space="preserve">Deklarimin fajtor </w:t>
      </w:r>
      <w:r w:rsidR="006C1AA1">
        <w:rPr>
          <w:rFonts w:ascii="Times New Roman" w:eastAsia="Times New Roman" w:hAnsi="Times New Roman" w:cs="Times New Roman"/>
          <w:i/>
          <w:sz w:val="24"/>
          <w:szCs w:val="24"/>
        </w:rPr>
        <w:t xml:space="preserve">të të pandehurit David Gjokeja </w:t>
      </w:r>
      <w:r w:rsidR="002F2702" w:rsidRPr="008B24FB">
        <w:rPr>
          <w:rFonts w:ascii="Times New Roman" w:eastAsia="Times New Roman" w:hAnsi="Times New Roman" w:cs="Times New Roman"/>
          <w:i/>
          <w:sz w:val="24"/>
          <w:szCs w:val="24"/>
        </w:rPr>
        <w:t>për veprën penale të vrasjes në rrethana cilësuese në bashkëpunim dhe mbajtje pa leje të armëve luftarake dhe në bazë të neneve 79/dh, 25 dhe 278/2 të Kodit Penal e ka dënuar atë me burgim të përjetshëm.</w:t>
      </w:r>
      <w:r w:rsidR="002F2702" w:rsidRPr="008B24FB">
        <w:rPr>
          <w:rFonts w:ascii="Times New Roman" w:eastAsia="Times New Roman" w:hAnsi="Times New Roman" w:cs="Times New Roman"/>
          <w:sz w:val="24"/>
          <w:szCs w:val="24"/>
        </w:rPr>
        <w:t>”.</w:t>
      </w:r>
    </w:p>
    <w:p w:rsidR="002F2702" w:rsidRPr="008B24FB" w:rsidRDefault="002F2702" w:rsidP="002F2702">
      <w:pPr>
        <w:tabs>
          <w:tab w:val="left" w:pos="450"/>
        </w:tabs>
        <w:spacing w:after="0" w:line="360" w:lineRule="auto"/>
        <w:jc w:val="both"/>
        <w:rPr>
          <w:rFonts w:ascii="Times New Roman" w:eastAsia="Times New Roman" w:hAnsi="Times New Roman" w:cs="Times New Roman"/>
          <w:sz w:val="24"/>
          <w:szCs w:val="24"/>
        </w:rPr>
      </w:pPr>
      <w:r w:rsidRPr="008B24FB">
        <w:rPr>
          <w:rFonts w:ascii="Times New Roman" w:eastAsia="Times New Roman" w:hAnsi="Times New Roman" w:cs="Times New Roman"/>
          <w:sz w:val="24"/>
          <w:szCs w:val="24"/>
        </w:rPr>
        <w:tab/>
      </w:r>
      <w:r w:rsidRPr="008B24FB">
        <w:rPr>
          <w:rFonts w:ascii="Times New Roman" w:eastAsia="Times New Roman" w:hAnsi="Times New Roman" w:cs="Times New Roman"/>
          <w:sz w:val="24"/>
          <w:szCs w:val="24"/>
        </w:rPr>
        <w:tab/>
        <w:t xml:space="preserve">2. Gjykata e Apelit Durrës, me vendimin </w:t>
      </w:r>
      <w:r w:rsidRPr="008B24FB">
        <w:rPr>
          <w:rFonts w:ascii="Times New Roman" w:eastAsia="Calibri" w:hAnsi="Times New Roman"/>
          <w:bCs/>
          <w:sz w:val="24"/>
          <w:szCs w:val="24"/>
          <w:lang w:eastAsia="fr-FR"/>
        </w:rPr>
        <w:t>nr.352, datë 25.09.2009</w:t>
      </w:r>
      <w:r w:rsidRPr="008B24FB">
        <w:rPr>
          <w:rFonts w:ascii="Times New Roman" w:eastAsia="Times New Roman" w:hAnsi="Times New Roman" w:cs="Times New Roman"/>
          <w:sz w:val="24"/>
          <w:szCs w:val="24"/>
        </w:rPr>
        <w:t>, ka vendosur: “</w:t>
      </w:r>
      <w:r w:rsidRPr="008B24FB">
        <w:rPr>
          <w:rFonts w:ascii="Times New Roman" w:eastAsia="Times New Roman" w:hAnsi="Times New Roman" w:cs="Times New Roman"/>
          <w:i/>
          <w:sz w:val="24"/>
          <w:szCs w:val="24"/>
        </w:rPr>
        <w:t>Lënien në fuqi të vendimit.</w:t>
      </w:r>
      <w:r w:rsidRPr="008B24FB">
        <w:rPr>
          <w:rFonts w:ascii="Times New Roman" w:eastAsia="Times New Roman" w:hAnsi="Times New Roman" w:cs="Times New Roman"/>
          <w:sz w:val="24"/>
          <w:szCs w:val="24"/>
        </w:rPr>
        <w:t xml:space="preserve">”. </w:t>
      </w:r>
    </w:p>
    <w:p w:rsidR="002F2702" w:rsidRPr="008B24FB" w:rsidRDefault="002F2702" w:rsidP="002F2702">
      <w:pPr>
        <w:tabs>
          <w:tab w:val="left" w:pos="450"/>
        </w:tabs>
        <w:spacing w:after="0" w:line="360" w:lineRule="auto"/>
        <w:jc w:val="both"/>
        <w:rPr>
          <w:rFonts w:ascii="Times New Roman" w:eastAsia="Times New Roman" w:hAnsi="Times New Roman" w:cs="Times New Roman"/>
          <w:i/>
          <w:sz w:val="24"/>
          <w:szCs w:val="24"/>
        </w:rPr>
      </w:pPr>
      <w:r w:rsidRPr="008B24FB">
        <w:rPr>
          <w:rFonts w:ascii="Times New Roman" w:eastAsia="Times New Roman" w:hAnsi="Times New Roman" w:cs="Times New Roman"/>
          <w:sz w:val="24"/>
          <w:szCs w:val="24"/>
        </w:rPr>
        <w:tab/>
      </w:r>
      <w:r w:rsidRPr="008B24FB">
        <w:rPr>
          <w:rFonts w:ascii="Times New Roman" w:eastAsia="Times New Roman" w:hAnsi="Times New Roman" w:cs="Times New Roman"/>
          <w:sz w:val="24"/>
          <w:szCs w:val="24"/>
        </w:rPr>
        <w:tab/>
        <w:t xml:space="preserve">3. Kundër këtij vendim </w:t>
      </w:r>
      <w:r w:rsidR="008B24FB">
        <w:rPr>
          <w:rFonts w:ascii="Times New Roman" w:eastAsia="Times New Roman" w:hAnsi="Times New Roman" w:cs="Times New Roman"/>
          <w:sz w:val="24"/>
          <w:szCs w:val="24"/>
        </w:rPr>
        <w:t>ka</w:t>
      </w:r>
      <w:r w:rsidR="008B24FB" w:rsidRPr="008B24FB">
        <w:rPr>
          <w:rFonts w:ascii="Times New Roman" w:eastAsia="Times New Roman" w:hAnsi="Times New Roman" w:cs="Times New Roman"/>
          <w:sz w:val="24"/>
          <w:szCs w:val="24"/>
        </w:rPr>
        <w:t xml:space="preserve"> </w:t>
      </w:r>
      <w:r w:rsidRPr="008B24FB">
        <w:rPr>
          <w:rFonts w:ascii="Times New Roman" w:eastAsia="Times New Roman" w:hAnsi="Times New Roman" w:cs="Times New Roman"/>
          <w:sz w:val="24"/>
          <w:szCs w:val="24"/>
        </w:rPr>
        <w:t xml:space="preserve">ushtruar rekurs avokati i kërkuesit në Gjykatën e Lartë. Me vendimin nr.00-2012-1457(268), datë 17.10.2012, Kolegji Penal i Gjykatës së Lartë ka vendosur: </w:t>
      </w:r>
      <w:r w:rsidRPr="008B24FB">
        <w:rPr>
          <w:rFonts w:ascii="Times New Roman" w:eastAsia="Times New Roman" w:hAnsi="Times New Roman" w:cs="Times New Roman"/>
          <w:i/>
          <w:sz w:val="24"/>
          <w:szCs w:val="24"/>
        </w:rPr>
        <w:t xml:space="preserve">“Lënien në fuqi të vendimit </w:t>
      </w:r>
      <w:r w:rsidRPr="008B24FB">
        <w:rPr>
          <w:rFonts w:ascii="Times New Roman" w:eastAsia="Calibri" w:hAnsi="Times New Roman"/>
          <w:bCs/>
          <w:i/>
          <w:sz w:val="24"/>
          <w:szCs w:val="24"/>
          <w:lang w:eastAsia="fr-FR"/>
        </w:rPr>
        <w:t>nr.352, datë 25.09.2009</w:t>
      </w:r>
      <w:r w:rsidRPr="008B24FB">
        <w:rPr>
          <w:rFonts w:ascii="Times New Roman" w:eastAsia="Times New Roman" w:hAnsi="Times New Roman" w:cs="Times New Roman"/>
          <w:i/>
          <w:sz w:val="24"/>
          <w:szCs w:val="24"/>
        </w:rPr>
        <w:t xml:space="preserve"> të Gjykatës së Apelit Durrës.”</w:t>
      </w:r>
      <w:r w:rsidR="008B24FB">
        <w:rPr>
          <w:rFonts w:ascii="Times New Roman" w:eastAsia="Times New Roman" w:hAnsi="Times New Roman" w:cs="Times New Roman"/>
          <w:i/>
          <w:sz w:val="24"/>
          <w:szCs w:val="24"/>
        </w:rPr>
        <w:t>.</w:t>
      </w:r>
      <w:r w:rsidRPr="008B24FB">
        <w:rPr>
          <w:rFonts w:ascii="Times New Roman" w:eastAsia="Times New Roman" w:hAnsi="Times New Roman" w:cs="Times New Roman"/>
          <w:i/>
          <w:sz w:val="24"/>
          <w:szCs w:val="24"/>
        </w:rPr>
        <w:t xml:space="preserve"> </w:t>
      </w:r>
    </w:p>
    <w:p w:rsidR="002F2702" w:rsidRPr="008B24FB" w:rsidRDefault="002F2702" w:rsidP="002F2702">
      <w:pPr>
        <w:tabs>
          <w:tab w:val="left" w:pos="450"/>
        </w:tabs>
        <w:spacing w:after="0" w:line="360" w:lineRule="auto"/>
        <w:jc w:val="both"/>
        <w:rPr>
          <w:rFonts w:ascii="Times New Roman" w:eastAsia="Times New Roman" w:hAnsi="Times New Roman" w:cs="Times New Roman"/>
          <w:sz w:val="24"/>
          <w:szCs w:val="24"/>
        </w:rPr>
      </w:pPr>
      <w:r w:rsidRPr="008B24FB">
        <w:rPr>
          <w:rFonts w:ascii="Times New Roman" w:eastAsia="Times New Roman" w:hAnsi="Times New Roman" w:cs="Times New Roman"/>
          <w:sz w:val="24"/>
          <w:szCs w:val="24"/>
        </w:rPr>
        <w:tab/>
      </w:r>
      <w:r w:rsidRPr="008B24FB">
        <w:rPr>
          <w:rFonts w:ascii="Times New Roman" w:eastAsia="Times New Roman" w:hAnsi="Times New Roman" w:cs="Times New Roman"/>
          <w:sz w:val="24"/>
          <w:szCs w:val="24"/>
        </w:rPr>
        <w:tab/>
        <w:t xml:space="preserve">4. Kërkuesi është gjykuar në mungesë dhe është përfaqësuar në gjykim fillimisht nga avokat i caktuar kryesisht nga gjykata dhe më pas </w:t>
      </w:r>
      <w:r w:rsidR="008B24FB">
        <w:rPr>
          <w:rFonts w:ascii="Times New Roman" w:eastAsia="Times New Roman" w:hAnsi="Times New Roman" w:cs="Times New Roman"/>
          <w:sz w:val="24"/>
          <w:szCs w:val="24"/>
        </w:rPr>
        <w:t>nga</w:t>
      </w:r>
      <w:r w:rsidR="008B24FB" w:rsidRPr="008B24FB">
        <w:rPr>
          <w:rFonts w:ascii="Times New Roman" w:eastAsia="Times New Roman" w:hAnsi="Times New Roman" w:cs="Times New Roman"/>
          <w:sz w:val="24"/>
          <w:szCs w:val="24"/>
        </w:rPr>
        <w:t xml:space="preserve"> </w:t>
      </w:r>
      <w:r w:rsidRPr="008B24FB">
        <w:rPr>
          <w:rFonts w:ascii="Times New Roman" w:eastAsia="Times New Roman" w:hAnsi="Times New Roman" w:cs="Times New Roman"/>
          <w:sz w:val="24"/>
          <w:szCs w:val="24"/>
        </w:rPr>
        <w:t xml:space="preserve">avokat </w:t>
      </w:r>
      <w:r w:rsidR="008B24FB">
        <w:rPr>
          <w:rFonts w:ascii="Times New Roman" w:eastAsia="Times New Roman" w:hAnsi="Times New Roman" w:cs="Times New Roman"/>
          <w:sz w:val="24"/>
          <w:szCs w:val="24"/>
        </w:rPr>
        <w:t>i</w:t>
      </w:r>
      <w:r w:rsidR="008B24FB" w:rsidRPr="008B24FB">
        <w:rPr>
          <w:rFonts w:ascii="Times New Roman" w:eastAsia="Times New Roman" w:hAnsi="Times New Roman" w:cs="Times New Roman"/>
          <w:sz w:val="24"/>
          <w:szCs w:val="24"/>
        </w:rPr>
        <w:t xml:space="preserve"> </w:t>
      </w:r>
      <w:r w:rsidRPr="008B24FB">
        <w:rPr>
          <w:rFonts w:ascii="Times New Roman" w:eastAsia="Times New Roman" w:hAnsi="Times New Roman" w:cs="Times New Roman"/>
          <w:sz w:val="24"/>
          <w:szCs w:val="24"/>
        </w:rPr>
        <w:t>caktuar me prokurë nga familjarët e tij.</w:t>
      </w:r>
    </w:p>
    <w:p w:rsidR="002F2702" w:rsidRPr="008B24FB" w:rsidRDefault="002F2702" w:rsidP="002F2702">
      <w:pPr>
        <w:tabs>
          <w:tab w:val="left" w:pos="450"/>
        </w:tabs>
        <w:spacing w:after="0" w:line="360" w:lineRule="auto"/>
        <w:jc w:val="both"/>
        <w:rPr>
          <w:rFonts w:ascii="Times New Roman" w:eastAsia="Times New Roman" w:hAnsi="Times New Roman" w:cs="Times New Roman"/>
          <w:sz w:val="24"/>
          <w:szCs w:val="24"/>
        </w:rPr>
      </w:pPr>
      <w:r w:rsidRPr="008B24FB">
        <w:rPr>
          <w:rFonts w:ascii="Times New Roman" w:eastAsia="Times New Roman" w:hAnsi="Times New Roman" w:cs="Times New Roman"/>
          <w:sz w:val="24"/>
          <w:szCs w:val="24"/>
        </w:rPr>
        <w:tab/>
      </w:r>
      <w:r w:rsidRPr="008B24FB">
        <w:rPr>
          <w:rFonts w:ascii="Times New Roman" w:eastAsia="Times New Roman" w:hAnsi="Times New Roman" w:cs="Times New Roman"/>
          <w:sz w:val="24"/>
          <w:szCs w:val="24"/>
        </w:rPr>
        <w:tab/>
        <w:t xml:space="preserve">5. Në datën 19.03.2016 ai është ndaluar nga </w:t>
      </w:r>
      <w:r w:rsidR="008B24FB">
        <w:rPr>
          <w:rFonts w:ascii="Times New Roman" w:eastAsia="Times New Roman" w:hAnsi="Times New Roman" w:cs="Times New Roman"/>
          <w:sz w:val="24"/>
          <w:szCs w:val="24"/>
        </w:rPr>
        <w:t>P</w:t>
      </w:r>
      <w:r w:rsidR="008B24FB" w:rsidRPr="008B24FB">
        <w:rPr>
          <w:rFonts w:ascii="Times New Roman" w:eastAsia="Times New Roman" w:hAnsi="Times New Roman" w:cs="Times New Roman"/>
          <w:sz w:val="24"/>
          <w:szCs w:val="24"/>
        </w:rPr>
        <w:t xml:space="preserve">olicia </w:t>
      </w:r>
      <w:r w:rsidR="008B24FB">
        <w:rPr>
          <w:rFonts w:ascii="Times New Roman" w:eastAsia="Times New Roman" w:hAnsi="Times New Roman" w:cs="Times New Roman"/>
          <w:sz w:val="24"/>
          <w:szCs w:val="24"/>
        </w:rPr>
        <w:t>K</w:t>
      </w:r>
      <w:r w:rsidR="008B24FB" w:rsidRPr="008B24FB">
        <w:rPr>
          <w:rFonts w:ascii="Times New Roman" w:eastAsia="Times New Roman" w:hAnsi="Times New Roman" w:cs="Times New Roman"/>
          <w:sz w:val="24"/>
          <w:szCs w:val="24"/>
        </w:rPr>
        <w:t xml:space="preserve">ufitare </w:t>
      </w:r>
      <w:r w:rsidRPr="008B24FB">
        <w:rPr>
          <w:rFonts w:ascii="Times New Roman" w:eastAsia="Times New Roman" w:hAnsi="Times New Roman" w:cs="Times New Roman"/>
          <w:sz w:val="24"/>
          <w:szCs w:val="24"/>
        </w:rPr>
        <w:t>dhe i është komunikuar vendimi me qëllim fillimin e ekzekutimit të tij.</w:t>
      </w:r>
    </w:p>
    <w:p w:rsidR="00527D1C" w:rsidRDefault="002F2702" w:rsidP="00527D1C">
      <w:pPr>
        <w:tabs>
          <w:tab w:val="left" w:pos="450"/>
        </w:tabs>
        <w:spacing w:after="0" w:line="360" w:lineRule="auto"/>
        <w:jc w:val="both"/>
        <w:rPr>
          <w:rFonts w:ascii="Times New Roman" w:eastAsia="MS Mincho" w:hAnsi="Times New Roman" w:cs="Times New Roman"/>
          <w:b/>
          <w:bCs/>
          <w:kern w:val="28"/>
          <w:sz w:val="24"/>
          <w:szCs w:val="24"/>
        </w:rPr>
      </w:pPr>
      <w:r w:rsidRPr="008B24FB">
        <w:rPr>
          <w:rFonts w:ascii="Times New Roman" w:eastAsia="Times New Roman" w:hAnsi="Times New Roman" w:cs="Times New Roman"/>
          <w:sz w:val="24"/>
          <w:szCs w:val="24"/>
        </w:rPr>
        <w:tab/>
      </w:r>
      <w:r w:rsidRPr="008B24FB">
        <w:rPr>
          <w:rFonts w:ascii="Times New Roman" w:eastAsia="Times New Roman" w:hAnsi="Times New Roman" w:cs="Times New Roman"/>
          <w:sz w:val="24"/>
          <w:szCs w:val="24"/>
        </w:rPr>
        <w:tab/>
        <w:t>6. Në datën 21.04.2016 kërkuesi i është drejtuar Gjykatës së Rrethit Gjyqësor Durrës me kërkesë për rivendosje në afat të së drejtës së ankimit ndaj vendimit nr. 207, datë 14.04.2009 të Gjykatës së Rrethit Gjyqësor Durrës. Kjo e fundit ka vendosur mospranimin e kërkesës. Kundër këtij vendimi është bërë ankim në Gjykatë</w:t>
      </w:r>
      <w:r w:rsidR="008B24FB">
        <w:rPr>
          <w:rFonts w:ascii="Times New Roman" w:eastAsia="Times New Roman" w:hAnsi="Times New Roman" w:cs="Times New Roman"/>
          <w:sz w:val="24"/>
          <w:szCs w:val="24"/>
        </w:rPr>
        <w:t>n</w:t>
      </w:r>
      <w:r w:rsidRPr="008B24FB">
        <w:rPr>
          <w:rFonts w:ascii="Times New Roman" w:eastAsia="Times New Roman" w:hAnsi="Times New Roman" w:cs="Times New Roman"/>
          <w:sz w:val="24"/>
          <w:szCs w:val="24"/>
        </w:rPr>
        <w:t xml:space="preserve"> </w:t>
      </w:r>
      <w:r w:rsidR="008B24FB">
        <w:rPr>
          <w:rFonts w:ascii="Times New Roman" w:eastAsia="Times New Roman" w:hAnsi="Times New Roman" w:cs="Times New Roman"/>
          <w:sz w:val="24"/>
          <w:szCs w:val="24"/>
        </w:rPr>
        <w:t>e</w:t>
      </w:r>
      <w:r w:rsidR="008B24FB" w:rsidRPr="008B24FB">
        <w:rPr>
          <w:rFonts w:ascii="Times New Roman" w:eastAsia="Times New Roman" w:hAnsi="Times New Roman" w:cs="Times New Roman"/>
          <w:sz w:val="24"/>
          <w:szCs w:val="24"/>
        </w:rPr>
        <w:t xml:space="preserve"> </w:t>
      </w:r>
      <w:r w:rsidRPr="008B24FB">
        <w:rPr>
          <w:rFonts w:ascii="Times New Roman" w:eastAsia="Times New Roman" w:hAnsi="Times New Roman" w:cs="Times New Roman"/>
          <w:sz w:val="24"/>
          <w:szCs w:val="24"/>
        </w:rPr>
        <w:t xml:space="preserve">Apelit, e cila </w:t>
      </w:r>
      <w:r w:rsidR="008B24FB">
        <w:rPr>
          <w:rFonts w:ascii="Times New Roman" w:eastAsia="Times New Roman" w:hAnsi="Times New Roman" w:cs="Times New Roman"/>
          <w:sz w:val="24"/>
          <w:szCs w:val="24"/>
        </w:rPr>
        <w:t xml:space="preserve">e </w:t>
      </w:r>
      <w:r w:rsidRPr="008B24FB">
        <w:rPr>
          <w:rFonts w:ascii="Times New Roman" w:eastAsia="Times New Roman" w:hAnsi="Times New Roman" w:cs="Times New Roman"/>
          <w:sz w:val="24"/>
          <w:szCs w:val="24"/>
        </w:rPr>
        <w:t>ka lënë në fuqi vendimin. Aktualisht</w:t>
      </w:r>
      <w:r w:rsidR="008B24FB">
        <w:rPr>
          <w:rFonts w:ascii="Times New Roman" w:eastAsia="Times New Roman" w:hAnsi="Times New Roman" w:cs="Times New Roman"/>
          <w:sz w:val="24"/>
          <w:szCs w:val="24"/>
        </w:rPr>
        <w:t>,</w:t>
      </w:r>
      <w:r w:rsidRPr="008B24FB">
        <w:rPr>
          <w:rFonts w:ascii="Times New Roman" w:eastAsia="Times New Roman" w:hAnsi="Times New Roman" w:cs="Times New Roman"/>
          <w:sz w:val="24"/>
          <w:szCs w:val="24"/>
        </w:rPr>
        <w:t xml:space="preserve"> kjo kërkesë është duke u shqyrtuar në Kolegjin Penal të Gjykatës së Lartë </w:t>
      </w:r>
      <w:r w:rsidR="008B24FB">
        <w:rPr>
          <w:rFonts w:ascii="Times New Roman" w:eastAsia="Times New Roman" w:hAnsi="Times New Roman" w:cs="Times New Roman"/>
          <w:sz w:val="24"/>
          <w:szCs w:val="24"/>
        </w:rPr>
        <w:t>në</w:t>
      </w:r>
      <w:r w:rsidR="008B24FB" w:rsidRPr="008B24FB">
        <w:rPr>
          <w:rFonts w:ascii="Times New Roman" w:eastAsia="Times New Roman" w:hAnsi="Times New Roman" w:cs="Times New Roman"/>
          <w:sz w:val="24"/>
          <w:szCs w:val="24"/>
        </w:rPr>
        <w:t xml:space="preserve"> </w:t>
      </w:r>
      <w:r w:rsidRPr="008B24FB">
        <w:rPr>
          <w:rFonts w:ascii="Times New Roman" w:eastAsia="Times New Roman" w:hAnsi="Times New Roman" w:cs="Times New Roman"/>
          <w:sz w:val="24"/>
          <w:szCs w:val="24"/>
        </w:rPr>
        <w:t xml:space="preserve">bazë </w:t>
      </w:r>
      <w:r w:rsidR="008B24FB">
        <w:rPr>
          <w:rFonts w:ascii="Times New Roman" w:eastAsia="Times New Roman" w:hAnsi="Times New Roman" w:cs="Times New Roman"/>
          <w:sz w:val="24"/>
          <w:szCs w:val="24"/>
        </w:rPr>
        <w:t>të</w:t>
      </w:r>
      <w:r w:rsidR="008B24FB" w:rsidRPr="008B24FB">
        <w:rPr>
          <w:rFonts w:ascii="Times New Roman" w:eastAsia="Times New Roman" w:hAnsi="Times New Roman" w:cs="Times New Roman"/>
          <w:sz w:val="24"/>
          <w:szCs w:val="24"/>
        </w:rPr>
        <w:t xml:space="preserve"> </w:t>
      </w:r>
      <w:r w:rsidRPr="008B24FB">
        <w:rPr>
          <w:rFonts w:ascii="Times New Roman" w:eastAsia="Times New Roman" w:hAnsi="Times New Roman" w:cs="Times New Roman"/>
          <w:sz w:val="24"/>
          <w:szCs w:val="24"/>
        </w:rPr>
        <w:t>rekursit të bërë nga kërkuesi.</w:t>
      </w:r>
    </w:p>
    <w:p w:rsidR="00527D1C" w:rsidRDefault="00527D1C" w:rsidP="00527D1C">
      <w:pPr>
        <w:tabs>
          <w:tab w:val="left" w:pos="450"/>
        </w:tabs>
        <w:spacing w:after="0" w:line="360" w:lineRule="auto"/>
        <w:jc w:val="both"/>
        <w:rPr>
          <w:rFonts w:ascii="Times New Roman" w:eastAsia="MS Mincho" w:hAnsi="Times New Roman" w:cs="Times New Roman"/>
          <w:b/>
          <w:bCs/>
          <w:kern w:val="28"/>
          <w:sz w:val="24"/>
          <w:szCs w:val="24"/>
        </w:rPr>
      </w:pPr>
    </w:p>
    <w:p w:rsidR="00591FA5" w:rsidRPr="00527D1C" w:rsidRDefault="00591FA5" w:rsidP="00527D1C">
      <w:pPr>
        <w:tabs>
          <w:tab w:val="left" w:pos="450"/>
        </w:tabs>
        <w:spacing w:after="0" w:line="360" w:lineRule="auto"/>
        <w:jc w:val="center"/>
        <w:rPr>
          <w:rFonts w:ascii="Times New Roman" w:eastAsia="MS Mincho" w:hAnsi="Times New Roman" w:cs="Times New Roman"/>
          <w:b/>
          <w:bCs/>
          <w:kern w:val="28"/>
          <w:sz w:val="24"/>
          <w:szCs w:val="24"/>
        </w:rPr>
      </w:pPr>
      <w:r w:rsidRPr="008B24FB">
        <w:rPr>
          <w:rFonts w:ascii="Times New Roman" w:eastAsia="MS Mincho" w:hAnsi="Times New Roman" w:cs="Times New Roman"/>
          <w:b/>
          <w:bCs/>
          <w:kern w:val="28"/>
          <w:sz w:val="24"/>
          <w:szCs w:val="24"/>
        </w:rPr>
        <w:t>II</w:t>
      </w:r>
    </w:p>
    <w:p w:rsidR="002F2702" w:rsidRPr="008B24FB" w:rsidRDefault="002F2702" w:rsidP="002F2702">
      <w:pPr>
        <w:spacing w:after="0" w:line="360" w:lineRule="auto"/>
        <w:ind w:firstLine="720"/>
        <w:jc w:val="both"/>
        <w:rPr>
          <w:rFonts w:ascii="Times New Roman" w:eastAsia="Times New Roman" w:hAnsi="Times New Roman" w:cs="Times New Roman"/>
          <w:bCs/>
          <w:sz w:val="24"/>
          <w:szCs w:val="24"/>
        </w:rPr>
      </w:pPr>
      <w:r w:rsidRPr="008B24FB">
        <w:rPr>
          <w:rFonts w:ascii="Times New Roman" w:eastAsia="Calibri" w:hAnsi="Times New Roman" w:cs="Times New Roman"/>
          <w:sz w:val="24"/>
          <w:szCs w:val="24"/>
          <w:lang w:eastAsia="fr-FR"/>
        </w:rPr>
        <w:t xml:space="preserve">7. </w:t>
      </w:r>
      <w:r w:rsidRPr="008B24FB">
        <w:rPr>
          <w:rFonts w:ascii="Times New Roman" w:eastAsia="Calibri" w:hAnsi="Times New Roman" w:cs="Times New Roman"/>
          <w:b/>
          <w:i/>
          <w:sz w:val="24"/>
          <w:szCs w:val="24"/>
          <w:lang w:eastAsia="fr-FR"/>
        </w:rPr>
        <w:t xml:space="preserve">Kërkuesi </w:t>
      </w:r>
      <w:r w:rsidRPr="008B24FB">
        <w:rPr>
          <w:rFonts w:ascii="Times New Roman" w:eastAsia="Calibri" w:hAnsi="Times New Roman" w:cs="Times New Roman"/>
          <w:sz w:val="24"/>
          <w:szCs w:val="24"/>
          <w:lang w:eastAsia="fr-FR"/>
        </w:rPr>
        <w:t>i është drejtuar me kërkesë Gjykatës Kushtetuese (</w:t>
      </w:r>
      <w:r w:rsidRPr="008B24FB">
        <w:rPr>
          <w:rFonts w:ascii="Times New Roman" w:eastAsia="Calibri" w:hAnsi="Times New Roman" w:cs="Times New Roman"/>
          <w:i/>
          <w:sz w:val="24"/>
          <w:szCs w:val="24"/>
          <w:lang w:eastAsia="fr-FR"/>
        </w:rPr>
        <w:t>Gjykata</w:t>
      </w:r>
      <w:r w:rsidRPr="008B24FB">
        <w:rPr>
          <w:rFonts w:ascii="Times New Roman" w:eastAsia="Calibri" w:hAnsi="Times New Roman" w:cs="Times New Roman"/>
          <w:sz w:val="24"/>
          <w:szCs w:val="24"/>
          <w:lang w:eastAsia="fr-FR"/>
        </w:rPr>
        <w:t>) sipas objektit të saj</w:t>
      </w:r>
      <w:r w:rsidRPr="008B24FB">
        <w:rPr>
          <w:rFonts w:ascii="Times New Roman" w:eastAsia="Times New Roman" w:hAnsi="Times New Roman" w:cs="Times New Roman"/>
          <w:bCs/>
          <w:sz w:val="24"/>
          <w:szCs w:val="24"/>
        </w:rPr>
        <w:t>, duke paraqitur këto shkaqe në mënyrë të përmbledhur:</w:t>
      </w:r>
    </w:p>
    <w:p w:rsidR="002F2702" w:rsidRPr="008B24FB" w:rsidRDefault="002F2702" w:rsidP="002F2702">
      <w:pPr>
        <w:spacing w:after="0" w:line="360" w:lineRule="auto"/>
        <w:ind w:left="1170" w:hanging="450"/>
        <w:jc w:val="both"/>
        <w:rPr>
          <w:rFonts w:ascii="Times New Roman" w:eastAsia="Times New Roman" w:hAnsi="Times New Roman" w:cs="Times New Roman"/>
          <w:bCs/>
          <w:sz w:val="24"/>
          <w:szCs w:val="24"/>
        </w:rPr>
      </w:pPr>
      <w:r w:rsidRPr="008B24FB">
        <w:rPr>
          <w:rFonts w:ascii="Times New Roman" w:eastAsia="Times New Roman" w:hAnsi="Times New Roman" w:cs="Times New Roman"/>
          <w:bCs/>
          <w:sz w:val="24"/>
          <w:szCs w:val="24"/>
        </w:rPr>
        <w:t xml:space="preserve">7.1 </w:t>
      </w:r>
      <w:r w:rsidR="004165CE" w:rsidRPr="008B24FB">
        <w:rPr>
          <w:rFonts w:ascii="Times New Roman" w:eastAsia="Times New Roman" w:hAnsi="Times New Roman" w:cs="Times New Roman"/>
          <w:bCs/>
          <w:sz w:val="24"/>
          <w:szCs w:val="24"/>
        </w:rPr>
        <w:t xml:space="preserve">Duke qenë se </w:t>
      </w:r>
      <w:r w:rsidRPr="008B24FB">
        <w:rPr>
          <w:rFonts w:ascii="Times New Roman" w:eastAsia="Times New Roman" w:hAnsi="Times New Roman" w:cs="Times New Roman"/>
          <w:bCs/>
          <w:sz w:val="24"/>
          <w:szCs w:val="24"/>
        </w:rPr>
        <w:t>gjyk</w:t>
      </w:r>
      <w:r w:rsidR="004165CE" w:rsidRPr="008B24FB">
        <w:rPr>
          <w:rFonts w:ascii="Times New Roman" w:eastAsia="Times New Roman" w:hAnsi="Times New Roman" w:cs="Times New Roman"/>
          <w:bCs/>
          <w:sz w:val="24"/>
          <w:szCs w:val="24"/>
        </w:rPr>
        <w:t xml:space="preserve">imi është zhvilluar </w:t>
      </w:r>
      <w:r w:rsidRPr="008B24FB">
        <w:rPr>
          <w:rFonts w:ascii="Times New Roman" w:eastAsia="Times New Roman" w:hAnsi="Times New Roman" w:cs="Times New Roman"/>
          <w:bCs/>
          <w:sz w:val="24"/>
          <w:szCs w:val="24"/>
        </w:rPr>
        <w:t>në mungesë nuk ka pasur mundësi të dëgjohe</w:t>
      </w:r>
      <w:r w:rsidR="004165CE" w:rsidRPr="008B24FB">
        <w:rPr>
          <w:rFonts w:ascii="Times New Roman" w:eastAsia="Times New Roman" w:hAnsi="Times New Roman" w:cs="Times New Roman"/>
          <w:bCs/>
          <w:sz w:val="24"/>
          <w:szCs w:val="24"/>
        </w:rPr>
        <w:t>t</w:t>
      </w:r>
      <w:r w:rsidRPr="008B24FB">
        <w:rPr>
          <w:rFonts w:ascii="Times New Roman" w:eastAsia="Times New Roman" w:hAnsi="Times New Roman" w:cs="Times New Roman"/>
          <w:bCs/>
          <w:sz w:val="24"/>
          <w:szCs w:val="24"/>
        </w:rPr>
        <w:t xml:space="preserve"> dhe të mbrohe</w:t>
      </w:r>
      <w:r w:rsidR="004165CE" w:rsidRPr="008B24FB">
        <w:rPr>
          <w:rFonts w:ascii="Times New Roman" w:eastAsia="Times New Roman" w:hAnsi="Times New Roman" w:cs="Times New Roman"/>
          <w:bCs/>
          <w:sz w:val="24"/>
          <w:szCs w:val="24"/>
        </w:rPr>
        <w:t>t,</w:t>
      </w:r>
      <w:r w:rsidRPr="008B24FB">
        <w:rPr>
          <w:rFonts w:ascii="Times New Roman" w:eastAsia="Times New Roman" w:hAnsi="Times New Roman" w:cs="Times New Roman"/>
          <w:bCs/>
          <w:sz w:val="24"/>
          <w:szCs w:val="24"/>
        </w:rPr>
        <w:t xml:space="preserve"> pasi megjithëse familjarët </w:t>
      </w:r>
      <w:r w:rsidR="004165CE" w:rsidRPr="008B24FB">
        <w:rPr>
          <w:rFonts w:ascii="Times New Roman" w:eastAsia="Times New Roman" w:hAnsi="Times New Roman" w:cs="Times New Roman"/>
          <w:bCs/>
          <w:sz w:val="24"/>
          <w:szCs w:val="24"/>
        </w:rPr>
        <w:t xml:space="preserve">e </w:t>
      </w:r>
      <w:r w:rsidRPr="008B24FB">
        <w:rPr>
          <w:rFonts w:ascii="Times New Roman" w:eastAsia="Times New Roman" w:hAnsi="Times New Roman" w:cs="Times New Roman"/>
          <w:bCs/>
          <w:sz w:val="24"/>
          <w:szCs w:val="24"/>
        </w:rPr>
        <w:t>kanë zgjedhur avokat</w:t>
      </w:r>
      <w:r w:rsidR="004165CE" w:rsidRPr="008B24FB">
        <w:rPr>
          <w:rFonts w:ascii="Times New Roman" w:eastAsia="Times New Roman" w:hAnsi="Times New Roman" w:cs="Times New Roman"/>
          <w:bCs/>
          <w:sz w:val="24"/>
          <w:szCs w:val="24"/>
        </w:rPr>
        <w:t>in me prokurë</w:t>
      </w:r>
      <w:r w:rsidRPr="008B24FB">
        <w:rPr>
          <w:rFonts w:ascii="Times New Roman" w:eastAsia="Times New Roman" w:hAnsi="Times New Roman" w:cs="Times New Roman"/>
          <w:bCs/>
          <w:sz w:val="24"/>
          <w:szCs w:val="24"/>
        </w:rPr>
        <w:t xml:space="preserve">, </w:t>
      </w:r>
      <w:r w:rsidR="004165CE" w:rsidRPr="008B24FB">
        <w:rPr>
          <w:rFonts w:ascii="Times New Roman" w:eastAsia="Times New Roman" w:hAnsi="Times New Roman" w:cs="Times New Roman"/>
          <w:bCs/>
          <w:sz w:val="24"/>
          <w:szCs w:val="24"/>
        </w:rPr>
        <w:t>ai nuk ka arritur t’i realizojë të drejtat e të pandehurit gjatë gjykimit</w:t>
      </w:r>
      <w:r w:rsidRPr="008B24FB">
        <w:rPr>
          <w:rFonts w:ascii="Times New Roman" w:eastAsia="Times New Roman" w:hAnsi="Times New Roman" w:cs="Times New Roman"/>
          <w:bCs/>
          <w:sz w:val="24"/>
          <w:szCs w:val="24"/>
        </w:rPr>
        <w:t xml:space="preserve">. </w:t>
      </w:r>
    </w:p>
    <w:p w:rsidR="00527D1C" w:rsidRDefault="002F2702" w:rsidP="00527D1C">
      <w:pPr>
        <w:spacing w:after="0" w:line="360" w:lineRule="auto"/>
        <w:ind w:left="1170" w:hanging="450"/>
        <w:jc w:val="both"/>
        <w:rPr>
          <w:rFonts w:ascii="Times New Roman" w:eastAsia="Times New Roman" w:hAnsi="Times New Roman" w:cs="Times New Roman"/>
          <w:bCs/>
          <w:sz w:val="24"/>
          <w:szCs w:val="24"/>
        </w:rPr>
      </w:pPr>
      <w:r w:rsidRPr="008B24FB">
        <w:rPr>
          <w:rFonts w:ascii="Times New Roman" w:eastAsia="Times New Roman" w:hAnsi="Times New Roman" w:cs="Times New Roman"/>
          <w:bCs/>
          <w:sz w:val="24"/>
          <w:szCs w:val="24"/>
        </w:rPr>
        <w:t xml:space="preserve">7.2 </w:t>
      </w:r>
      <w:r w:rsidR="004165CE" w:rsidRPr="008B24FB">
        <w:rPr>
          <w:rFonts w:ascii="Times New Roman" w:eastAsia="Times New Roman" w:hAnsi="Times New Roman" w:cs="Times New Roman"/>
          <w:bCs/>
          <w:sz w:val="24"/>
          <w:szCs w:val="24"/>
        </w:rPr>
        <w:t>Nuk është realizuar as e dre</w:t>
      </w:r>
      <w:r w:rsidRPr="008B24FB">
        <w:rPr>
          <w:rFonts w:ascii="Times New Roman" w:eastAsia="Times New Roman" w:hAnsi="Times New Roman" w:cs="Times New Roman"/>
          <w:bCs/>
          <w:sz w:val="24"/>
          <w:szCs w:val="24"/>
        </w:rPr>
        <w:t>jt</w:t>
      </w:r>
      <w:r w:rsidR="004165CE" w:rsidRPr="008B24FB">
        <w:rPr>
          <w:rFonts w:ascii="Times New Roman" w:eastAsia="Times New Roman" w:hAnsi="Times New Roman" w:cs="Times New Roman"/>
          <w:bCs/>
          <w:sz w:val="24"/>
          <w:szCs w:val="24"/>
        </w:rPr>
        <w:t>a</w:t>
      </w:r>
      <w:r w:rsidRPr="008B24FB">
        <w:rPr>
          <w:rFonts w:ascii="Times New Roman" w:eastAsia="Times New Roman" w:hAnsi="Times New Roman" w:cs="Times New Roman"/>
          <w:bCs/>
          <w:sz w:val="24"/>
          <w:szCs w:val="24"/>
        </w:rPr>
        <w:t xml:space="preserve"> e ankimit</w:t>
      </w:r>
      <w:r w:rsidR="004165CE" w:rsidRPr="008B24FB">
        <w:rPr>
          <w:rFonts w:ascii="Times New Roman" w:eastAsia="Times New Roman" w:hAnsi="Times New Roman" w:cs="Times New Roman"/>
          <w:bCs/>
          <w:sz w:val="24"/>
          <w:szCs w:val="24"/>
        </w:rPr>
        <w:t xml:space="preserve">, pasi </w:t>
      </w:r>
      <w:r w:rsidR="0087479A">
        <w:rPr>
          <w:rFonts w:ascii="Times New Roman" w:eastAsia="Times New Roman" w:hAnsi="Times New Roman" w:cs="Times New Roman"/>
          <w:bCs/>
          <w:sz w:val="24"/>
          <w:szCs w:val="24"/>
        </w:rPr>
        <w:t xml:space="preserve">kërkuesi </w:t>
      </w:r>
      <w:r w:rsidR="004165CE" w:rsidRPr="008B24FB">
        <w:rPr>
          <w:rFonts w:ascii="Times New Roman" w:eastAsia="Times New Roman" w:hAnsi="Times New Roman" w:cs="Times New Roman"/>
          <w:bCs/>
          <w:sz w:val="24"/>
          <w:szCs w:val="24"/>
        </w:rPr>
        <w:t>nuk ka pasur dijeni për procesin e zhvilluar ndaj tij</w:t>
      </w:r>
      <w:r w:rsidRPr="008B24FB">
        <w:rPr>
          <w:rFonts w:ascii="Times New Roman" w:eastAsia="Times New Roman" w:hAnsi="Times New Roman" w:cs="Times New Roman"/>
          <w:bCs/>
          <w:sz w:val="24"/>
          <w:szCs w:val="24"/>
        </w:rPr>
        <w:t>.</w:t>
      </w:r>
    </w:p>
    <w:p w:rsidR="00527D1C" w:rsidRDefault="00527D1C" w:rsidP="00527D1C">
      <w:pPr>
        <w:spacing w:after="0" w:line="360" w:lineRule="auto"/>
        <w:jc w:val="both"/>
        <w:rPr>
          <w:rFonts w:ascii="Times New Roman" w:eastAsia="Times New Roman" w:hAnsi="Times New Roman" w:cs="Times New Roman"/>
          <w:bCs/>
          <w:sz w:val="24"/>
          <w:szCs w:val="24"/>
        </w:rPr>
      </w:pPr>
    </w:p>
    <w:p w:rsidR="00527D1C" w:rsidRDefault="00591FA5" w:rsidP="00527D1C">
      <w:pPr>
        <w:spacing w:after="0" w:line="360" w:lineRule="auto"/>
        <w:jc w:val="center"/>
        <w:rPr>
          <w:rFonts w:ascii="Times New Roman" w:eastAsia="Times New Roman" w:hAnsi="Times New Roman" w:cs="Times New Roman"/>
          <w:bCs/>
          <w:sz w:val="24"/>
          <w:szCs w:val="24"/>
        </w:rPr>
      </w:pPr>
      <w:r w:rsidRPr="008B24FB">
        <w:rPr>
          <w:rFonts w:ascii="Times New Roman" w:eastAsia="MS Mincho" w:hAnsi="Times New Roman" w:cs="Times New Roman"/>
          <w:b/>
          <w:bCs/>
          <w:kern w:val="28"/>
          <w:sz w:val="24"/>
          <w:szCs w:val="24"/>
        </w:rPr>
        <w:t>III</w:t>
      </w:r>
    </w:p>
    <w:p w:rsidR="00591FA5" w:rsidRPr="00527D1C" w:rsidRDefault="00591FA5" w:rsidP="00527D1C">
      <w:pPr>
        <w:spacing w:after="0" w:line="360" w:lineRule="auto"/>
        <w:jc w:val="center"/>
        <w:rPr>
          <w:rFonts w:ascii="Times New Roman" w:eastAsia="Times New Roman" w:hAnsi="Times New Roman" w:cs="Times New Roman"/>
          <w:bCs/>
          <w:sz w:val="24"/>
          <w:szCs w:val="24"/>
        </w:rPr>
      </w:pPr>
      <w:r w:rsidRPr="008B24FB">
        <w:rPr>
          <w:rFonts w:ascii="Times New Roman" w:eastAsia="MS Mincho" w:hAnsi="Times New Roman" w:cs="Times New Roman"/>
          <w:b/>
          <w:sz w:val="24"/>
          <w:szCs w:val="24"/>
        </w:rPr>
        <w:t xml:space="preserve">Vlerësimi i </w:t>
      </w:r>
      <w:r w:rsidR="0087479A">
        <w:rPr>
          <w:rFonts w:ascii="Times New Roman" w:eastAsia="MS Mincho" w:hAnsi="Times New Roman" w:cs="Times New Roman"/>
          <w:b/>
          <w:sz w:val="24"/>
          <w:szCs w:val="24"/>
        </w:rPr>
        <w:t>Mbledhjes së Gjyqtarëve</w:t>
      </w:r>
    </w:p>
    <w:p w:rsidR="00591FA5" w:rsidRPr="008B24FB" w:rsidRDefault="00591FA5" w:rsidP="00591FA5">
      <w:pPr>
        <w:tabs>
          <w:tab w:val="left" w:pos="567"/>
          <w:tab w:val="left" w:pos="1080"/>
        </w:tabs>
        <w:spacing w:after="0" w:line="360" w:lineRule="auto"/>
        <w:ind w:left="720"/>
        <w:jc w:val="both"/>
        <w:rPr>
          <w:rFonts w:ascii="Times New Roman" w:eastAsia="MS Mincho" w:hAnsi="Times New Roman" w:cs="Times New Roman"/>
          <w:i/>
          <w:sz w:val="24"/>
          <w:szCs w:val="24"/>
        </w:rPr>
      </w:pPr>
      <w:r w:rsidRPr="008B24FB">
        <w:rPr>
          <w:rFonts w:ascii="Times New Roman" w:eastAsia="MS Mincho" w:hAnsi="Times New Roman" w:cs="Times New Roman"/>
          <w:i/>
          <w:sz w:val="24"/>
          <w:szCs w:val="24"/>
        </w:rPr>
        <w:lastRenderedPageBreak/>
        <w:t xml:space="preserve">A. Për legjitimimin e </w:t>
      </w:r>
      <w:r w:rsidR="0087479A" w:rsidRPr="008B24FB">
        <w:rPr>
          <w:rFonts w:ascii="Times New Roman" w:eastAsia="MS Mincho" w:hAnsi="Times New Roman" w:cs="Times New Roman"/>
          <w:i/>
          <w:sz w:val="24"/>
          <w:szCs w:val="24"/>
        </w:rPr>
        <w:t>kërkues</w:t>
      </w:r>
      <w:r w:rsidR="0087479A">
        <w:rPr>
          <w:rFonts w:ascii="Times New Roman" w:eastAsia="MS Mincho" w:hAnsi="Times New Roman" w:cs="Times New Roman"/>
          <w:i/>
          <w:sz w:val="24"/>
          <w:szCs w:val="24"/>
        </w:rPr>
        <w:t>it</w:t>
      </w:r>
    </w:p>
    <w:p w:rsidR="002F2702" w:rsidRPr="008B24FB" w:rsidRDefault="002F2702" w:rsidP="002F2702">
      <w:pPr>
        <w:tabs>
          <w:tab w:val="left" w:pos="0"/>
        </w:tabs>
        <w:spacing w:after="0" w:line="360" w:lineRule="auto"/>
        <w:ind w:firstLine="720"/>
        <w:jc w:val="both"/>
        <w:rPr>
          <w:rFonts w:ascii="Times New Roman" w:eastAsia="Times New Roman" w:hAnsi="Times New Roman" w:cs="Times New Roman"/>
          <w:sz w:val="24"/>
          <w:szCs w:val="24"/>
        </w:rPr>
      </w:pPr>
      <w:r w:rsidRPr="008B24FB">
        <w:rPr>
          <w:rFonts w:ascii="Times New Roman" w:eastAsia="Calibri" w:hAnsi="Times New Roman" w:cs="Times New Roman"/>
          <w:sz w:val="24"/>
          <w:szCs w:val="24"/>
          <w:lang w:eastAsia="fr-FR"/>
        </w:rPr>
        <w:t xml:space="preserve">8. </w:t>
      </w:r>
      <w:r w:rsidRPr="008B24FB">
        <w:rPr>
          <w:rFonts w:ascii="Times New Roman" w:eastAsia="Times New Roman" w:hAnsi="Times New Roman" w:cs="Times New Roman"/>
          <w:sz w:val="24"/>
          <w:szCs w:val="24"/>
        </w:rPr>
        <w:t xml:space="preserve"> </w:t>
      </w:r>
      <w:r w:rsidRPr="008B24FB">
        <w:rPr>
          <w:rFonts w:ascii="Times New Roman" w:eastAsia="Times New Roman" w:hAnsi="Times New Roman" w:cs="Times New Roman"/>
          <w:bCs/>
          <w:sz w:val="24"/>
          <w:szCs w:val="24"/>
        </w:rPr>
        <w:t>K</w:t>
      </w:r>
      <w:r w:rsidRPr="008B24FB">
        <w:rPr>
          <w:rFonts w:ascii="Times New Roman" w:eastAsia="Times New Roman" w:hAnsi="Times New Roman" w:cs="Times New Roman"/>
          <w:sz w:val="24"/>
          <w:szCs w:val="24"/>
        </w:rPr>
        <w:t xml:space="preserve">ërkuesi legjitimohet </w:t>
      </w:r>
      <w:r w:rsidRPr="008B24FB">
        <w:rPr>
          <w:rFonts w:ascii="Times New Roman" w:eastAsia="Times New Roman" w:hAnsi="Times New Roman" w:cs="Times New Roman"/>
          <w:i/>
          <w:sz w:val="24"/>
          <w:szCs w:val="24"/>
        </w:rPr>
        <w:t>ratione personae dhe ratione temporis</w:t>
      </w:r>
      <w:r w:rsidRPr="008B24FB">
        <w:rPr>
          <w:rFonts w:ascii="Times New Roman" w:eastAsia="Times New Roman" w:hAnsi="Times New Roman" w:cs="Times New Roman"/>
          <w:sz w:val="24"/>
          <w:szCs w:val="24"/>
        </w:rPr>
        <w:t xml:space="preserve">, pasi parashikohet si subjekt nga neni 134/1/i i Kushtetutës, ka interes të drejtpërdrejt në çështjen gjyqësore dhe është brenda afatit ligjor. </w:t>
      </w:r>
    </w:p>
    <w:p w:rsidR="002F2702" w:rsidRPr="008B24FB" w:rsidRDefault="002F2702" w:rsidP="00E00837">
      <w:pPr>
        <w:tabs>
          <w:tab w:val="left" w:pos="0"/>
        </w:tabs>
        <w:spacing w:after="0" w:line="360" w:lineRule="auto"/>
        <w:ind w:firstLine="720"/>
        <w:jc w:val="both"/>
        <w:rPr>
          <w:rFonts w:ascii="Times New Roman" w:eastAsia="Times New Roman" w:hAnsi="Times New Roman" w:cs="Times New Roman"/>
          <w:sz w:val="24"/>
          <w:szCs w:val="24"/>
        </w:rPr>
      </w:pPr>
      <w:r w:rsidRPr="008B24FB">
        <w:rPr>
          <w:rFonts w:ascii="Times New Roman" w:eastAsia="Times New Roman" w:hAnsi="Times New Roman" w:cs="Times New Roman"/>
          <w:sz w:val="24"/>
          <w:szCs w:val="24"/>
        </w:rPr>
        <w:t xml:space="preserve">9. </w:t>
      </w:r>
      <w:r w:rsidR="00E00837" w:rsidRPr="008B24FB">
        <w:rPr>
          <w:rFonts w:ascii="Times New Roman" w:eastAsia="Times New Roman" w:hAnsi="Times New Roman" w:cs="Times New Roman"/>
          <w:sz w:val="24"/>
          <w:szCs w:val="24"/>
        </w:rPr>
        <w:t>Mbledhja e Gjyqtarëve</w:t>
      </w:r>
      <w:r w:rsidRPr="008B24FB">
        <w:rPr>
          <w:rFonts w:ascii="Times New Roman" w:eastAsia="Times New Roman" w:hAnsi="Times New Roman" w:cs="Times New Roman"/>
          <w:sz w:val="24"/>
          <w:szCs w:val="24"/>
        </w:rPr>
        <w:t>, referuar vendimeve gjyqësore, konstaton se kërkuesi është gjykuar në mungesë dhe se gjatë gjykimit ai ka qenë i përfaqësuar nga avokati i zgjedhur nga familja e tij. Për këtë arsye, kërkuesi ka bërë kërkesë për rivendosje</w:t>
      </w:r>
      <w:r w:rsidR="0087479A">
        <w:rPr>
          <w:rFonts w:ascii="Times New Roman" w:eastAsia="Times New Roman" w:hAnsi="Times New Roman" w:cs="Times New Roman"/>
          <w:sz w:val="24"/>
          <w:szCs w:val="24"/>
        </w:rPr>
        <w:t>n</w:t>
      </w:r>
      <w:r w:rsidRPr="008B24FB">
        <w:rPr>
          <w:rFonts w:ascii="Times New Roman" w:eastAsia="Times New Roman" w:hAnsi="Times New Roman" w:cs="Times New Roman"/>
          <w:sz w:val="24"/>
          <w:szCs w:val="24"/>
        </w:rPr>
        <w:t xml:space="preserve"> në afat të së drejtës së ankimit ndaj vendimit penal dhe ky proces është ende i papërfunduar. </w:t>
      </w:r>
    </w:p>
    <w:p w:rsidR="002F2702" w:rsidRPr="008B24FB" w:rsidRDefault="002F2702" w:rsidP="002F2702">
      <w:pPr>
        <w:tabs>
          <w:tab w:val="left" w:pos="0"/>
        </w:tabs>
        <w:spacing w:after="0" w:line="360" w:lineRule="auto"/>
        <w:ind w:firstLine="720"/>
        <w:jc w:val="both"/>
        <w:rPr>
          <w:rFonts w:ascii="Times New Roman" w:eastAsia="Times New Roman" w:hAnsi="Times New Roman" w:cs="Times New Roman"/>
          <w:sz w:val="24"/>
          <w:szCs w:val="24"/>
          <w:lang w:eastAsia="fr-FR"/>
        </w:rPr>
      </w:pPr>
      <w:r w:rsidRPr="008B24FB">
        <w:rPr>
          <w:rFonts w:ascii="Times New Roman" w:eastAsia="Times New Roman" w:hAnsi="Times New Roman" w:cs="Times New Roman"/>
          <w:sz w:val="24"/>
          <w:szCs w:val="24"/>
        </w:rPr>
        <w:t>10</w:t>
      </w:r>
      <w:r w:rsidRPr="008B24FB">
        <w:rPr>
          <w:rFonts w:ascii="Times New Roman" w:eastAsia="Times New Roman" w:hAnsi="Times New Roman" w:cs="Times New Roman"/>
          <w:sz w:val="24"/>
          <w:szCs w:val="24"/>
          <w:lang w:eastAsia="fr-FR"/>
        </w:rPr>
        <w:t xml:space="preserve">. Nisur nga ky fakt, </w:t>
      </w:r>
      <w:r w:rsidR="00E00837" w:rsidRPr="008B24FB">
        <w:rPr>
          <w:rFonts w:ascii="Times New Roman" w:eastAsia="Times New Roman" w:hAnsi="Times New Roman" w:cs="Times New Roman"/>
          <w:sz w:val="24"/>
          <w:szCs w:val="24"/>
          <w:lang w:eastAsia="fr-FR"/>
        </w:rPr>
        <w:t>Mbledhja e Gjyqtarëve</w:t>
      </w:r>
      <w:r w:rsidRPr="008B24FB">
        <w:rPr>
          <w:rFonts w:ascii="Times New Roman" w:eastAsia="Times New Roman" w:hAnsi="Times New Roman" w:cs="Times New Roman"/>
          <w:sz w:val="24"/>
          <w:szCs w:val="24"/>
          <w:lang w:eastAsia="fr-FR"/>
        </w:rPr>
        <w:t xml:space="preserve"> vlerëson se duke qenë se kërkesa për rivendosje në afat është në pritje për t’u shqyrtuar nga Kolegji Penal i Gjykatës së Lartë, nuk janë shteruar ende mjetet juridike të parashikuara nga legjislacioni në fuqi para se </w:t>
      </w:r>
      <w:r w:rsidR="0087479A">
        <w:rPr>
          <w:rFonts w:ascii="Times New Roman" w:eastAsia="Times New Roman" w:hAnsi="Times New Roman" w:cs="Times New Roman"/>
          <w:sz w:val="24"/>
          <w:szCs w:val="24"/>
          <w:lang w:eastAsia="fr-FR"/>
        </w:rPr>
        <w:t xml:space="preserve">kërkuesi </w:t>
      </w:r>
      <w:r w:rsidRPr="008B24FB">
        <w:rPr>
          <w:rFonts w:ascii="Times New Roman" w:eastAsia="Times New Roman" w:hAnsi="Times New Roman" w:cs="Times New Roman"/>
          <w:sz w:val="24"/>
          <w:szCs w:val="24"/>
          <w:lang w:eastAsia="fr-FR"/>
        </w:rPr>
        <w:t>t’i drejtohet me kërkesë kësaj Gjykate.</w:t>
      </w:r>
    </w:p>
    <w:p w:rsidR="00527D1C" w:rsidRDefault="002F2702" w:rsidP="00527D1C">
      <w:pPr>
        <w:tabs>
          <w:tab w:val="left" w:pos="0"/>
        </w:tabs>
        <w:spacing w:after="0" w:line="360" w:lineRule="auto"/>
        <w:ind w:firstLine="720"/>
        <w:jc w:val="both"/>
        <w:rPr>
          <w:rFonts w:ascii="Times New Roman" w:eastAsia="MS Mincho" w:hAnsi="Times New Roman" w:cs="Times New Roman"/>
          <w:sz w:val="24"/>
          <w:szCs w:val="24"/>
        </w:rPr>
      </w:pPr>
      <w:r w:rsidRPr="008B24FB">
        <w:rPr>
          <w:rFonts w:ascii="Times New Roman" w:eastAsia="Times New Roman" w:hAnsi="Times New Roman" w:cs="Times New Roman"/>
          <w:sz w:val="24"/>
          <w:szCs w:val="24"/>
          <w:lang w:eastAsia="fr-FR"/>
        </w:rPr>
        <w:t>11.</w:t>
      </w:r>
      <w:r w:rsidR="00591FA5" w:rsidRPr="008B24FB">
        <w:rPr>
          <w:rFonts w:ascii="Times New Roman" w:hAnsi="Times New Roman" w:cs="Times New Roman"/>
          <w:sz w:val="24"/>
          <w:szCs w:val="24"/>
        </w:rPr>
        <w:t xml:space="preserve"> </w:t>
      </w:r>
      <w:r w:rsidR="00591FA5" w:rsidRPr="008B24FB">
        <w:rPr>
          <w:rFonts w:ascii="Times New Roman" w:hAnsi="Times New Roman" w:cs="Times New Roman"/>
          <w:bCs/>
          <w:color w:val="000000"/>
          <w:sz w:val="24"/>
          <w:szCs w:val="24"/>
        </w:rPr>
        <w:t xml:space="preserve">Për sa më lart, </w:t>
      </w:r>
      <w:r w:rsidR="00E00837" w:rsidRPr="008B24FB">
        <w:rPr>
          <w:rFonts w:ascii="Times New Roman" w:hAnsi="Times New Roman" w:cs="Times New Roman"/>
          <w:bCs/>
          <w:color w:val="000000"/>
          <w:sz w:val="24"/>
          <w:szCs w:val="24"/>
        </w:rPr>
        <w:t xml:space="preserve">Mbledhja e Gjyqtarëve </w:t>
      </w:r>
      <w:r w:rsidR="00591FA5" w:rsidRPr="008B24FB">
        <w:rPr>
          <w:rFonts w:ascii="Times New Roman" w:hAnsi="Times New Roman" w:cs="Times New Roman"/>
          <w:bCs/>
          <w:color w:val="000000"/>
          <w:sz w:val="24"/>
          <w:szCs w:val="24"/>
        </w:rPr>
        <w:t>arrin në përfundimin se k</w:t>
      </w:r>
      <w:r w:rsidR="00591FA5" w:rsidRPr="008B24FB">
        <w:rPr>
          <w:rFonts w:ascii="Times New Roman" w:eastAsia="MS Mincho" w:hAnsi="Times New Roman" w:cs="Times New Roman"/>
          <w:sz w:val="24"/>
          <w:szCs w:val="24"/>
        </w:rPr>
        <w:t>ërk</w:t>
      </w:r>
      <w:r w:rsidRPr="008B24FB">
        <w:rPr>
          <w:rFonts w:ascii="Times New Roman" w:eastAsia="MS Mincho" w:hAnsi="Times New Roman" w:cs="Times New Roman"/>
          <w:sz w:val="24"/>
          <w:szCs w:val="24"/>
        </w:rPr>
        <w:t>esa nuk përmbush kushtet dhe kriteret formale të parashikuara nga ligji për t’u shqyrtuar në seancë.</w:t>
      </w:r>
    </w:p>
    <w:p w:rsidR="00527D1C" w:rsidRDefault="00527D1C" w:rsidP="00527D1C">
      <w:pPr>
        <w:tabs>
          <w:tab w:val="left" w:pos="0"/>
        </w:tabs>
        <w:spacing w:after="0" w:line="360" w:lineRule="auto"/>
        <w:jc w:val="both"/>
        <w:rPr>
          <w:rFonts w:ascii="Times New Roman" w:eastAsia="MS Mincho" w:hAnsi="Times New Roman" w:cs="Times New Roman"/>
          <w:sz w:val="24"/>
          <w:szCs w:val="24"/>
        </w:rPr>
      </w:pPr>
    </w:p>
    <w:p w:rsidR="00527D1C" w:rsidRDefault="00591FA5" w:rsidP="00527D1C">
      <w:pPr>
        <w:tabs>
          <w:tab w:val="left" w:pos="0"/>
        </w:tabs>
        <w:spacing w:after="0" w:line="360" w:lineRule="auto"/>
        <w:jc w:val="center"/>
        <w:rPr>
          <w:rFonts w:ascii="Times New Roman" w:hAnsi="Times New Roman" w:cs="Times New Roman"/>
          <w:bCs/>
          <w:sz w:val="24"/>
          <w:szCs w:val="24"/>
        </w:rPr>
      </w:pPr>
      <w:r w:rsidRPr="008B24FB">
        <w:rPr>
          <w:rFonts w:ascii="Times New Roman" w:eastAsia="Times New Roman" w:hAnsi="Times New Roman" w:cs="Times New Roman"/>
          <w:b/>
          <w:sz w:val="24"/>
          <w:szCs w:val="24"/>
        </w:rPr>
        <w:t>PËR KËTO ARSYE,</w:t>
      </w:r>
    </w:p>
    <w:p w:rsidR="00527D1C" w:rsidRDefault="00527D1C" w:rsidP="00527D1C">
      <w:pPr>
        <w:tabs>
          <w:tab w:val="left" w:pos="0"/>
        </w:tabs>
        <w:spacing w:after="0"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rPr>
        <w:tab/>
      </w:r>
      <w:r w:rsidR="00591FA5" w:rsidRPr="008B24FB">
        <w:rPr>
          <w:rFonts w:ascii="Times New Roman" w:eastAsia="Times New Roman" w:hAnsi="Times New Roman" w:cs="Times New Roman"/>
          <w:sz w:val="24"/>
          <w:szCs w:val="24"/>
        </w:rPr>
        <w:t>Kolegji i Gjykatës Kushtetuese të Republikës së Shqipërisë, në bazë të neneve</w:t>
      </w:r>
      <w:r w:rsidR="002F2702" w:rsidRPr="008B24FB">
        <w:rPr>
          <w:rFonts w:ascii="Times New Roman" w:eastAsia="Times New Roman" w:hAnsi="Times New Roman" w:cs="Times New Roman"/>
          <w:sz w:val="24"/>
          <w:szCs w:val="24"/>
        </w:rPr>
        <w:t xml:space="preserve"> 31 dhe 31/a, paragrafi 2, shkronja “d” </w:t>
      </w:r>
      <w:r w:rsidR="00591FA5" w:rsidRPr="008B24FB">
        <w:rPr>
          <w:rFonts w:ascii="Times New Roman" w:eastAsia="Times New Roman" w:hAnsi="Times New Roman" w:cs="Times New Roman"/>
          <w:sz w:val="24"/>
          <w:szCs w:val="24"/>
        </w:rPr>
        <w:t>të ligjit nr.8577, datë 10.02.2000 “Për organizimin dhe funksionimin e Gjykatës Kushtetuese të Republikës së Shqipërisë”, të ndryshuar,</w:t>
      </w:r>
    </w:p>
    <w:p w:rsidR="00527D1C" w:rsidRDefault="00527D1C" w:rsidP="00527D1C">
      <w:pPr>
        <w:tabs>
          <w:tab w:val="left" w:pos="0"/>
        </w:tabs>
        <w:spacing w:after="0" w:line="360" w:lineRule="auto"/>
        <w:jc w:val="both"/>
        <w:rPr>
          <w:rFonts w:ascii="Times New Roman" w:hAnsi="Times New Roman" w:cs="Times New Roman"/>
          <w:bCs/>
          <w:sz w:val="24"/>
          <w:szCs w:val="24"/>
        </w:rPr>
      </w:pPr>
    </w:p>
    <w:p w:rsidR="00527D1C" w:rsidRDefault="00591FA5" w:rsidP="00527D1C">
      <w:pPr>
        <w:tabs>
          <w:tab w:val="left" w:pos="0"/>
        </w:tabs>
        <w:spacing w:after="0" w:line="360" w:lineRule="auto"/>
        <w:jc w:val="center"/>
        <w:rPr>
          <w:rFonts w:ascii="Times New Roman" w:hAnsi="Times New Roman" w:cs="Times New Roman"/>
          <w:bCs/>
          <w:sz w:val="24"/>
          <w:szCs w:val="24"/>
        </w:rPr>
      </w:pPr>
      <w:r w:rsidRPr="008B24FB">
        <w:rPr>
          <w:rFonts w:ascii="Times New Roman" w:eastAsia="Times New Roman" w:hAnsi="Times New Roman" w:cs="Times New Roman"/>
          <w:b/>
          <w:sz w:val="24"/>
          <w:szCs w:val="24"/>
        </w:rPr>
        <w:t>V E N D O S I:</w:t>
      </w:r>
    </w:p>
    <w:p w:rsidR="00EB2A99" w:rsidRPr="00527D1C" w:rsidRDefault="00591FA5" w:rsidP="00EB2A99">
      <w:pPr>
        <w:pStyle w:val="ListParagraph"/>
        <w:numPr>
          <w:ilvl w:val="0"/>
          <w:numId w:val="3"/>
        </w:numPr>
        <w:tabs>
          <w:tab w:val="left" w:pos="0"/>
        </w:tabs>
        <w:spacing w:after="0" w:line="240" w:lineRule="auto"/>
        <w:jc w:val="both"/>
        <w:rPr>
          <w:rFonts w:ascii="Times New Roman" w:eastAsia="Times New Roman" w:hAnsi="Times New Roman" w:cs="Times New Roman"/>
          <w:sz w:val="24"/>
          <w:szCs w:val="24"/>
        </w:rPr>
      </w:pPr>
      <w:r w:rsidRPr="00527D1C">
        <w:rPr>
          <w:rFonts w:ascii="Times New Roman" w:eastAsia="Times New Roman" w:hAnsi="Times New Roman" w:cs="Times New Roman"/>
          <w:sz w:val="24"/>
          <w:szCs w:val="24"/>
        </w:rPr>
        <w:t>Moskalimin e çështjes për shqyrtim në seancë plenare.</w:t>
      </w:r>
    </w:p>
    <w:p w:rsidR="00591FA5" w:rsidRPr="008B24FB" w:rsidRDefault="00591FA5" w:rsidP="00EB2A99">
      <w:pPr>
        <w:spacing w:after="0" w:line="360" w:lineRule="auto"/>
        <w:jc w:val="center"/>
        <w:rPr>
          <w:rFonts w:ascii="Times New Roman" w:eastAsia="Times New Roman" w:hAnsi="Times New Roman" w:cs="Times New Roman"/>
          <w:sz w:val="24"/>
          <w:szCs w:val="24"/>
        </w:rPr>
      </w:pPr>
    </w:p>
    <w:p w:rsidR="00591FA5" w:rsidRDefault="00591FA5" w:rsidP="00591FA5"/>
    <w:p w:rsidR="00B75F6C" w:rsidRDefault="00B75F6C" w:rsidP="00591FA5"/>
    <w:p w:rsidR="00B75F6C" w:rsidRDefault="00B75F6C" w:rsidP="00591FA5"/>
    <w:p w:rsidR="00B75F6C" w:rsidRDefault="00B75F6C" w:rsidP="00591FA5"/>
    <w:p w:rsidR="00B75F6C" w:rsidRDefault="00B75F6C" w:rsidP="00591FA5"/>
    <w:p w:rsidR="00B75F6C" w:rsidRDefault="00B75F6C" w:rsidP="00591FA5"/>
    <w:p w:rsidR="00B75F6C" w:rsidRDefault="00B75F6C" w:rsidP="00591FA5"/>
    <w:p w:rsidR="00B75F6C" w:rsidRDefault="00B75F6C" w:rsidP="00591FA5"/>
    <w:p w:rsidR="009B7279" w:rsidRDefault="009B7279" w:rsidP="00B75F6C">
      <w:pPr>
        <w:tabs>
          <w:tab w:val="left" w:pos="1080"/>
        </w:tabs>
        <w:spacing w:after="0" w:line="360" w:lineRule="auto"/>
        <w:ind w:left="540"/>
        <w:jc w:val="center"/>
        <w:rPr>
          <w:rFonts w:ascii="Times New Roman" w:eastAsia="MS Mincho" w:hAnsi="Times New Roman"/>
          <w:b/>
          <w:sz w:val="24"/>
          <w:szCs w:val="24"/>
        </w:rPr>
      </w:pPr>
    </w:p>
    <w:p w:rsidR="00B75F6C" w:rsidRPr="002C2DC6" w:rsidRDefault="00B75F6C" w:rsidP="00B75F6C">
      <w:pPr>
        <w:tabs>
          <w:tab w:val="left" w:pos="1080"/>
        </w:tabs>
        <w:spacing w:after="0" w:line="360" w:lineRule="auto"/>
        <w:ind w:left="540"/>
        <w:jc w:val="center"/>
        <w:rPr>
          <w:rFonts w:ascii="Times New Roman" w:eastAsia="MS Mincho" w:hAnsi="Times New Roman"/>
          <w:b/>
          <w:sz w:val="24"/>
          <w:szCs w:val="24"/>
        </w:rPr>
      </w:pPr>
      <w:r w:rsidRPr="002C2DC6">
        <w:rPr>
          <w:rFonts w:ascii="Times New Roman" w:eastAsia="MS Mincho" w:hAnsi="Times New Roman"/>
          <w:b/>
          <w:sz w:val="24"/>
          <w:szCs w:val="24"/>
        </w:rPr>
        <w:lastRenderedPageBreak/>
        <w:t>MENDIM PAKICE</w:t>
      </w:r>
    </w:p>
    <w:p w:rsidR="009B7279" w:rsidRDefault="009B7279" w:rsidP="00B75F6C">
      <w:pPr>
        <w:tabs>
          <w:tab w:val="left" w:pos="450"/>
          <w:tab w:val="left" w:pos="1080"/>
        </w:tabs>
        <w:spacing w:after="0" w:line="360" w:lineRule="auto"/>
        <w:jc w:val="both"/>
        <w:rPr>
          <w:rFonts w:ascii="Times New Roman" w:eastAsia="MS Mincho" w:hAnsi="Times New Roman"/>
          <w:sz w:val="24"/>
          <w:szCs w:val="24"/>
        </w:rPr>
      </w:pPr>
    </w:p>
    <w:p w:rsidR="00B75F6C" w:rsidRPr="002C2DC6" w:rsidRDefault="00B75F6C" w:rsidP="00B75F6C">
      <w:pPr>
        <w:tabs>
          <w:tab w:val="left" w:pos="450"/>
          <w:tab w:val="left" w:pos="1080"/>
        </w:tabs>
        <w:spacing w:after="0" w:line="360" w:lineRule="auto"/>
        <w:jc w:val="both"/>
        <w:rPr>
          <w:rFonts w:ascii="Times New Roman" w:eastAsia="MS Mincho" w:hAnsi="Times New Roman"/>
          <w:sz w:val="24"/>
          <w:szCs w:val="24"/>
        </w:rPr>
      </w:pPr>
      <w:r w:rsidRPr="002C2DC6">
        <w:rPr>
          <w:rFonts w:ascii="Times New Roman" w:eastAsia="MS Mincho" w:hAnsi="Times New Roman"/>
          <w:sz w:val="24"/>
          <w:szCs w:val="24"/>
        </w:rPr>
        <w:tab/>
        <w:t>Në çështjen konkrete e çmoj të rëndësishme të shprehem me mendim pakice, sepse  nuk ndaj të njëjtin qëndrim me shumicën lidhur me mospranimin e kërkesës së kërkuesit David Gjokeja.</w:t>
      </w:r>
    </w:p>
    <w:p w:rsidR="00B75F6C" w:rsidRPr="002C2DC6" w:rsidRDefault="00B75F6C" w:rsidP="00B75F6C">
      <w:pPr>
        <w:numPr>
          <w:ilvl w:val="0"/>
          <w:numId w:val="2"/>
        </w:numPr>
        <w:tabs>
          <w:tab w:val="left" w:pos="810"/>
        </w:tabs>
        <w:spacing w:after="0" w:line="360" w:lineRule="auto"/>
        <w:ind w:left="0" w:firstLine="540"/>
        <w:jc w:val="both"/>
        <w:rPr>
          <w:rFonts w:ascii="Times New Roman" w:eastAsia="MS Mincho" w:hAnsi="Times New Roman"/>
          <w:sz w:val="24"/>
          <w:szCs w:val="24"/>
        </w:rPr>
      </w:pPr>
      <w:r w:rsidRPr="002C2DC6">
        <w:rPr>
          <w:rFonts w:ascii="Times New Roman" w:hAnsi="Times New Roman"/>
          <w:sz w:val="24"/>
          <w:szCs w:val="24"/>
        </w:rPr>
        <w:t>Nga rrethanat e çështjes konstatohet se kërkuesi pas kthimit në Shqipëri nga autoritetet greke në datën 19.03.2016 ka paraqitur kërkesë për rivendosjen në afat të së drejtës së ankimit ndaj vendimit nr.207, datë 14.04.2009 të Gjykatës së Rrethit Gjyqësor Durrës. Kjo e fundit ka vendosur mospranimin e kërkesës, vendim i cili është lënë në fuqi edhe nga Gjykata e Apelit Durrës. Kë</w:t>
      </w:r>
      <w:r>
        <w:rPr>
          <w:rFonts w:ascii="Times New Roman" w:hAnsi="Times New Roman"/>
          <w:sz w:val="24"/>
          <w:szCs w:val="24"/>
        </w:rPr>
        <w:t>rkuesi ka paraqitur rekurs</w:t>
      </w:r>
      <w:r w:rsidRPr="002C2DC6">
        <w:rPr>
          <w:rFonts w:ascii="Times New Roman" w:hAnsi="Times New Roman"/>
          <w:sz w:val="24"/>
          <w:szCs w:val="24"/>
        </w:rPr>
        <w:t xml:space="preserve"> në lidhje me të cilin nuk ka ende një vendim nga Gjykata e Lartë. Pavarësisht procesit të rivendosjes në afat të së drejtës së ankimit</w:t>
      </w:r>
      <w:r>
        <w:rPr>
          <w:rFonts w:ascii="Times New Roman" w:hAnsi="Times New Roman"/>
          <w:sz w:val="24"/>
          <w:szCs w:val="24"/>
        </w:rPr>
        <w:t>,</w:t>
      </w:r>
      <w:r w:rsidRPr="002C2DC6">
        <w:rPr>
          <w:rFonts w:ascii="Times New Roman" w:hAnsi="Times New Roman"/>
          <w:sz w:val="24"/>
          <w:szCs w:val="24"/>
        </w:rPr>
        <w:t xml:space="preserve"> kërkuesi i është drejtuar edhe Gjykatës Kushtetuese duke kërkuar shfuqizimin e vendimeve gjyqësore penale, me pretendimin se për shkak të gjykimit në mungesë, si rezultat i mosmarrjes dijeni efektivisht në lidhje me zhvillimin e procesit penal, atij i është cenuar e drejta kushtetuese për t’u dëgjuar e për t’u mbrojtur</w:t>
      </w:r>
      <w:r>
        <w:rPr>
          <w:rFonts w:ascii="Times New Roman" w:hAnsi="Times New Roman"/>
          <w:sz w:val="24"/>
          <w:szCs w:val="24"/>
        </w:rPr>
        <w:t>,</w:t>
      </w:r>
      <w:r w:rsidRPr="002C2DC6">
        <w:rPr>
          <w:rFonts w:ascii="Times New Roman" w:hAnsi="Times New Roman"/>
          <w:sz w:val="24"/>
          <w:szCs w:val="24"/>
        </w:rPr>
        <w:t xml:space="preserve"> si dhe e drejta e ankimit. Mbledhja e Gjyqtarëve, pasi mori në shqyrtim kërkesë</w:t>
      </w:r>
      <w:r>
        <w:rPr>
          <w:rFonts w:ascii="Times New Roman" w:hAnsi="Times New Roman"/>
          <w:sz w:val="24"/>
          <w:szCs w:val="24"/>
        </w:rPr>
        <w:t>n, vend</w:t>
      </w:r>
      <w:r w:rsidRPr="002C2DC6">
        <w:rPr>
          <w:rFonts w:ascii="Times New Roman" w:hAnsi="Times New Roman"/>
          <w:sz w:val="24"/>
          <w:szCs w:val="24"/>
        </w:rPr>
        <w:t xml:space="preserve">osi mospranimin e saj me argumentin se kërkuesi </w:t>
      </w:r>
      <w:r>
        <w:rPr>
          <w:rFonts w:ascii="Times New Roman" w:hAnsi="Times New Roman"/>
          <w:sz w:val="24"/>
          <w:szCs w:val="24"/>
        </w:rPr>
        <w:t>duhet të shterojë mjetet e ankimit në lidhje me rivendosjen në afat.</w:t>
      </w:r>
    </w:p>
    <w:p w:rsidR="00B75F6C" w:rsidRPr="002C2DC6" w:rsidRDefault="00B75F6C" w:rsidP="00B75F6C">
      <w:pPr>
        <w:numPr>
          <w:ilvl w:val="0"/>
          <w:numId w:val="2"/>
        </w:numPr>
        <w:tabs>
          <w:tab w:val="left" w:pos="810"/>
        </w:tabs>
        <w:spacing w:after="0" w:line="360" w:lineRule="auto"/>
        <w:ind w:left="0" w:firstLine="540"/>
        <w:jc w:val="both"/>
        <w:rPr>
          <w:rFonts w:ascii="Times New Roman" w:eastAsia="MS Mincho" w:hAnsi="Times New Roman"/>
          <w:sz w:val="24"/>
          <w:szCs w:val="24"/>
        </w:rPr>
      </w:pPr>
      <w:r w:rsidRPr="002C2DC6">
        <w:rPr>
          <w:rFonts w:ascii="Times New Roman" w:hAnsi="Times New Roman"/>
          <w:sz w:val="24"/>
          <w:szCs w:val="24"/>
        </w:rPr>
        <w:t xml:space="preserve">Qëndrimi i shumicës në çështjen konkrete bie ndesh si me jurisprudencën kushtetuese ashtu dhe atë të </w:t>
      </w:r>
      <w:r w:rsidRPr="002C2DC6">
        <w:rPr>
          <w:rFonts w:ascii="Times New Roman" w:eastAsia="MS Mincho" w:hAnsi="Times New Roman"/>
          <w:sz w:val="24"/>
          <w:szCs w:val="24"/>
        </w:rPr>
        <w:t>Gjykatës E</w:t>
      </w:r>
      <w:r>
        <w:rPr>
          <w:rFonts w:ascii="Times New Roman" w:eastAsia="MS Mincho" w:hAnsi="Times New Roman"/>
          <w:sz w:val="24"/>
          <w:szCs w:val="24"/>
        </w:rPr>
        <w:t>u</w:t>
      </w:r>
      <w:r w:rsidRPr="002C2DC6">
        <w:rPr>
          <w:rFonts w:ascii="Times New Roman" w:eastAsia="MS Mincho" w:hAnsi="Times New Roman"/>
          <w:sz w:val="24"/>
          <w:szCs w:val="24"/>
        </w:rPr>
        <w:t>ropiane për të Drejtat e Njeriut (GJEDNJ-ja)</w:t>
      </w:r>
      <w:r w:rsidRPr="002C2DC6">
        <w:rPr>
          <w:rFonts w:ascii="Times New Roman" w:hAnsi="Times New Roman"/>
          <w:sz w:val="24"/>
          <w:szCs w:val="24"/>
        </w:rPr>
        <w:t xml:space="preserve"> mbi çë</w:t>
      </w:r>
      <w:r w:rsidRPr="002C2DC6">
        <w:rPr>
          <w:rFonts w:ascii="Times New Roman" w:eastAsia="MS Mincho" w:hAnsi="Times New Roman"/>
          <w:sz w:val="24"/>
          <w:szCs w:val="24"/>
        </w:rPr>
        <w:t xml:space="preserve">shtjen e shterimit të mjeteve juridike në dispozicion nga i gjykuari në mungesë, në lidhje me të cilën ajo është shprehur se </w:t>
      </w:r>
      <w:r w:rsidRPr="002C2DC6">
        <w:rPr>
          <w:rFonts w:ascii="Times New Roman" w:hAnsi="Times New Roman"/>
          <w:sz w:val="24"/>
          <w:szCs w:val="24"/>
        </w:rPr>
        <w:t xml:space="preserve">Konventa u lë shteteve kontraktuese diskrecion të gjerë në lidhje me zgjedhjen e mjetit të parashikuar për të garantuar se sistemet e tyre ligjore janë në përputhje me dispozitat e nenit 6. Në veçanti, mjetet procedurale, të ofruara nga e drejta dhe praktika e brendshme, duhet të tregojnë se janë efektive kur një person i akuzuar për një vepër penale nuk ka hequr dorë nga e drejta e tij për t’u paraqitur e për t’u mbrojtur vetë dhe as nuk ka kërkuar t’i shmanget gjykimit </w:t>
      </w:r>
      <w:r w:rsidRPr="002C2DC6">
        <w:rPr>
          <w:rFonts w:ascii="Times New Roman" w:hAnsi="Times New Roman"/>
          <w:i/>
          <w:sz w:val="24"/>
          <w:szCs w:val="24"/>
        </w:rPr>
        <w:t>(shih Sejdovic kundër Italisë, [DHM], nr. 56581/00, § 83, 1 mars 2006)</w:t>
      </w:r>
      <w:r w:rsidRPr="002C2DC6">
        <w:rPr>
          <w:rFonts w:ascii="Times New Roman" w:hAnsi="Times New Roman"/>
          <w:sz w:val="24"/>
          <w:szCs w:val="24"/>
        </w:rPr>
        <w:t xml:space="preserve">. Ky qëndrim i GJEDNJ-së është bërë pjesë e jurisprudencës kushtetuese </w:t>
      </w:r>
      <w:r w:rsidRPr="002C2DC6">
        <w:rPr>
          <w:rFonts w:ascii="Times New Roman" w:hAnsi="Times New Roman"/>
          <w:i/>
          <w:sz w:val="24"/>
          <w:szCs w:val="24"/>
        </w:rPr>
        <w:t>(shih vendimin nr.31,</w:t>
      </w:r>
      <w:r w:rsidRPr="002C2DC6">
        <w:rPr>
          <w:rFonts w:ascii="Times New Roman" w:hAnsi="Times New Roman"/>
          <w:sz w:val="24"/>
          <w:szCs w:val="24"/>
        </w:rPr>
        <w:t xml:space="preserve"> </w:t>
      </w:r>
      <w:r w:rsidRPr="002C2DC6">
        <w:rPr>
          <w:rFonts w:ascii="Times New Roman" w:hAnsi="Times New Roman"/>
          <w:bCs/>
          <w:i/>
          <w:sz w:val="24"/>
          <w:szCs w:val="24"/>
        </w:rPr>
        <w:t xml:space="preserve">datë 25.05.2015 </w:t>
      </w:r>
      <w:r>
        <w:rPr>
          <w:rFonts w:ascii="Times New Roman" w:hAnsi="Times New Roman"/>
          <w:bCs/>
          <w:i/>
          <w:sz w:val="24"/>
          <w:szCs w:val="24"/>
        </w:rPr>
        <w:t>të</w:t>
      </w:r>
      <w:r w:rsidRPr="002C2DC6">
        <w:rPr>
          <w:rFonts w:ascii="Times New Roman" w:hAnsi="Times New Roman"/>
          <w:bCs/>
          <w:i/>
          <w:sz w:val="24"/>
          <w:szCs w:val="24"/>
        </w:rPr>
        <w:t xml:space="preserve"> Gjykatës Kushtetuese).</w:t>
      </w:r>
    </w:p>
    <w:p w:rsidR="00B75F6C" w:rsidRPr="002C2DC6" w:rsidRDefault="00B75F6C" w:rsidP="00B75F6C">
      <w:pPr>
        <w:numPr>
          <w:ilvl w:val="0"/>
          <w:numId w:val="2"/>
        </w:numPr>
        <w:tabs>
          <w:tab w:val="left" w:pos="810"/>
        </w:tabs>
        <w:spacing w:after="0" w:line="360" w:lineRule="auto"/>
        <w:ind w:left="0" w:firstLine="540"/>
        <w:jc w:val="both"/>
        <w:rPr>
          <w:rFonts w:ascii="Times New Roman" w:eastAsia="MS Mincho" w:hAnsi="Times New Roman"/>
          <w:sz w:val="24"/>
          <w:szCs w:val="24"/>
        </w:rPr>
      </w:pPr>
      <w:r w:rsidRPr="002C2DC6">
        <w:rPr>
          <w:rFonts w:ascii="Times New Roman" w:hAnsi="Times New Roman"/>
          <w:sz w:val="24"/>
          <w:szCs w:val="24"/>
        </w:rPr>
        <w:t xml:space="preserve">Ndonëse GJEDNJ-ja nuk përcakton shprehimisht mjetin procedural efektiv për rivendosjen e të drejtave të pretenduara si të cenuara, në jurisprudencën e saj mbizotëron qëndrimi se detyrim i ankuesve është pikërisht shterimi i mjeteve të brendshme ligjore, të cilat janë të vlefshme në teori dhe praktikë, në periudhën përkatëse, të aksesueshme, që mund të </w:t>
      </w:r>
      <w:r w:rsidRPr="002C2DC6">
        <w:rPr>
          <w:rFonts w:ascii="Times New Roman" w:hAnsi="Times New Roman"/>
          <w:sz w:val="24"/>
          <w:szCs w:val="24"/>
        </w:rPr>
        <w:lastRenderedPageBreak/>
        <w:t>sigurojnë ndreqjen e ankimeve të tyre dhe që ofrojnë perspektiva të arsyeshme suksesi (</w:t>
      </w:r>
      <w:r w:rsidRPr="002C2DC6">
        <w:rPr>
          <w:rFonts w:ascii="Times New Roman" w:hAnsi="Times New Roman"/>
          <w:i/>
          <w:sz w:val="24"/>
          <w:szCs w:val="24"/>
        </w:rPr>
        <w:t>shih Sejdovic kundër Italisë, § 46)</w:t>
      </w:r>
      <w:r w:rsidRPr="002C2DC6">
        <w:rPr>
          <w:rFonts w:ascii="Times New Roman" w:hAnsi="Times New Roman"/>
          <w:sz w:val="24"/>
          <w:szCs w:val="24"/>
        </w:rPr>
        <w:t>.</w:t>
      </w:r>
      <w:r w:rsidRPr="002C2DC6">
        <w:rPr>
          <w:rFonts w:ascii="Times New Roman" w:hAnsi="Times New Roman"/>
          <w:i/>
          <w:sz w:val="24"/>
          <w:szCs w:val="24"/>
        </w:rPr>
        <w:t xml:space="preserve"> </w:t>
      </w:r>
      <w:r w:rsidRPr="002C2DC6">
        <w:rPr>
          <w:rFonts w:ascii="Times New Roman" w:hAnsi="Times New Roman"/>
          <w:sz w:val="24"/>
          <w:szCs w:val="24"/>
        </w:rPr>
        <w:t xml:space="preserve">Për më tepër, vlerësimi nëse janë shteruar mjetet e brendshme ligjore normalisht bëhet duke iu referuar datës në të cilën është depozituar ankimi në gjykatë, megjithëse ky rregull përbën një përjashtim, i cili mund të justifikohet nga rrethanat specifike sipas rastit </w:t>
      </w:r>
      <w:r w:rsidRPr="002C2DC6">
        <w:rPr>
          <w:rFonts w:ascii="Times New Roman" w:hAnsi="Times New Roman"/>
          <w:i/>
          <w:sz w:val="24"/>
          <w:szCs w:val="24"/>
        </w:rPr>
        <w:t xml:space="preserve">(shih Baumann kundër Francës, nr. 33592/96, § 47, GJEDNJ 2001-V; Babylonová kundër Sllovakisë, nr. 69146/01, § 44, GJEDNJ 2006-VIII; Izet Haxhia kundër Shqipërisë, nr.34783/06, § 47, i datës 05.11.2013). </w:t>
      </w:r>
    </w:p>
    <w:p w:rsidR="00B75F6C" w:rsidRPr="002C2DC6" w:rsidRDefault="00B75F6C" w:rsidP="00B75F6C">
      <w:pPr>
        <w:numPr>
          <w:ilvl w:val="0"/>
          <w:numId w:val="2"/>
        </w:numPr>
        <w:tabs>
          <w:tab w:val="left" w:pos="810"/>
        </w:tabs>
        <w:spacing w:after="0" w:line="360" w:lineRule="auto"/>
        <w:ind w:left="0" w:firstLine="540"/>
        <w:jc w:val="both"/>
        <w:rPr>
          <w:rFonts w:ascii="Times New Roman" w:eastAsia="MS Mincho" w:hAnsi="Times New Roman"/>
          <w:sz w:val="24"/>
          <w:szCs w:val="24"/>
        </w:rPr>
      </w:pPr>
      <w:r w:rsidRPr="002C2DC6">
        <w:rPr>
          <w:rFonts w:ascii="Times New Roman" w:eastAsia="MS Mincho" w:hAnsi="Times New Roman"/>
          <w:sz w:val="24"/>
          <w:szCs w:val="24"/>
        </w:rPr>
        <w:t>Veçanërisht duke iu referuar disa vendimmarrjeve kundër Shqipërisë, GJEDNJ-ja, duke analizuar veçanërisht praktikën unifikuese të Gjykatës së Lartë mbi të drejtën e ankimit të të gjykuarve në mungesë (vendimi unifikues penal nr.1/2011), ka theksuar se efektiviteti i kërkesave për rivendosje në afat të ankimit nga të gjykuar në mungesë, duhet të konsiderohet i dyshim</w:t>
      </w:r>
      <w:r>
        <w:rPr>
          <w:rFonts w:ascii="Times New Roman" w:eastAsia="MS Mincho" w:hAnsi="Times New Roman"/>
          <w:sz w:val="24"/>
          <w:szCs w:val="24"/>
        </w:rPr>
        <w:t>t</w:t>
      </w:r>
      <w:r w:rsidRPr="00FC343C">
        <w:rPr>
          <w:rFonts w:ascii="Times New Roman" w:eastAsia="MS Mincho" w:hAnsi="Times New Roman"/>
          <w:sz w:val="24"/>
          <w:szCs w:val="24"/>
        </w:rPr>
        <w:t>ë</w:t>
      </w:r>
      <w:r w:rsidRPr="002C2DC6">
        <w:rPr>
          <w:rFonts w:ascii="Times New Roman" w:eastAsia="MS Mincho" w:hAnsi="Times New Roman"/>
          <w:sz w:val="24"/>
          <w:szCs w:val="24"/>
        </w:rPr>
        <w:t xml:space="preserve"> nisur nga vendimet e gjykatave kombëtare në çështje të tjera, ku kërkesa e të akuzuarit për rivendosje në afat është rrëzuar, </w:t>
      </w:r>
      <w:r w:rsidRPr="002C2DC6">
        <w:rPr>
          <w:rFonts w:ascii="Times New Roman" w:eastAsia="MS Mincho" w:hAnsi="Times New Roman"/>
          <w:i/>
          <w:iCs/>
          <w:sz w:val="24"/>
          <w:szCs w:val="24"/>
        </w:rPr>
        <w:t>inter alia</w:t>
      </w:r>
      <w:r w:rsidRPr="002C2DC6">
        <w:rPr>
          <w:rFonts w:ascii="Times New Roman" w:eastAsia="MS Mincho" w:hAnsi="Times New Roman"/>
          <w:sz w:val="24"/>
          <w:szCs w:val="24"/>
        </w:rPr>
        <w:t xml:space="preserve">, me arsyetimin se i akuzuari gjatë seancave gjyqësore </w:t>
      </w:r>
      <w:r w:rsidRPr="002C2DC6">
        <w:rPr>
          <w:rFonts w:ascii="Times New Roman" w:eastAsia="MS Mincho" w:hAnsi="Times New Roman"/>
          <w:i/>
          <w:iCs/>
          <w:sz w:val="24"/>
          <w:szCs w:val="24"/>
        </w:rPr>
        <w:t xml:space="preserve">in absentia </w:t>
      </w:r>
      <w:r w:rsidRPr="002C2DC6">
        <w:rPr>
          <w:rFonts w:ascii="Times New Roman" w:eastAsia="MS Mincho" w:hAnsi="Times New Roman"/>
          <w:iCs/>
          <w:sz w:val="24"/>
          <w:szCs w:val="24"/>
        </w:rPr>
        <w:t>mbrohej</w:t>
      </w:r>
      <w:r w:rsidRPr="002C2DC6">
        <w:rPr>
          <w:rFonts w:ascii="Times New Roman" w:eastAsia="MS Mincho" w:hAnsi="Times New Roman"/>
          <w:i/>
          <w:iCs/>
          <w:sz w:val="24"/>
          <w:szCs w:val="24"/>
        </w:rPr>
        <w:t xml:space="preserve"> </w:t>
      </w:r>
      <w:r w:rsidRPr="002C2DC6">
        <w:rPr>
          <w:rFonts w:ascii="Times New Roman" w:eastAsia="MS Mincho" w:hAnsi="Times New Roman"/>
          <w:iCs/>
          <w:sz w:val="24"/>
          <w:szCs w:val="24"/>
        </w:rPr>
        <w:t>nga mbrojtës</w:t>
      </w:r>
      <w:r w:rsidRPr="002C2DC6">
        <w:rPr>
          <w:rFonts w:ascii="Times New Roman" w:eastAsia="MS Mincho" w:hAnsi="Times New Roman"/>
          <w:sz w:val="24"/>
          <w:szCs w:val="24"/>
        </w:rPr>
        <w:t xml:space="preserve"> i zgjedhur nga familjarët. Për rrjedhojë, GJEDNJ-ja nuk është e bindur se një kërkesë për rivendosje në afat, kur aplikanti është përfaqësuar nga mbrojtësi i zgjedhur nga familjarët, do të kishte perspektiva reale suksesi. Prandaj ankimi para Gjykatës Kushtetuese është një mjet ligjor efektiv për të kundërshtuar një dënim në mungesë (</w:t>
      </w:r>
      <w:r w:rsidRPr="002C2DC6">
        <w:rPr>
          <w:rFonts w:ascii="Times New Roman" w:eastAsia="MS Mincho" w:hAnsi="Times New Roman"/>
          <w:i/>
          <w:sz w:val="24"/>
          <w:szCs w:val="24"/>
        </w:rPr>
        <w:t xml:space="preserve">shih Shkalla kundër Shqipërisë, </w:t>
      </w:r>
      <w:r w:rsidRPr="002C2DC6">
        <w:rPr>
          <w:rFonts w:ascii="Times New Roman" w:hAnsi="Times New Roman"/>
          <w:i/>
          <w:sz w:val="24"/>
          <w:szCs w:val="24"/>
        </w:rPr>
        <w:t xml:space="preserve">§§ </w:t>
      </w:r>
      <w:r w:rsidRPr="002C2DC6">
        <w:rPr>
          <w:rFonts w:ascii="Times New Roman" w:eastAsia="MS Mincho" w:hAnsi="Times New Roman"/>
          <w:i/>
          <w:sz w:val="24"/>
          <w:szCs w:val="24"/>
        </w:rPr>
        <w:t>59-62</w:t>
      </w:r>
      <w:r w:rsidRPr="002C2DC6">
        <w:rPr>
          <w:rFonts w:ascii="Times New Roman" w:eastAsia="MS Mincho" w:hAnsi="Times New Roman"/>
          <w:sz w:val="24"/>
          <w:szCs w:val="24"/>
        </w:rPr>
        <w:t xml:space="preserve">). Për këtë arsye, GJEDNJ-ja ka theksuar se në rast se gjenden disa mjete ligjore, të cilave mund t’u referohet aplikanti, ai është i lirë të zgjedhë mjetin që trajton ankimin e tij/e saj </w:t>
      </w:r>
      <w:r w:rsidRPr="002C2DC6">
        <w:rPr>
          <w:rFonts w:ascii="Times New Roman" w:eastAsia="MS Mincho" w:hAnsi="Times New Roman"/>
          <w:i/>
          <w:sz w:val="24"/>
          <w:szCs w:val="24"/>
        </w:rPr>
        <w:t xml:space="preserve">(shih </w:t>
      </w:r>
      <w:r w:rsidRPr="002C2DC6">
        <w:rPr>
          <w:rFonts w:ascii="Times New Roman" w:eastAsia="MS Mincho" w:hAnsi="Times New Roman"/>
          <w:i/>
          <w:iCs/>
          <w:sz w:val="24"/>
          <w:szCs w:val="24"/>
        </w:rPr>
        <w:t>Croke kundër Irlandës</w:t>
      </w:r>
      <w:r w:rsidRPr="002C2DC6">
        <w:rPr>
          <w:rFonts w:ascii="Times New Roman" w:eastAsia="MS Mincho" w:hAnsi="Times New Roman"/>
          <w:i/>
          <w:sz w:val="24"/>
          <w:szCs w:val="24"/>
        </w:rPr>
        <w:t>, nr. 33267/96, 15 qershor 1999)</w:t>
      </w:r>
      <w:r w:rsidRPr="002C2DC6">
        <w:rPr>
          <w:rFonts w:ascii="Times New Roman" w:eastAsia="MS Mincho" w:hAnsi="Times New Roman"/>
          <w:sz w:val="24"/>
          <w:szCs w:val="24"/>
        </w:rPr>
        <w:t xml:space="preserve">. Me fjalë të tjera, kur mjeti ligjor është zgjedhur, nuk kërkohet përdorimi i një mjeti tjetër, që në esencë ka të njëjtin qëllim </w:t>
      </w:r>
      <w:r w:rsidRPr="002C2DC6">
        <w:rPr>
          <w:rFonts w:ascii="Times New Roman" w:eastAsia="MS Mincho" w:hAnsi="Times New Roman"/>
          <w:i/>
          <w:sz w:val="24"/>
          <w:szCs w:val="24"/>
        </w:rPr>
        <w:t xml:space="preserve">(shih </w:t>
      </w:r>
      <w:r w:rsidRPr="002C2DC6">
        <w:rPr>
          <w:rFonts w:ascii="Times New Roman" w:eastAsia="MS Mincho" w:hAnsi="Times New Roman"/>
          <w:i/>
          <w:iCs/>
          <w:sz w:val="24"/>
          <w:szCs w:val="24"/>
        </w:rPr>
        <w:t>Moreira Barbosa kundër Portugalisë</w:t>
      </w:r>
      <w:r w:rsidRPr="002C2DC6">
        <w:rPr>
          <w:rFonts w:ascii="Times New Roman" w:eastAsia="MS Mincho" w:hAnsi="Times New Roman"/>
          <w:i/>
          <w:sz w:val="24"/>
          <w:szCs w:val="24"/>
        </w:rPr>
        <w:t>, nr.65681/01, 2004-V).</w:t>
      </w:r>
      <w:r w:rsidRPr="002C2DC6">
        <w:rPr>
          <w:rFonts w:ascii="Times New Roman" w:eastAsia="MS Mincho" w:hAnsi="Times New Roman"/>
          <w:sz w:val="24"/>
          <w:szCs w:val="24"/>
        </w:rPr>
        <w:t>  </w:t>
      </w:r>
    </w:p>
    <w:p w:rsidR="00B75F6C" w:rsidRPr="002C2DC6" w:rsidRDefault="00B75F6C" w:rsidP="00B75F6C">
      <w:pPr>
        <w:numPr>
          <w:ilvl w:val="0"/>
          <w:numId w:val="2"/>
        </w:numPr>
        <w:tabs>
          <w:tab w:val="left" w:pos="810"/>
        </w:tabs>
        <w:spacing w:after="0" w:line="360" w:lineRule="auto"/>
        <w:ind w:left="0" w:firstLine="540"/>
        <w:jc w:val="both"/>
        <w:rPr>
          <w:rFonts w:ascii="Times New Roman" w:eastAsia="MS Mincho" w:hAnsi="Times New Roman"/>
          <w:sz w:val="24"/>
          <w:szCs w:val="24"/>
        </w:rPr>
      </w:pPr>
      <w:r w:rsidRPr="002C2DC6">
        <w:rPr>
          <w:rFonts w:ascii="Times New Roman" w:hAnsi="Times New Roman"/>
          <w:sz w:val="24"/>
          <w:szCs w:val="24"/>
        </w:rPr>
        <w:t>Duke iu rikthyer çështjes konkrete vlerësoj se rasti në fjalë</w:t>
      </w:r>
      <w:r>
        <w:rPr>
          <w:rFonts w:ascii="Times New Roman" w:hAnsi="Times New Roman"/>
          <w:sz w:val="24"/>
          <w:szCs w:val="24"/>
        </w:rPr>
        <w:t>, për</w:t>
      </w:r>
      <w:r w:rsidRPr="002C2DC6">
        <w:rPr>
          <w:rFonts w:ascii="Times New Roman" w:hAnsi="Times New Roman"/>
          <w:sz w:val="24"/>
          <w:szCs w:val="24"/>
        </w:rPr>
        <w:t xml:space="preserve"> sa </w:t>
      </w:r>
      <w:r>
        <w:rPr>
          <w:rFonts w:ascii="Times New Roman" w:hAnsi="Times New Roman"/>
          <w:sz w:val="24"/>
          <w:szCs w:val="24"/>
        </w:rPr>
        <w:t>u</w:t>
      </w:r>
      <w:r w:rsidRPr="002C2DC6">
        <w:rPr>
          <w:rFonts w:ascii="Times New Roman" w:hAnsi="Times New Roman"/>
          <w:sz w:val="24"/>
          <w:szCs w:val="24"/>
        </w:rPr>
        <w:t xml:space="preserve"> përket </w:t>
      </w:r>
      <w:r>
        <w:rPr>
          <w:rFonts w:ascii="Times New Roman" w:hAnsi="Times New Roman"/>
          <w:sz w:val="24"/>
          <w:szCs w:val="24"/>
        </w:rPr>
        <w:t>rrethanave faktike dhe ligjore, si dh</w:t>
      </w:r>
      <w:r w:rsidRPr="002C2DC6">
        <w:rPr>
          <w:rFonts w:ascii="Times New Roman" w:hAnsi="Times New Roman"/>
          <w:sz w:val="24"/>
          <w:szCs w:val="24"/>
        </w:rPr>
        <w:t>e koh</w:t>
      </w:r>
      <w:r>
        <w:rPr>
          <w:rFonts w:ascii="Times New Roman" w:hAnsi="Times New Roman"/>
          <w:sz w:val="24"/>
          <w:szCs w:val="24"/>
        </w:rPr>
        <w:t>ës së</w:t>
      </w:r>
      <w:r w:rsidRPr="002C2DC6">
        <w:rPr>
          <w:rFonts w:ascii="Times New Roman" w:hAnsi="Times New Roman"/>
          <w:sz w:val="24"/>
          <w:szCs w:val="24"/>
        </w:rPr>
        <w:t xml:space="preserve"> zhvillimit të procesit penal</w:t>
      </w:r>
      <w:r>
        <w:rPr>
          <w:rFonts w:ascii="Times New Roman" w:hAnsi="Times New Roman"/>
          <w:sz w:val="24"/>
          <w:szCs w:val="24"/>
        </w:rPr>
        <w:t>,</w:t>
      </w:r>
      <w:r w:rsidRPr="002C2DC6">
        <w:rPr>
          <w:rFonts w:ascii="Times New Roman" w:hAnsi="Times New Roman"/>
          <w:sz w:val="24"/>
          <w:szCs w:val="24"/>
        </w:rPr>
        <w:t xml:space="preserve"> është </w:t>
      </w:r>
      <w:r>
        <w:rPr>
          <w:rFonts w:ascii="Times New Roman" w:hAnsi="Times New Roman"/>
          <w:sz w:val="24"/>
          <w:szCs w:val="24"/>
        </w:rPr>
        <w:t>thua</w:t>
      </w:r>
      <w:r w:rsidRPr="002C2DC6">
        <w:rPr>
          <w:rFonts w:ascii="Times New Roman" w:hAnsi="Times New Roman"/>
          <w:sz w:val="24"/>
          <w:szCs w:val="24"/>
        </w:rPr>
        <w:t>j</w:t>
      </w:r>
      <w:r>
        <w:rPr>
          <w:rFonts w:ascii="Times New Roman" w:hAnsi="Times New Roman"/>
          <w:sz w:val="24"/>
          <w:szCs w:val="24"/>
        </w:rPr>
        <w:t>s</w:t>
      </w:r>
      <w:r w:rsidRPr="002C2DC6">
        <w:rPr>
          <w:rFonts w:ascii="Times New Roman" w:hAnsi="Times New Roman"/>
          <w:sz w:val="24"/>
          <w:szCs w:val="24"/>
        </w:rPr>
        <w:t xml:space="preserve">e identik me çështjen e trajtuar nga Gjykata Kushtetuese në vendimin nr.31/2015. Në atë rast Gjykata ka arsyetuar se </w:t>
      </w:r>
      <w:r w:rsidRPr="002C2DC6">
        <w:rPr>
          <w:rFonts w:ascii="Times New Roman" w:eastAsia="MS Mincho" w:hAnsi="Times New Roman"/>
          <w:sz w:val="24"/>
          <w:szCs w:val="24"/>
        </w:rPr>
        <w:t>kërkuesi i gjykuar në mungesë në të gjitha shkallët, pas ekstradimit nuk kishte detyrimin për shterimin e mjeteve juridike në dispozicion përpara paraqitjes së ankimit individual kushtetues. Po ashtu, edhe në çështjen konkrete si në rastin e vendimit nr.31/2015, kërkuesi është gjykuar si bashkë i pandehur me vëllezërit e tij, të cilët kanë paraqitur rekurs në Gjykatë</w:t>
      </w:r>
      <w:r>
        <w:rPr>
          <w:rFonts w:ascii="Times New Roman" w:eastAsia="MS Mincho" w:hAnsi="Times New Roman"/>
          <w:sz w:val="24"/>
          <w:szCs w:val="24"/>
        </w:rPr>
        <w:t>n</w:t>
      </w:r>
      <w:r w:rsidRPr="002C2DC6">
        <w:rPr>
          <w:rFonts w:ascii="Times New Roman" w:eastAsia="MS Mincho" w:hAnsi="Times New Roman"/>
          <w:sz w:val="24"/>
          <w:szCs w:val="24"/>
        </w:rPr>
        <w:t xml:space="preserve"> </w:t>
      </w:r>
      <w:r>
        <w:rPr>
          <w:rFonts w:ascii="Times New Roman" w:eastAsia="MS Mincho" w:hAnsi="Times New Roman"/>
          <w:sz w:val="24"/>
          <w:szCs w:val="24"/>
        </w:rPr>
        <w:t>e</w:t>
      </w:r>
      <w:r w:rsidRPr="002C2DC6">
        <w:rPr>
          <w:rFonts w:ascii="Times New Roman" w:eastAsia="MS Mincho" w:hAnsi="Times New Roman"/>
          <w:sz w:val="24"/>
          <w:szCs w:val="24"/>
        </w:rPr>
        <w:t xml:space="preserve"> Lartë, </w:t>
      </w:r>
      <w:r>
        <w:rPr>
          <w:rFonts w:ascii="Times New Roman" w:eastAsia="MS Mincho" w:hAnsi="Times New Roman"/>
          <w:sz w:val="24"/>
          <w:szCs w:val="24"/>
        </w:rPr>
        <w:t>e cila</w:t>
      </w:r>
      <w:r w:rsidRPr="002C2DC6">
        <w:rPr>
          <w:rFonts w:ascii="Times New Roman" w:eastAsia="MS Mincho" w:hAnsi="Times New Roman"/>
          <w:sz w:val="24"/>
          <w:szCs w:val="24"/>
        </w:rPr>
        <w:t xml:space="preserve"> ka vendosur mospranimin e tij. Ky fakt, b</w:t>
      </w:r>
      <w:r w:rsidRPr="002C2DC6">
        <w:rPr>
          <w:rFonts w:ascii="Times New Roman" w:hAnsi="Times New Roman"/>
          <w:sz w:val="24"/>
          <w:szCs w:val="24"/>
        </w:rPr>
        <w:t>azuar në praktikën unifikuese të Gjykatës së Lartë mbi të drejtën e ankimit të të gjykuarve në mungesë (kur janë të bashkëpandehur)</w:t>
      </w:r>
      <w:r>
        <w:rPr>
          <w:rFonts w:ascii="Times New Roman" w:hAnsi="Times New Roman"/>
          <w:sz w:val="24"/>
          <w:szCs w:val="24"/>
        </w:rPr>
        <w:t>,</w:t>
      </w:r>
      <w:r w:rsidRPr="002C2DC6">
        <w:rPr>
          <w:rFonts w:ascii="Times New Roman" w:hAnsi="Times New Roman"/>
          <w:sz w:val="24"/>
          <w:szCs w:val="24"/>
        </w:rPr>
        <w:t xml:space="preserve"> passjell dyshime në lidhje me pranueshmërinë e rekursit të paraqitur nga kërkuesi, </w:t>
      </w:r>
      <w:r w:rsidRPr="002C2DC6">
        <w:rPr>
          <w:rFonts w:ascii="Times New Roman" w:eastAsia="MS Mincho" w:hAnsi="Times New Roman"/>
          <w:sz w:val="24"/>
          <w:szCs w:val="24"/>
        </w:rPr>
        <w:t xml:space="preserve">duke qenë se Kolegji Penal i ka </w:t>
      </w:r>
      <w:r w:rsidRPr="002C2DC6">
        <w:rPr>
          <w:rFonts w:ascii="Times New Roman" w:hAnsi="Times New Roman"/>
          <w:sz w:val="24"/>
          <w:szCs w:val="24"/>
        </w:rPr>
        <w:lastRenderedPageBreak/>
        <w:t>shqyrtuar më parë në tërësi</w:t>
      </w:r>
      <w:r w:rsidRPr="002C2DC6">
        <w:rPr>
          <w:rFonts w:ascii="Times New Roman" w:eastAsia="MS Mincho" w:hAnsi="Times New Roman"/>
          <w:sz w:val="24"/>
          <w:szCs w:val="24"/>
        </w:rPr>
        <w:t xml:space="preserve"> </w:t>
      </w:r>
      <w:r w:rsidRPr="002C2DC6">
        <w:rPr>
          <w:rFonts w:ascii="Times New Roman" w:hAnsi="Times New Roman"/>
          <w:sz w:val="24"/>
          <w:szCs w:val="24"/>
        </w:rPr>
        <w:t xml:space="preserve">meritat e çështjes në fjalë </w:t>
      </w:r>
      <w:r w:rsidRPr="002C2DC6">
        <w:rPr>
          <w:rFonts w:ascii="Times New Roman" w:eastAsia="MS Mincho" w:hAnsi="Times New Roman"/>
          <w:sz w:val="24"/>
          <w:szCs w:val="24"/>
        </w:rPr>
        <w:t xml:space="preserve">bazuar në rekursin e paraqitur nga bashkë </w:t>
      </w:r>
      <w:r w:rsidRPr="002C2DC6">
        <w:rPr>
          <w:rFonts w:ascii="Times New Roman" w:hAnsi="Times New Roman"/>
          <w:sz w:val="24"/>
          <w:szCs w:val="24"/>
        </w:rPr>
        <w:t xml:space="preserve">të pandehurit e tjerë dhe ka lënë në fuqi vendimin e dënimit për sa i takon kërkuesit. Siç rezulton nga rrethanat e çështjes në këtë proces gjyqësor penal kërkuesi nuk është përfaqësuar nga asnjë mbrojtës.  </w:t>
      </w:r>
    </w:p>
    <w:p w:rsidR="00B75F6C" w:rsidRPr="0042436A" w:rsidRDefault="00B75F6C" w:rsidP="00B75F6C">
      <w:pPr>
        <w:numPr>
          <w:ilvl w:val="0"/>
          <w:numId w:val="1"/>
        </w:numPr>
        <w:tabs>
          <w:tab w:val="left" w:pos="709"/>
          <w:tab w:val="left" w:pos="1080"/>
        </w:tabs>
        <w:spacing w:after="0" w:line="360" w:lineRule="auto"/>
        <w:ind w:left="0" w:firstLine="720"/>
        <w:jc w:val="both"/>
        <w:rPr>
          <w:rFonts w:ascii="Times New Roman" w:eastAsia="MS Mincho" w:hAnsi="Times New Roman"/>
          <w:bCs/>
          <w:i/>
          <w:sz w:val="24"/>
          <w:szCs w:val="24"/>
        </w:rPr>
      </w:pPr>
      <w:r w:rsidRPr="0042436A">
        <w:rPr>
          <w:rFonts w:ascii="Times New Roman" w:hAnsi="Times New Roman"/>
          <w:sz w:val="24"/>
          <w:szCs w:val="24"/>
        </w:rPr>
        <w:t xml:space="preserve">Në vështrim të rrethanave të mësipërme çmoj se Mbledhja e Gjyqtarëve nuk kishte arsye për të mbajtur një qëndrim që dukshëm devijon nga jurisprudenca e konsoliduar kushtetuese dhe ajo e </w:t>
      </w:r>
      <w:r w:rsidRPr="0042436A">
        <w:rPr>
          <w:rFonts w:ascii="Times New Roman" w:eastAsia="MS Mincho" w:hAnsi="Times New Roman"/>
          <w:sz w:val="24"/>
          <w:szCs w:val="24"/>
        </w:rPr>
        <w:t xml:space="preserve">GJEDNJ-së mbi mjetin efektiv për rivendosjen e të drejtave të pretenduara si të cenuara nga të gjykuarit në mungesë. Në këtë kuptim, vlerësoj se paraqitja </w:t>
      </w:r>
      <w:r w:rsidRPr="0042436A">
        <w:rPr>
          <w:rFonts w:ascii="Times New Roman" w:hAnsi="Times New Roman"/>
          <w:sz w:val="24"/>
          <w:szCs w:val="24"/>
        </w:rPr>
        <w:t xml:space="preserve">nga ana e </w:t>
      </w:r>
      <w:r w:rsidRPr="0042436A">
        <w:rPr>
          <w:rFonts w:ascii="Times New Roman" w:eastAsia="MS Mincho" w:hAnsi="Times New Roman"/>
          <w:sz w:val="24"/>
          <w:szCs w:val="24"/>
        </w:rPr>
        <w:t xml:space="preserve">kërkuesit </w:t>
      </w:r>
      <w:r>
        <w:rPr>
          <w:rFonts w:ascii="Times New Roman" w:eastAsia="MS Mincho" w:hAnsi="Times New Roman"/>
          <w:sz w:val="24"/>
          <w:szCs w:val="24"/>
        </w:rPr>
        <w:t>të</w:t>
      </w:r>
      <w:r w:rsidRPr="0042436A">
        <w:rPr>
          <w:rFonts w:ascii="Times New Roman" w:eastAsia="MS Mincho" w:hAnsi="Times New Roman"/>
          <w:sz w:val="24"/>
          <w:szCs w:val="24"/>
        </w:rPr>
        <w:t xml:space="preserve"> kërkesës për rivendosje në afat nuk përbën pengesë për shqyrtimin e ankimit individual kushtetues, për faktin se është pikërisht ky mjeti efektiv që ofron mundësitë e arsyeshme për rivendosjen e të drejtave të pretenduara</w:t>
      </w:r>
      <w:bookmarkStart w:id="1" w:name="01000018"/>
      <w:bookmarkEnd w:id="1"/>
      <w:r w:rsidRPr="0042436A">
        <w:rPr>
          <w:rFonts w:ascii="Times New Roman" w:eastAsia="MS Mincho" w:hAnsi="Times New Roman"/>
          <w:sz w:val="24"/>
          <w:szCs w:val="24"/>
        </w:rPr>
        <w:t xml:space="preserve">, duke kundërshtuar dënimin </w:t>
      </w:r>
      <w:r w:rsidRPr="0042436A">
        <w:rPr>
          <w:rFonts w:ascii="Times New Roman" w:eastAsia="MS Mincho" w:hAnsi="Times New Roman"/>
          <w:i/>
          <w:iCs/>
          <w:sz w:val="24"/>
          <w:szCs w:val="24"/>
        </w:rPr>
        <w:t xml:space="preserve">in absentia. </w:t>
      </w:r>
    </w:p>
    <w:p w:rsidR="00F226C9" w:rsidRDefault="00B75F6C" w:rsidP="00B75F6C">
      <w:pPr>
        <w:numPr>
          <w:ilvl w:val="0"/>
          <w:numId w:val="1"/>
        </w:numPr>
        <w:tabs>
          <w:tab w:val="left" w:pos="709"/>
          <w:tab w:val="left" w:pos="1080"/>
        </w:tabs>
        <w:spacing w:after="0" w:line="360" w:lineRule="auto"/>
        <w:ind w:left="0" w:firstLine="720"/>
        <w:jc w:val="both"/>
        <w:rPr>
          <w:rFonts w:ascii="Times New Roman" w:eastAsia="MS Mincho" w:hAnsi="Times New Roman"/>
          <w:i/>
          <w:sz w:val="24"/>
          <w:szCs w:val="24"/>
        </w:rPr>
      </w:pPr>
      <w:r w:rsidRPr="0042436A">
        <w:rPr>
          <w:rFonts w:ascii="Times New Roman" w:eastAsia="MS Mincho" w:hAnsi="Times New Roman"/>
          <w:bCs/>
          <w:sz w:val="24"/>
          <w:szCs w:val="24"/>
        </w:rPr>
        <w:t xml:space="preserve">Në përfundim </w:t>
      </w:r>
      <w:r>
        <w:rPr>
          <w:rFonts w:ascii="Times New Roman" w:eastAsia="MS Mincho" w:hAnsi="Times New Roman"/>
          <w:bCs/>
          <w:sz w:val="24"/>
          <w:szCs w:val="24"/>
        </w:rPr>
        <w:t>vlerësoj se kërkesa e kërkuesit plotësonte kushtet për t’u shqyrtuar në seancë plenare për sa kohë procesi gjyqësor penal objekt kundërshtimi ka përfunduar në të gjitha shkallët e gjykimit dhe ai nuk ka mjet tjetër ankimi efektiv në dispozicion përveç ankimit individual në Gjykatën Kushtetuese.</w:t>
      </w:r>
    </w:p>
    <w:p w:rsidR="00201CBF" w:rsidRPr="008B24FB" w:rsidRDefault="00F226C9" w:rsidP="00F226C9">
      <w:pPr>
        <w:tabs>
          <w:tab w:val="left" w:pos="709"/>
          <w:tab w:val="left" w:pos="1080"/>
        </w:tabs>
        <w:spacing w:after="0" w:line="360" w:lineRule="auto"/>
        <w:jc w:val="both"/>
      </w:pPr>
      <w:r>
        <w:rPr>
          <w:rFonts w:ascii="Times New Roman" w:eastAsia="MS Mincho" w:hAnsi="Times New Roman"/>
          <w:sz w:val="24"/>
          <w:szCs w:val="24"/>
        </w:rPr>
        <w:tab/>
      </w:r>
      <w:r w:rsidR="00B75F6C" w:rsidRPr="00F226C9">
        <w:rPr>
          <w:rFonts w:ascii="Times New Roman" w:eastAsia="MS Mincho" w:hAnsi="Times New Roman"/>
          <w:b/>
          <w:sz w:val="24"/>
          <w:szCs w:val="24"/>
        </w:rPr>
        <w:t>A</w:t>
      </w:r>
      <w:r>
        <w:rPr>
          <w:rFonts w:ascii="Times New Roman" w:eastAsia="MS Mincho" w:hAnsi="Times New Roman"/>
          <w:b/>
          <w:sz w:val="24"/>
          <w:szCs w:val="24"/>
        </w:rPr>
        <w:t xml:space="preserve">nëtare: </w:t>
      </w:r>
      <w:r w:rsidR="00B75F6C" w:rsidRPr="002C2DC6">
        <w:rPr>
          <w:rFonts w:ascii="Times New Roman" w:eastAsia="MS Mincho" w:hAnsi="Times New Roman"/>
          <w:b/>
          <w:sz w:val="24"/>
          <w:szCs w:val="24"/>
        </w:rPr>
        <w:t>Vitore Tusha</w:t>
      </w:r>
      <w:r>
        <w:rPr>
          <w:rFonts w:ascii="Times New Roman" w:eastAsia="MS Mincho" w:hAnsi="Times New Roman"/>
          <w:b/>
          <w:sz w:val="24"/>
          <w:szCs w:val="24"/>
        </w:rPr>
        <w:t>.</w:t>
      </w:r>
    </w:p>
    <w:sectPr w:rsidR="00201CBF" w:rsidRPr="008B24FB" w:rsidSect="003E6FB3">
      <w:footerReference w:type="default" r:id="rId8"/>
      <w:pgSz w:w="12240" w:h="15840"/>
      <w:pgMar w:top="108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23" w:rsidRDefault="00A51A23" w:rsidP="002F2702">
      <w:pPr>
        <w:spacing w:after="0" w:line="240" w:lineRule="auto"/>
      </w:pPr>
      <w:r>
        <w:separator/>
      </w:r>
    </w:p>
  </w:endnote>
  <w:endnote w:type="continuationSeparator" w:id="0">
    <w:p w:rsidR="00A51A23" w:rsidRDefault="00A51A23" w:rsidP="002F2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7A" w:rsidRDefault="00A51A23">
    <w:pPr>
      <w:pStyle w:val="Footer"/>
      <w:jc w:val="right"/>
    </w:pPr>
  </w:p>
  <w:p w:rsidR="00993786" w:rsidRDefault="005D7CDB">
    <w:pPr>
      <w:pStyle w:val="Footer"/>
      <w:jc w:val="right"/>
    </w:pPr>
    <w:r>
      <w:fldChar w:fldCharType="begin"/>
    </w:r>
    <w:r w:rsidR="00A74010">
      <w:instrText xml:space="preserve"> PAGE   \* MERGEFORMAT </w:instrText>
    </w:r>
    <w:r>
      <w:fldChar w:fldCharType="separate"/>
    </w:r>
    <w:r w:rsidR="00F226C9">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23" w:rsidRDefault="00A51A23" w:rsidP="002F2702">
      <w:pPr>
        <w:spacing w:after="0" w:line="240" w:lineRule="auto"/>
      </w:pPr>
      <w:r>
        <w:separator/>
      </w:r>
    </w:p>
  </w:footnote>
  <w:footnote w:type="continuationSeparator" w:id="0">
    <w:p w:rsidR="00A51A23" w:rsidRDefault="00A51A23" w:rsidP="002F2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B67"/>
    <w:multiLevelType w:val="hybridMultilevel"/>
    <w:tmpl w:val="FFC6DECA"/>
    <w:lvl w:ilvl="0" w:tplc="688AE062">
      <w:start w:val="1"/>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20DB3A66"/>
    <w:multiLevelType w:val="hybridMultilevel"/>
    <w:tmpl w:val="8DCE980C"/>
    <w:lvl w:ilvl="0" w:tplc="041C000F">
      <w:start w:val="6"/>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35E01DFF"/>
    <w:multiLevelType w:val="hybridMultilevel"/>
    <w:tmpl w:val="B4E8978E"/>
    <w:lvl w:ilvl="0" w:tplc="2B04A6C0">
      <w:start w:val="1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1FA5"/>
    <w:rsid w:val="00062C3E"/>
    <w:rsid w:val="0012496F"/>
    <w:rsid w:val="001F1BD5"/>
    <w:rsid w:val="00201CBF"/>
    <w:rsid w:val="002103F7"/>
    <w:rsid w:val="002827BB"/>
    <w:rsid w:val="002F2702"/>
    <w:rsid w:val="003B1B9C"/>
    <w:rsid w:val="003B5C29"/>
    <w:rsid w:val="003E6FB3"/>
    <w:rsid w:val="00414CD2"/>
    <w:rsid w:val="004165CE"/>
    <w:rsid w:val="00527D1C"/>
    <w:rsid w:val="00545167"/>
    <w:rsid w:val="00591FA5"/>
    <w:rsid w:val="005C3AF6"/>
    <w:rsid w:val="005D7CDB"/>
    <w:rsid w:val="006C1AA1"/>
    <w:rsid w:val="006C7496"/>
    <w:rsid w:val="00770C8B"/>
    <w:rsid w:val="0080772B"/>
    <w:rsid w:val="0087479A"/>
    <w:rsid w:val="008B24FB"/>
    <w:rsid w:val="009B7279"/>
    <w:rsid w:val="00A25873"/>
    <w:rsid w:val="00A51A23"/>
    <w:rsid w:val="00A74010"/>
    <w:rsid w:val="00AA4679"/>
    <w:rsid w:val="00AC0E59"/>
    <w:rsid w:val="00AE2129"/>
    <w:rsid w:val="00B62ED8"/>
    <w:rsid w:val="00B75F6C"/>
    <w:rsid w:val="00C50460"/>
    <w:rsid w:val="00D8093E"/>
    <w:rsid w:val="00E00837"/>
    <w:rsid w:val="00EB2A99"/>
    <w:rsid w:val="00F226C9"/>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A5"/>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FA5"/>
    <w:rPr>
      <w:lang w:val="sq-AL"/>
    </w:rPr>
  </w:style>
  <w:style w:type="paragraph" w:styleId="Header">
    <w:name w:val="header"/>
    <w:basedOn w:val="Normal"/>
    <w:link w:val="HeaderChar"/>
    <w:uiPriority w:val="99"/>
    <w:unhideWhenUsed/>
    <w:rsid w:val="002F2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02"/>
    <w:rPr>
      <w:lang w:val="sq-AL"/>
    </w:rPr>
  </w:style>
  <w:style w:type="paragraph" w:styleId="BalloonText">
    <w:name w:val="Balloon Text"/>
    <w:basedOn w:val="Normal"/>
    <w:link w:val="BalloonTextChar"/>
    <w:uiPriority w:val="99"/>
    <w:semiHidden/>
    <w:unhideWhenUsed/>
    <w:rsid w:val="008B2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FB"/>
    <w:rPr>
      <w:rFonts w:ascii="Tahoma" w:hAnsi="Tahoma" w:cs="Tahoma"/>
      <w:sz w:val="16"/>
      <w:szCs w:val="16"/>
      <w:lang w:val="sq-AL"/>
    </w:rPr>
  </w:style>
  <w:style w:type="paragraph" w:styleId="ListParagraph">
    <w:name w:val="List Paragraph"/>
    <w:basedOn w:val="Normal"/>
    <w:uiPriority w:val="34"/>
    <w:qFormat/>
    <w:rsid w:val="00527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9F0C-7AC6-4BBA-A37C-5417D928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DAVID GJOKEJA</vt:lpstr>
    </vt:vector>
  </TitlesOfParts>
  <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GJOKEJA</dc:title>
  <dc:subject>Dt.12.04.2017</dc:subject>
  <dc:creator>Gani DIZDARI</dc:creator>
  <cp:lastModifiedBy>user</cp:lastModifiedBy>
  <cp:revision>8</cp:revision>
  <cp:lastPrinted>2017-04-20T09:01:00Z</cp:lastPrinted>
  <dcterms:created xsi:type="dcterms:W3CDTF">2017-04-19T12:26:00Z</dcterms:created>
  <dcterms:modified xsi:type="dcterms:W3CDTF">2017-10-18T07:57:00Z</dcterms:modified>
</cp:coreProperties>
</file>