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F" w:rsidRDefault="001031DE" w:rsidP="000F2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97554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endim nr. 54 dat</w:t>
      </w:r>
      <w:r w:rsidR="000F2AE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 19.03</w:t>
      </w:r>
      <w:r w:rsidR="000F2AEF"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.2018</w:t>
      </w:r>
    </w:p>
    <w:p w:rsidR="000F2AEF" w:rsidRDefault="000F2AEF" w:rsidP="000F2A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0F2AEF" w:rsidRDefault="001031DE" w:rsidP="000F2AE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Shqipërisë, i përbërë nga:</w:t>
      </w:r>
    </w:p>
    <w:p w:rsidR="000F2AEF" w:rsidRDefault="000F2AEF" w:rsidP="000F2AE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0F2AEF" w:rsidRDefault="004619EB" w:rsidP="000F2AE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Fatmir Hoxha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>Anëtar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Gjykatës Kushtetuese</w:t>
      </w:r>
    </w:p>
    <w:p w:rsidR="000F2AEF" w:rsidRDefault="004619EB" w:rsidP="000F2AEF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Fatos Lulo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Anëtar    i      </w:t>
      </w:r>
      <w:r w:rsidR="001031DE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“              “</w:t>
      </w:r>
    </w:p>
    <w:p w:rsidR="000F2AEF" w:rsidRDefault="001031DE" w:rsidP="000F2AEF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Gani D</w:t>
      </w:r>
      <w:r w:rsidR="000F2A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izdari,</w:t>
      </w:r>
      <w:r w:rsidR="000F2A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0F2A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Anëtar    i </w:t>
      </w:r>
      <w:r w:rsidR="000F2A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“</w:t>
      </w:r>
      <w:r w:rsidR="000F2AE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     “</w:t>
      </w:r>
    </w:p>
    <w:p w:rsidR="000F2AEF" w:rsidRDefault="000F2AEF" w:rsidP="000F2AE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467E7B" w:rsidRDefault="001031DE" w:rsidP="00467E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datën </w:t>
      </w:r>
      <w:r w:rsidR="004619EB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19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.0</w:t>
      </w:r>
      <w:r w:rsidR="004619EB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.2018 mori në shqyrtim paraprak kërkesën me nr.</w:t>
      </w:r>
      <w:r w:rsidR="004619EB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54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Akti, që i përket:</w:t>
      </w:r>
    </w:p>
    <w:p w:rsidR="00467E7B" w:rsidRDefault="00467E7B" w:rsidP="00467E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67E7B" w:rsidRDefault="00467E7B" w:rsidP="00467E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KËRKUES: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4619EB" w:rsidRPr="00364F0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OREST QERIMAJ</w:t>
      </w:r>
    </w:p>
    <w:p w:rsidR="00467E7B" w:rsidRDefault="00467E7B" w:rsidP="00467E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67E7B" w:rsidRDefault="001031DE" w:rsidP="00467E7B">
      <w:pPr>
        <w:spacing w:after="0" w:line="360" w:lineRule="auto"/>
        <w:ind w:left="2880" w:hanging="216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OBJEKTI:</w:t>
      </w:r>
      <w:r w:rsidR="00467E7B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ab/>
      </w:r>
      <w:r w:rsidR="004619EB" w:rsidRP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 xml:space="preserve">Shfuqizimi si </w:t>
      </w:r>
      <w:r w:rsid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të</w:t>
      </w:r>
      <w:r w:rsidR="004619EB" w:rsidRP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 xml:space="preserve"> papajtuesh</w:t>
      </w:r>
      <w:r w:rsid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me</w:t>
      </w:r>
      <w:r w:rsidR="004619EB" w:rsidRPr="00364F07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 xml:space="preserve"> me Kushtetutën i vendimeve nr.11-2017-2678/736, datë 30.05.2017 të Gjykatës së Rrethit Gjyqësor Durrës; nr.10-217-1959(200), datë 28.07.2017 të Gjykatës së Apelit Durrës; nr.00-2017-868, datë 09.11.2017 të Kolegjit Penal të Gjykatës së Lartë.</w:t>
      </w:r>
    </w:p>
    <w:p w:rsidR="00467E7B" w:rsidRDefault="00467E7B" w:rsidP="00467E7B">
      <w:pPr>
        <w:spacing w:after="0" w:line="360" w:lineRule="auto"/>
        <w:ind w:left="2880" w:hanging="216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467E7B" w:rsidRDefault="001031DE" w:rsidP="00467E7B">
      <w:pPr>
        <w:spacing w:after="0" w:line="360" w:lineRule="auto"/>
        <w:ind w:left="2880" w:hanging="21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BAZA LIGJORE:</w:t>
      </w:r>
      <w:r w:rsidR="00467E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4619EB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Nenet 42</w:t>
      </w:r>
      <w:r w:rsid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</w:t>
      </w:r>
      <w:r w:rsidR="004619EB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131/1/f të Kushtetutës, nenet 71 e vijues të ligjit nr.8577, datë 10.2.2000 “Për organizimin dhe funksionimin e Gjykatës Kushtetuese”, të ndryshuar.</w:t>
      </w:r>
    </w:p>
    <w:p w:rsidR="00467E7B" w:rsidRDefault="00467E7B" w:rsidP="00467E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67E7B" w:rsidRDefault="001031DE" w:rsidP="00467E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(Kolegji)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, pasi shqyrtoi kërkesën, dokumentet shoqëruese dhe diskutoi çështjen në tërësi,</w:t>
      </w:r>
      <w:bookmarkStart w:id="0" w:name="_GoBack"/>
      <w:bookmarkEnd w:id="0"/>
    </w:p>
    <w:p w:rsidR="00467E7B" w:rsidRDefault="00467E7B" w:rsidP="00467E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67E7B" w:rsidRDefault="001031DE" w:rsidP="00467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1031DE" w:rsidRPr="00364F07" w:rsidRDefault="001031DE" w:rsidP="00467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4619EB" w:rsidRPr="00364F07" w:rsidRDefault="004619EB" w:rsidP="004619EB">
      <w:pPr>
        <w:numPr>
          <w:ilvl w:val="0"/>
          <w:numId w:val="1"/>
        </w:numPr>
        <w:tabs>
          <w:tab w:val="left" w:pos="720"/>
          <w:tab w:val="left" w:pos="99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>Kërkuesi ka qenë shpallur në kërkim ndërkombëtar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pasi ndaj tij është dh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>në një vendim gjyqësor i formës së pr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erë nga Gjykata e Udines, Itali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datë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09.01.2014, i cili ka marrë formë të prerë në datë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28.05.2014. Referuar urdhrit të ekzekutimit ai është dënuar me 9 vjet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4 muaj e 20 ditë burgim. </w:t>
      </w:r>
    </w:p>
    <w:p w:rsidR="004619EB" w:rsidRPr="00364F07" w:rsidRDefault="004619EB" w:rsidP="004619EB">
      <w:pPr>
        <w:numPr>
          <w:ilvl w:val="0"/>
          <w:numId w:val="1"/>
        </w:numPr>
        <w:tabs>
          <w:tab w:val="left" w:pos="720"/>
          <w:tab w:val="left" w:pos="99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>Me kërkesë të prokurorit pranë Gjykatës së Shkallë së Parë, në datë</w:t>
      </w:r>
      <w:r w:rsidR="00364F07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11.04.2017 është bërë njohja dhe ekzekutimi i vendimit penal të huaj për kërkuesin. </w:t>
      </w:r>
    </w:p>
    <w:p w:rsidR="004619EB" w:rsidRPr="00364F07" w:rsidRDefault="004619EB" w:rsidP="004619EB">
      <w:pPr>
        <w:numPr>
          <w:ilvl w:val="0"/>
          <w:numId w:val="1"/>
        </w:numPr>
        <w:tabs>
          <w:tab w:val="left" w:pos="720"/>
          <w:tab w:val="left" w:pos="99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lastRenderedPageBreak/>
        <w:t xml:space="preserve">Gjykata e Rrethit Gjyqësor Durrës, me vendimin nr.11-2017-2678/736, datë 30.05.2017, ka vendosur: </w:t>
      </w:r>
      <w:r w:rsidRPr="00364F07">
        <w:rPr>
          <w:rFonts w:ascii="Times New Roman" w:eastAsia="Calibri" w:hAnsi="Times New Roman" w:cs="Times New Roman"/>
          <w:i/>
          <w:sz w:val="24"/>
          <w:szCs w:val="24"/>
          <w:lang w:val="sq-AL"/>
        </w:rPr>
        <w:t>“Njohjen e vendimit penal nr.32/2014, datë 09.01.2014 dhe nr.8638/2009, datë 08.03.2012 të gjykatës së Udines, Itali</w:t>
      </w:r>
      <w:r w:rsidR="00364F07">
        <w:rPr>
          <w:rFonts w:ascii="Times New Roman" w:eastAsia="Calibri" w:hAnsi="Times New Roman" w:cs="Times New Roman"/>
          <w:i/>
          <w:sz w:val="24"/>
          <w:szCs w:val="24"/>
          <w:lang w:val="sq-AL"/>
        </w:rPr>
        <w:t>,</w:t>
      </w:r>
      <w:r w:rsidRPr="00364F07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 duke përcaktuar si dënim të vetëm për shtetasin Orest Qerimaj 7 vjet, 4 muaj e 20 ditë burgim.”.</w:t>
      </w:r>
    </w:p>
    <w:p w:rsidR="004619EB" w:rsidRPr="00364F07" w:rsidRDefault="004619EB" w:rsidP="004619EB">
      <w:pPr>
        <w:numPr>
          <w:ilvl w:val="0"/>
          <w:numId w:val="1"/>
        </w:numPr>
        <w:tabs>
          <w:tab w:val="left" w:pos="720"/>
          <w:tab w:val="left" w:pos="99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Gjykata e Apelit Durrës, 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vendimin nr.10-217-1959(200), datë 28.07.2017, vendosi: </w:t>
      </w:r>
      <w:r w:rsidRPr="00364F07">
        <w:rPr>
          <w:rFonts w:ascii="Times New Roman" w:eastAsia="Calibri" w:hAnsi="Times New Roman" w:cs="Times New Roman"/>
          <w:i/>
          <w:sz w:val="24"/>
          <w:szCs w:val="24"/>
          <w:lang w:val="sq-AL"/>
        </w:rPr>
        <w:t>“Lënien në fuqi të vendimit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.”. </w:t>
      </w:r>
    </w:p>
    <w:p w:rsidR="00467E7B" w:rsidRDefault="004619EB" w:rsidP="00467E7B">
      <w:pPr>
        <w:numPr>
          <w:ilvl w:val="0"/>
          <w:numId w:val="1"/>
        </w:numPr>
        <w:tabs>
          <w:tab w:val="left" w:pos="720"/>
          <w:tab w:val="left" w:pos="99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Kolegji Penal i Gjykatës së Lartë, me vendimin </w:t>
      </w:r>
      <w:r w:rsidRPr="00364F0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nr.00-2017-868, datë 09.11.2017, ka vendosur: </w:t>
      </w:r>
      <w:r w:rsidRPr="00364F07">
        <w:rPr>
          <w:rFonts w:ascii="Times New Roman" w:eastAsia="Calibri" w:hAnsi="Times New Roman" w:cs="Times New Roman"/>
          <w:i/>
          <w:sz w:val="24"/>
          <w:szCs w:val="24"/>
          <w:lang w:val="sq-AL"/>
        </w:rPr>
        <w:t>“Mospranimin e rekursit.”</w:t>
      </w:r>
      <w:r w:rsidR="00875321">
        <w:rPr>
          <w:rFonts w:ascii="Times New Roman" w:eastAsia="Calibri" w:hAnsi="Times New Roman" w:cs="Times New Roman"/>
          <w:i/>
          <w:sz w:val="24"/>
          <w:szCs w:val="24"/>
          <w:lang w:val="sq-AL"/>
        </w:rPr>
        <w:t>.</w:t>
      </w:r>
    </w:p>
    <w:p w:rsidR="00467E7B" w:rsidRDefault="00467E7B" w:rsidP="00467E7B">
      <w:pPr>
        <w:tabs>
          <w:tab w:val="left" w:pos="720"/>
          <w:tab w:val="left" w:pos="99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031DE" w:rsidRPr="00467E7B" w:rsidRDefault="001031DE" w:rsidP="00467E7B">
      <w:pPr>
        <w:tabs>
          <w:tab w:val="left" w:pos="720"/>
          <w:tab w:val="left" w:pos="99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67E7B">
        <w:rPr>
          <w:rFonts w:ascii="Times New Roman" w:eastAsia="Times New Roman" w:hAnsi="Times New Roman" w:cs="Times New Roman"/>
          <w:b/>
          <w:sz w:val="24"/>
          <w:szCs w:val="24"/>
          <w:lang w:val="sq-AL" w:eastAsia="fr-FR"/>
        </w:rPr>
        <w:t>II</w:t>
      </w:r>
    </w:p>
    <w:p w:rsidR="004619EB" w:rsidRPr="00364F07" w:rsidRDefault="004619EB" w:rsidP="004619EB">
      <w:pPr>
        <w:tabs>
          <w:tab w:val="left" w:pos="1080"/>
          <w:tab w:val="left" w:pos="189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6.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364F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Kërkuesi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 është drejtuar Gjykatës Kushtetuese për shfuqizimin e vendimeve objekt kërkese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duke parashtruar se gjykatat e faktit kanë cenuar procesin e rregullt, pasi:</w:t>
      </w:r>
    </w:p>
    <w:p w:rsidR="006F2628" w:rsidRDefault="004619EB" w:rsidP="006F2628">
      <w:pPr>
        <w:tabs>
          <w:tab w:val="left" w:pos="1260"/>
          <w:tab w:val="left" w:pos="1890"/>
        </w:tabs>
        <w:spacing w:after="0" w:line="360" w:lineRule="auto"/>
        <w:ind w:left="125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6.1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Ato</w:t>
      </w:r>
      <w:r w:rsidR="00364F07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nuk kanë dhënë një vendim të arsyetuar, sipas standardeve kushtetuese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467E7B" w:rsidRDefault="004619EB" w:rsidP="006F2628">
      <w:pPr>
        <w:tabs>
          <w:tab w:val="left" w:pos="1260"/>
          <w:tab w:val="left" w:pos="1890"/>
        </w:tabs>
        <w:spacing w:after="0" w:line="360" w:lineRule="auto"/>
        <w:ind w:left="1259" w:hanging="53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6.2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  <w:t xml:space="preserve">Kolegji Penal duhej </w:t>
      </w:r>
      <w:r w:rsidR="00364F07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</w:t>
      </w:r>
      <w:r w:rsidR="00364F07"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kishte kaluar çështjen në seancë për të korrigjuar shkeljet e gjykatave më të ul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ta</w:t>
      </w:r>
      <w:r w:rsid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Pr="00364F07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duke respektuar edhe të drejtën e aksesit në gjykatë për kërkuesin.</w:t>
      </w:r>
    </w:p>
    <w:p w:rsidR="00467E7B" w:rsidRDefault="00467E7B" w:rsidP="00467E7B">
      <w:pPr>
        <w:tabs>
          <w:tab w:val="left" w:pos="1260"/>
          <w:tab w:val="left" w:pos="18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467E7B" w:rsidRDefault="001031DE" w:rsidP="00467E7B">
      <w:pPr>
        <w:tabs>
          <w:tab w:val="left" w:pos="1260"/>
          <w:tab w:val="left" w:pos="18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III</w:t>
      </w:r>
    </w:p>
    <w:p w:rsidR="001031DE" w:rsidRPr="00467E7B" w:rsidRDefault="001031DE" w:rsidP="00467E7B">
      <w:pPr>
        <w:tabs>
          <w:tab w:val="left" w:pos="1260"/>
          <w:tab w:val="left" w:pos="189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Kolegjit</w:t>
      </w:r>
    </w:p>
    <w:p w:rsidR="004619EB" w:rsidRPr="00364F07" w:rsidRDefault="004619EB" w:rsidP="004619EB">
      <w:pPr>
        <w:tabs>
          <w:tab w:val="left" w:pos="567"/>
          <w:tab w:val="left" w:pos="1080"/>
        </w:tabs>
        <w:spacing w:after="0" w:line="360" w:lineRule="auto"/>
        <w:ind w:left="720"/>
        <w:jc w:val="both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364F07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A. Për legjitimimin e kërkuesit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7. Kërkuesi legjitimohet </w:t>
      </w:r>
      <w:r w:rsidRPr="00364F07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ratione personae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>, në kuptim të rregullimit kushtetues të neneve 131</w:t>
      </w:r>
      <w:r w:rsidR="00364F07">
        <w:rPr>
          <w:rFonts w:ascii="Times New Roman" w:eastAsia="MS Mincho" w:hAnsi="Times New Roman" w:cs="Times New Roman"/>
          <w:sz w:val="24"/>
          <w:szCs w:val="24"/>
          <w:lang w:val="sq-AL"/>
        </w:rPr>
        <w:t>/1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>/f dhe 134/1/i të Kushtetutës, pasi ka qenë palë në gjykim dhe si e tillë ka interes të drejtpërdrejt</w:t>
      </w:r>
      <w:r w:rsidR="00364F0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çështjen e parashtruar. Ai legjitimohet edhe </w:t>
      </w:r>
      <w:r w:rsidRPr="00364F07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ratione temporis,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pasi kërkesa është 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paraqitur brenda afatit </w:t>
      </w:r>
      <w:r w:rsidR="00364F07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-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mujor të parashikuar 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>nga neni 71/a</w:t>
      </w:r>
      <w:r w:rsidR="00364F0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pika b</w:t>
      </w:r>
      <w:r w:rsidR="00364F0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ligjit nr.8577, datë 10.02.2000 “Për organizimin dhe funksionimin e Gjykatës Kushtetuese të Republikës së Shqipërisë”, të ndryshuar. </w:t>
      </w:r>
      <w:r w:rsidR="00364F07">
        <w:rPr>
          <w:rFonts w:ascii="Times New Roman" w:eastAsia="MS Mincho" w:hAnsi="Times New Roman" w:cs="Times New Roman"/>
          <w:sz w:val="24"/>
          <w:szCs w:val="24"/>
          <w:lang w:val="sq-AL"/>
        </w:rPr>
        <w:t>Gjithashtu, k</w:t>
      </w:r>
      <w:r w:rsidRPr="00364F0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ërkuesi 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legjitimohet edhe </w:t>
      </w:r>
      <w:r w:rsidRPr="00364F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ratione materiae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pasi rezulton se ka parashtruar pretendime që hyjnë në juridiksionin e kësaj Gjykate</w:t>
      </w:r>
      <w:r w:rsid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 dhe ka shteruar mjetet ligjore në dispozicion.</w:t>
      </w:r>
    </w:p>
    <w:p w:rsidR="00467E7B" w:rsidRDefault="00467E7B" w:rsidP="00467E7B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B. Për bazueshmërinë prima faciae të pretendimeve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8. Kërkuesi pretendon se nuk është arsyetuar si duhet vendimi që ka bërë njohjen e d</w:t>
      </w:r>
      <w:r w:rsidR="00B75AB2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ënimin penal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gjykata italiane.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kern w:val="32"/>
          <w:sz w:val="24"/>
          <w:szCs w:val="24"/>
          <w:lang w:val="sq-AL"/>
        </w:rPr>
        <w:lastRenderedPageBreak/>
        <w:t>9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. Gjykata ka theksuar se ajo ndërhyn në ato raste kur, përmes veprimeve të tyre, gjykatat e zakonshme cenojnë të drejtën për një proces të rregullt ligjor. Në këto raste ajo nuk bën rivlerësimin e fakteve e të rrethanave, por një vlerësim të natyrës kushtetuese, të dallueshëm nga ai i gjykatave të juridiksionit të zakonshëm. Gjykata e analizon ligjin, faktin dhe rrethanën përkatëse në atë dimension që ka ndikim mbi të drejtat dhe liritë e parashikuara nga nenet 42 dhe 131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/1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/f të Kushtetutës, gjë e cila përbën juridiksionin e saj kushtetues (</w:t>
      </w:r>
      <w:r w:rsidRPr="00364F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shih vendimin </w:t>
      </w:r>
      <w:r w:rsidRPr="00364F07">
        <w:rPr>
          <w:rFonts w:ascii="Times New Roman" w:hAnsi="Times New Roman" w:cs="Times New Roman"/>
          <w:bCs/>
          <w:i/>
          <w:sz w:val="24"/>
          <w:szCs w:val="24"/>
          <w:lang w:val="sq-AL"/>
        </w:rPr>
        <w:t>nr.16, dat</w:t>
      </w:r>
      <w:r w:rsidRPr="00364F07">
        <w:rPr>
          <w:rFonts w:ascii="Times New Roman" w:hAnsi="Times New Roman" w:cs="Times New Roman"/>
          <w:i/>
          <w:sz w:val="24"/>
          <w:szCs w:val="24"/>
          <w:lang w:val="sq-AL"/>
        </w:rPr>
        <w:t>ë 19.04.2013 të Gjykatës Kushtetuese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). Detyra e Gjykatës nuk është zgjidhja e një mosmarrëveshjeje juridike për çështje fakti, por identifikimi i fakteve të natyrës kushtetuese, të cilat shërbejnë për realizimin e kompetencave të saj dhe përbëjnë elementin thelbësor në përcaktimin e autoritetit të një gjykimi kushtetues (</w:t>
      </w:r>
      <w:r w:rsidRPr="00364F07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shih vendimin </w:t>
      </w:r>
      <w:r w:rsidRPr="00364F07">
        <w:rPr>
          <w:rFonts w:ascii="Times New Roman" w:hAnsi="Times New Roman" w:cs="Times New Roman"/>
          <w:bCs/>
          <w:i/>
          <w:sz w:val="24"/>
          <w:szCs w:val="24"/>
          <w:lang w:val="sq-AL"/>
        </w:rPr>
        <w:t>nr.16, dat</w:t>
      </w:r>
      <w:r w:rsidRPr="00364F07">
        <w:rPr>
          <w:rFonts w:ascii="Times New Roman" w:hAnsi="Times New Roman" w:cs="Times New Roman"/>
          <w:i/>
          <w:sz w:val="24"/>
          <w:szCs w:val="24"/>
          <w:lang w:val="sq-AL"/>
        </w:rPr>
        <w:t>ë 19.04.2013 të Gjykatës Kushtetuese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hAnsi="Times New Roman" w:cs="Times New Roman"/>
          <w:sz w:val="24"/>
          <w:szCs w:val="24"/>
          <w:lang w:val="sq-AL"/>
        </w:rPr>
        <w:t>10. Duke iu kthyer çështjes konkrete, rezulton se në zbatim të nenit 512 të KPP-së, bazuar në një vendim penal me burgim të formës së prerë nga autoritetet italiane, gjykatat shqiptare kanë bërë njohjen e atij vendimi. Rezulton se këto vendime kanë respektuar kërkesat e nenit 514 të KPP-së: kërkesa e prokurorisë shqiptare që ka vënë në lëvizje gjykatën është e shoqëruar me një kopje të vendimit të dënimit me burgim; janë paraqitur të plota të dhënat personale të kërkuesit (të të dënuarit); veprat penale për të cilat është dënuar kërkuesi janë parashikuar edhe nga legjislacioni penal shqiptar; nuk rezulton që ai të jetë dënuar për këto vepra në Shqipëri; nuk rezulton që ai të jetë gjykuar dhe dënuar në mungesë apo të mos jetë mbrojtur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si dhe nuk ka të dhëna që në dhënien e vendimit gjykatat e huaja të jenë ndikuar nga </w:t>
      </w:r>
      <w:r w:rsidR="00364F07" w:rsidRPr="00364F07">
        <w:rPr>
          <w:rFonts w:ascii="Times New Roman" w:hAnsi="Times New Roman" w:cs="Times New Roman"/>
          <w:sz w:val="24"/>
          <w:szCs w:val="24"/>
          <w:lang w:val="sq-AL"/>
        </w:rPr>
        <w:t>element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64F07"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diskriminues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e,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raca, gjinia, feja, gjuha apo bindjet politike. Në përfundim, gjykatat kanë konkluduar se kërkesat e KPP-së për njohjen e vendimit të huaj penal janë të plotësuara dhe mbi këtë bazë kanë bërë njohjen e tij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me qëllim ekzekutimin e dënimit në Shqipëri.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hAnsi="Times New Roman" w:cs="Times New Roman"/>
          <w:sz w:val="24"/>
          <w:szCs w:val="24"/>
          <w:lang w:val="sq-AL"/>
        </w:rPr>
        <w:t>11.</w:t>
      </w:r>
      <w:r w:rsidR="00467E7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6D7E" w:rsidRPr="00364F07">
        <w:rPr>
          <w:rFonts w:ascii="Times New Roman" w:hAnsi="Times New Roman" w:cs="Times New Roman"/>
          <w:sz w:val="24"/>
          <w:szCs w:val="24"/>
          <w:lang w:val="sq-AL"/>
        </w:rPr>
        <w:t>Kolegji konstaton se r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>eferuar materialeve t</w:t>
      </w:r>
      <w:r w:rsidR="00B75AB2" w:rsidRPr="00364F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dosjes, vendimi për të cilin është bërë njohja nga gjykata shqiptare ka të bëjë me veprën penale të prodhimit dhe shitjes së lëndëve narkotike dhe kundërshtim</w:t>
      </w:r>
      <w:r w:rsidR="00364F07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364F07">
        <w:rPr>
          <w:rFonts w:ascii="Times New Roman" w:hAnsi="Times New Roman" w:cs="Times New Roman"/>
          <w:sz w:val="24"/>
          <w:szCs w:val="24"/>
          <w:lang w:val="sq-AL"/>
        </w:rPr>
        <w:t xml:space="preserve"> të punonjësit të policisë. Gjykatat shqiptare kanë arsyetuar mjaftueshëm plotësimin e kushteve të njohjes së vendimit penal. Të provuarit apo jo të veprës nuk është çështje që i takon juridiksionit kushtetues. Ky pretendim, në thelbin e tij, ka të bëjë me mënyrën e vlerësimit dhe të interpretimit të ligjit material dhe procedural penal nga gjykatat e zakonshme, të cilat janë çështje që i përkasin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>juridiksionit të zakonshëm gjyqësor dhe jo atij kushtetues. Gjykata nuk mund të vlerësojë aspekte të fakteve dhe provave mbi të cilat është dënuar kërkuesi</w:t>
      </w:r>
      <w:r w:rsidR="00364F07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vlerësime të cilat i takojnë gjykatave penale.</w:t>
      </w:r>
    </w:p>
    <w:p w:rsidR="00467E7B" w:rsidRDefault="004619EB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12. Për sa i takon pretendimit 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tjetër të kërkuesit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për moskalimin e çështjes në seancë plenare nga Kolegji Penal, tashmë Gjykata ka jurisprudencë të qëndrueshme lidhur me kriteret 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formale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 duhet të plotësojë rekursi për t’u shqyrtuar në seancë dhe </w:t>
      </w:r>
      <w:r w:rsidR="00364F07" w:rsidRPr="00364F07">
        <w:rPr>
          <w:rFonts w:ascii="Times New Roman" w:hAnsi="Times New Roman" w:cs="Times New Roman"/>
          <w:bCs/>
          <w:sz w:val="24"/>
          <w:szCs w:val="24"/>
          <w:lang w:val="sq-AL"/>
        </w:rPr>
        <w:t>vlerësimi</w:t>
      </w:r>
      <w:r w:rsidR="00364F07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="00364F07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>që bën Kolegji Penal/Civil i Gjykatës së Lartë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këtë rast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Në këto kushte, 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Kolegji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nuk 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arrin të konstatojë ndonjë shkelje që të ketë cenuar 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>standardet e procesit të rregullt</w:t>
      </w:r>
      <w:r w:rsidR="00526D7E" w:rsidRPr="00364F0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ligjor</w:t>
      </w:r>
      <w:r w:rsidRPr="00364F07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636AE7" w:rsidRDefault="001031DE" w:rsidP="00467E7B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526D7E"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. Për sa më sipër, Kolegji çmon se kërkesa e paraqitur nuk mund të kalojë për shqyrtim në seancë plenare, pasi është haptazi e pabazuar.</w:t>
      </w:r>
    </w:p>
    <w:p w:rsidR="00636AE7" w:rsidRDefault="00636AE7" w:rsidP="00636AE7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6AE7" w:rsidRDefault="001031DE" w:rsidP="00636AE7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 KËTO ARSYE,</w:t>
      </w:r>
    </w:p>
    <w:p w:rsidR="00636AE7" w:rsidRDefault="001031DE" w:rsidP="00636AE7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Shqipërisë, në bazë të neneve 31 dhe 31/a të ligjit nr.8577, datë 10.02.2000 “Për organizimin dhe funksionimin e Gjykatës Kushtetuese të Republikës së Shqipërisë”, të ndryshuar,</w:t>
      </w:r>
    </w:p>
    <w:p w:rsidR="00636AE7" w:rsidRDefault="00636AE7" w:rsidP="00636AE7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36AE7" w:rsidRDefault="001031DE" w:rsidP="00636AE7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64F0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:rsidR="007D3D59" w:rsidRPr="00636AE7" w:rsidRDefault="001031DE" w:rsidP="00636AE7">
      <w:pPr>
        <w:pStyle w:val="ListParagraph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36AE7">
        <w:rPr>
          <w:rFonts w:ascii="Times New Roman" w:eastAsia="Times New Roman" w:hAnsi="Times New Roman" w:cs="Times New Roman"/>
          <w:sz w:val="24"/>
          <w:szCs w:val="24"/>
          <w:lang w:val="sq-AL"/>
        </w:rPr>
        <w:t>Moskalimin e çështjes për shqyrtim në seancë plenare.</w:t>
      </w:r>
    </w:p>
    <w:sectPr w:rsidR="007D3D59" w:rsidRPr="00636AE7" w:rsidSect="007D3D59">
      <w:footerReference w:type="default" r:id="rId7"/>
      <w:footerReference w:type="first" r:id="rId8"/>
      <w:pgSz w:w="12240" w:h="15840"/>
      <w:pgMar w:top="990" w:right="1440" w:bottom="108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D4" w:rsidRDefault="005D5AD4" w:rsidP="00141BDE">
      <w:pPr>
        <w:spacing w:after="0" w:line="240" w:lineRule="auto"/>
      </w:pPr>
      <w:r>
        <w:separator/>
      </w:r>
    </w:p>
  </w:endnote>
  <w:endnote w:type="continuationSeparator" w:id="0">
    <w:p w:rsidR="005D5AD4" w:rsidRDefault="005D5AD4" w:rsidP="001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5"/>
      <w:docPartObj>
        <w:docPartGallery w:val="Page Numbers (Bottom of Page)"/>
        <w:docPartUnique/>
      </w:docPartObj>
    </w:sdtPr>
    <w:sdtContent>
      <w:p w:rsidR="007D3D59" w:rsidRDefault="00B23CB1">
        <w:pPr>
          <w:pStyle w:val="Footer"/>
          <w:jc w:val="right"/>
        </w:pPr>
        <w:fldSimple w:instr=" PAGE   \* MERGEFORMAT ">
          <w:r w:rsidR="006F2628">
            <w:rPr>
              <w:noProof/>
            </w:rPr>
            <w:t>2</w:t>
          </w:r>
        </w:fldSimple>
      </w:p>
    </w:sdtContent>
  </w:sdt>
  <w:p w:rsidR="0067546E" w:rsidRPr="007E79B3" w:rsidRDefault="005D5AD4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B" w:rsidRDefault="00B23CB1">
    <w:pPr>
      <w:pStyle w:val="Footer"/>
      <w:jc w:val="right"/>
    </w:pPr>
    <w:r>
      <w:fldChar w:fldCharType="begin"/>
    </w:r>
    <w:r w:rsidR="00526D7E">
      <w:instrText xml:space="preserve"> PAGE   \* MERGEFORMAT </w:instrText>
    </w:r>
    <w:r>
      <w:fldChar w:fldCharType="separate"/>
    </w:r>
    <w:r w:rsidR="006F2628">
      <w:rPr>
        <w:noProof/>
      </w:rPr>
      <w:t>1</w:t>
    </w:r>
    <w:r>
      <w:fldChar w:fldCharType="end"/>
    </w:r>
  </w:p>
  <w:p w:rsidR="0067546E" w:rsidRDefault="005D5AD4" w:rsidP="0067546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D4" w:rsidRDefault="005D5AD4" w:rsidP="00141BDE">
      <w:pPr>
        <w:spacing w:after="0" w:line="240" w:lineRule="auto"/>
      </w:pPr>
      <w:r>
        <w:separator/>
      </w:r>
    </w:p>
  </w:footnote>
  <w:footnote w:type="continuationSeparator" w:id="0">
    <w:p w:rsidR="005D5AD4" w:rsidRDefault="005D5AD4" w:rsidP="0014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AA9"/>
    <w:multiLevelType w:val="hybridMultilevel"/>
    <w:tmpl w:val="83B63B8A"/>
    <w:lvl w:ilvl="0" w:tplc="C7349A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164E3"/>
    <w:multiLevelType w:val="hybridMultilevel"/>
    <w:tmpl w:val="D73CC25C"/>
    <w:lvl w:ilvl="0" w:tplc="04FA41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DE"/>
    <w:rsid w:val="000F2AEF"/>
    <w:rsid w:val="001031DE"/>
    <w:rsid w:val="00141BDE"/>
    <w:rsid w:val="001A2B83"/>
    <w:rsid w:val="001C72CC"/>
    <w:rsid w:val="00201CBF"/>
    <w:rsid w:val="00207A9E"/>
    <w:rsid w:val="00233EF5"/>
    <w:rsid w:val="002F70AE"/>
    <w:rsid w:val="00301DE4"/>
    <w:rsid w:val="00364F07"/>
    <w:rsid w:val="00407054"/>
    <w:rsid w:val="00416A97"/>
    <w:rsid w:val="004619EB"/>
    <w:rsid w:val="00464C7F"/>
    <w:rsid w:val="00467E7B"/>
    <w:rsid w:val="004A1573"/>
    <w:rsid w:val="004D7835"/>
    <w:rsid w:val="00526D7E"/>
    <w:rsid w:val="005D5AD4"/>
    <w:rsid w:val="00636AE7"/>
    <w:rsid w:val="006F2628"/>
    <w:rsid w:val="007D3D59"/>
    <w:rsid w:val="007E79B3"/>
    <w:rsid w:val="00875321"/>
    <w:rsid w:val="00936530"/>
    <w:rsid w:val="009660CF"/>
    <w:rsid w:val="00970B40"/>
    <w:rsid w:val="00975547"/>
    <w:rsid w:val="009B0842"/>
    <w:rsid w:val="00A029C7"/>
    <w:rsid w:val="00B23CB1"/>
    <w:rsid w:val="00B75AB2"/>
    <w:rsid w:val="00F4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1D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31D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07"/>
  </w:style>
  <w:style w:type="paragraph" w:styleId="ListParagraph">
    <w:name w:val="List Paragraph"/>
    <w:basedOn w:val="Normal"/>
    <w:uiPriority w:val="34"/>
    <w:qFormat/>
    <w:rsid w:val="0063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OREST QERIMAJ</vt:lpstr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OREST QERIMAJ</dc:title>
  <dc:subject>Dt.19.03.2018</dc:subject>
  <dc:creator>Gani DIZDARI</dc:creator>
  <cp:lastModifiedBy>user</cp:lastModifiedBy>
  <cp:revision>8</cp:revision>
  <dcterms:created xsi:type="dcterms:W3CDTF">2018-03-27T08:24:00Z</dcterms:created>
  <dcterms:modified xsi:type="dcterms:W3CDTF">2018-04-13T10:26:00Z</dcterms:modified>
</cp:coreProperties>
</file>