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BE" w:rsidRPr="004D3B21" w:rsidRDefault="006500BE" w:rsidP="00CB53E9">
      <w:pPr>
        <w:spacing w:after="0" w:line="360" w:lineRule="auto"/>
        <w:jc w:val="center"/>
        <w:rPr>
          <w:rFonts w:ascii="Times New Roman" w:hAnsi="Times New Roman"/>
          <w:b/>
          <w:bCs/>
          <w:sz w:val="24"/>
          <w:szCs w:val="24"/>
          <w:lang w:val="sq-AL"/>
        </w:rPr>
      </w:pPr>
      <w:r w:rsidRPr="004D3B21">
        <w:rPr>
          <w:rFonts w:ascii="Times New Roman" w:hAnsi="Times New Roman"/>
          <w:b/>
          <w:bCs/>
          <w:sz w:val="24"/>
          <w:szCs w:val="24"/>
          <w:lang w:val="sq-AL"/>
        </w:rPr>
        <w:t>V</w:t>
      </w:r>
      <w:r w:rsidR="00CB53E9">
        <w:rPr>
          <w:rFonts w:ascii="Times New Roman" w:hAnsi="Times New Roman"/>
          <w:b/>
          <w:bCs/>
          <w:sz w:val="24"/>
          <w:szCs w:val="24"/>
          <w:lang w:val="sq-AL"/>
        </w:rPr>
        <w:t xml:space="preserve">endim nr. 30 datë </w:t>
      </w:r>
      <w:r w:rsidR="00CB53E9" w:rsidRPr="004D3B21">
        <w:rPr>
          <w:rFonts w:ascii="Times New Roman" w:hAnsi="Times New Roman"/>
          <w:b/>
          <w:bCs/>
          <w:sz w:val="24"/>
          <w:szCs w:val="24"/>
          <w:lang w:val="sq-AL"/>
        </w:rPr>
        <w:t>08.02.2018</w:t>
      </w:r>
    </w:p>
    <w:p w:rsidR="006500BE" w:rsidRPr="004D3B21" w:rsidRDefault="006500BE" w:rsidP="006500BE">
      <w:pPr>
        <w:spacing w:after="0" w:line="360" w:lineRule="auto"/>
        <w:jc w:val="center"/>
        <w:rPr>
          <w:rFonts w:ascii="Times New Roman" w:hAnsi="Times New Roman"/>
          <w:b/>
          <w:bCs/>
          <w:sz w:val="24"/>
          <w:szCs w:val="24"/>
          <w:lang w:val="sq-AL"/>
        </w:rPr>
      </w:pPr>
    </w:p>
    <w:p w:rsidR="006500BE" w:rsidRPr="004D3B21" w:rsidRDefault="006500BE" w:rsidP="006500BE">
      <w:pPr>
        <w:tabs>
          <w:tab w:val="left" w:pos="0"/>
          <w:tab w:val="left" w:pos="720"/>
        </w:tabs>
        <w:spacing w:after="0" w:line="360" w:lineRule="auto"/>
        <w:jc w:val="both"/>
        <w:rPr>
          <w:rFonts w:ascii="Times New Roman" w:hAnsi="Times New Roman"/>
          <w:sz w:val="24"/>
          <w:szCs w:val="24"/>
          <w:lang w:val="sq-AL"/>
        </w:rPr>
      </w:pPr>
      <w:r w:rsidRPr="004D3B21">
        <w:rPr>
          <w:rFonts w:ascii="Times New Roman" w:hAnsi="Times New Roman"/>
          <w:sz w:val="24"/>
          <w:szCs w:val="24"/>
          <w:lang w:val="sq-AL"/>
        </w:rPr>
        <w:tab/>
        <w:t>Kolegji i Gjykatës Kushtetuese të Republikës së Shqipërisë, i përbërë nga:</w:t>
      </w:r>
    </w:p>
    <w:p w:rsidR="006500BE" w:rsidRPr="004D3B21" w:rsidRDefault="006500BE" w:rsidP="006500BE">
      <w:pPr>
        <w:tabs>
          <w:tab w:val="left" w:pos="0"/>
          <w:tab w:val="left" w:pos="720"/>
        </w:tabs>
        <w:spacing w:after="0" w:line="360" w:lineRule="auto"/>
        <w:jc w:val="both"/>
        <w:rPr>
          <w:rFonts w:ascii="Times New Roman" w:hAnsi="Times New Roman"/>
          <w:sz w:val="24"/>
          <w:szCs w:val="24"/>
          <w:lang w:val="sq-AL"/>
        </w:rPr>
      </w:pPr>
    </w:p>
    <w:p w:rsidR="006500BE" w:rsidRPr="004D3B21" w:rsidRDefault="006500BE" w:rsidP="006500BE">
      <w:pPr>
        <w:spacing w:after="0" w:line="360" w:lineRule="auto"/>
        <w:ind w:firstLine="720"/>
        <w:jc w:val="both"/>
        <w:rPr>
          <w:rFonts w:ascii="Times New Roman" w:hAnsi="Times New Roman"/>
          <w:bCs/>
          <w:sz w:val="24"/>
          <w:szCs w:val="24"/>
          <w:lang w:val="sq-AL"/>
        </w:rPr>
      </w:pPr>
      <w:r w:rsidRPr="004D3B21">
        <w:rPr>
          <w:rFonts w:ascii="Times New Roman" w:hAnsi="Times New Roman"/>
          <w:bCs/>
          <w:sz w:val="24"/>
          <w:szCs w:val="24"/>
          <w:lang w:val="sq-AL"/>
        </w:rPr>
        <w:t>Vitore Tusha,</w:t>
      </w:r>
      <w:r w:rsidRPr="004D3B21">
        <w:rPr>
          <w:rFonts w:ascii="Times New Roman" w:hAnsi="Times New Roman"/>
          <w:bCs/>
          <w:sz w:val="24"/>
          <w:szCs w:val="24"/>
          <w:lang w:val="sq-AL"/>
        </w:rPr>
        <w:tab/>
      </w:r>
      <w:r w:rsidRPr="004D3B21">
        <w:rPr>
          <w:rFonts w:ascii="Times New Roman" w:hAnsi="Times New Roman"/>
          <w:bCs/>
          <w:sz w:val="24"/>
          <w:szCs w:val="24"/>
          <w:lang w:val="sq-AL"/>
        </w:rPr>
        <w:tab/>
        <w:t>Anëtare  e    Gjykatës Kushtetuese</w:t>
      </w:r>
    </w:p>
    <w:p w:rsidR="00495C33" w:rsidRPr="004D3B21" w:rsidRDefault="00495C33" w:rsidP="00495C33">
      <w:pPr>
        <w:spacing w:after="0" w:line="360" w:lineRule="auto"/>
        <w:ind w:firstLine="720"/>
        <w:jc w:val="both"/>
        <w:rPr>
          <w:rFonts w:ascii="Times New Roman" w:hAnsi="Times New Roman"/>
          <w:bCs/>
          <w:sz w:val="24"/>
          <w:szCs w:val="24"/>
          <w:lang w:val="sq-AL"/>
        </w:rPr>
      </w:pPr>
      <w:r w:rsidRPr="004D3B21">
        <w:rPr>
          <w:rFonts w:ascii="Times New Roman" w:hAnsi="Times New Roman"/>
          <w:bCs/>
          <w:sz w:val="24"/>
          <w:szCs w:val="24"/>
          <w:lang w:val="sq-AL"/>
        </w:rPr>
        <w:t xml:space="preserve">Fatmir Hoxha, </w:t>
      </w:r>
      <w:r w:rsidRPr="004D3B21">
        <w:rPr>
          <w:rFonts w:ascii="Times New Roman" w:hAnsi="Times New Roman"/>
          <w:bCs/>
          <w:sz w:val="24"/>
          <w:szCs w:val="24"/>
          <w:lang w:val="sq-AL"/>
        </w:rPr>
        <w:tab/>
        <w:t xml:space="preserve">Anëtar    i      </w:t>
      </w:r>
      <w:r w:rsidRPr="004D3B21">
        <w:rPr>
          <w:rFonts w:ascii="Times New Roman" w:hAnsi="Times New Roman"/>
          <w:bCs/>
          <w:sz w:val="24"/>
          <w:szCs w:val="24"/>
          <w:lang w:val="sq-AL"/>
        </w:rPr>
        <w:tab/>
        <w:t xml:space="preserve"> “              “</w:t>
      </w:r>
    </w:p>
    <w:p w:rsidR="006500BE" w:rsidRPr="004D3B21" w:rsidRDefault="006500BE" w:rsidP="006500BE">
      <w:pPr>
        <w:spacing w:after="0" w:line="360" w:lineRule="auto"/>
        <w:ind w:firstLine="720"/>
        <w:jc w:val="both"/>
        <w:rPr>
          <w:rFonts w:ascii="Times New Roman" w:hAnsi="Times New Roman"/>
          <w:sz w:val="24"/>
          <w:szCs w:val="24"/>
          <w:lang w:val="sq-AL"/>
        </w:rPr>
      </w:pPr>
      <w:r w:rsidRPr="004D3B21">
        <w:rPr>
          <w:rFonts w:ascii="Times New Roman" w:hAnsi="Times New Roman"/>
          <w:bCs/>
          <w:sz w:val="24"/>
          <w:szCs w:val="24"/>
          <w:lang w:val="sq-AL"/>
        </w:rPr>
        <w:t>Gani Dizdari,</w:t>
      </w:r>
      <w:r w:rsidRPr="004D3B21">
        <w:rPr>
          <w:rFonts w:ascii="Times New Roman" w:hAnsi="Times New Roman"/>
          <w:bCs/>
          <w:sz w:val="24"/>
          <w:szCs w:val="24"/>
          <w:lang w:val="sq-AL"/>
        </w:rPr>
        <w:tab/>
      </w:r>
      <w:r w:rsidRPr="004D3B21">
        <w:rPr>
          <w:rFonts w:ascii="Times New Roman" w:hAnsi="Times New Roman"/>
          <w:bCs/>
          <w:sz w:val="24"/>
          <w:szCs w:val="24"/>
          <w:lang w:val="sq-AL"/>
        </w:rPr>
        <w:tab/>
        <w:t xml:space="preserve">Anëtar    i </w:t>
      </w:r>
      <w:r w:rsidRPr="004D3B21">
        <w:rPr>
          <w:rFonts w:ascii="Times New Roman" w:hAnsi="Times New Roman"/>
          <w:bCs/>
          <w:sz w:val="24"/>
          <w:szCs w:val="24"/>
          <w:lang w:val="sq-AL"/>
        </w:rPr>
        <w:tab/>
        <w:t xml:space="preserve"> “</w:t>
      </w:r>
      <w:r w:rsidRPr="004D3B21">
        <w:rPr>
          <w:rFonts w:ascii="Times New Roman" w:hAnsi="Times New Roman"/>
          <w:bCs/>
          <w:sz w:val="24"/>
          <w:szCs w:val="24"/>
          <w:lang w:val="sq-AL"/>
        </w:rPr>
        <w:tab/>
        <w:t xml:space="preserve">     “</w:t>
      </w:r>
      <w:r w:rsidRPr="004D3B21">
        <w:rPr>
          <w:rFonts w:ascii="Times New Roman" w:hAnsi="Times New Roman"/>
          <w:bCs/>
          <w:sz w:val="24"/>
          <w:szCs w:val="24"/>
          <w:lang w:val="sq-AL"/>
        </w:rPr>
        <w:tab/>
      </w:r>
    </w:p>
    <w:p w:rsidR="006500BE" w:rsidRPr="004D3B21" w:rsidRDefault="006500BE" w:rsidP="006500BE">
      <w:pPr>
        <w:tabs>
          <w:tab w:val="left" w:pos="0"/>
          <w:tab w:val="left" w:pos="720"/>
        </w:tabs>
        <w:spacing w:after="0" w:line="360" w:lineRule="auto"/>
        <w:jc w:val="both"/>
        <w:rPr>
          <w:rFonts w:ascii="Times New Roman" w:hAnsi="Times New Roman"/>
          <w:sz w:val="24"/>
          <w:szCs w:val="24"/>
          <w:lang w:val="sq-AL"/>
        </w:rPr>
      </w:pPr>
    </w:p>
    <w:p w:rsidR="006500BE" w:rsidRPr="004D3B21" w:rsidRDefault="006500BE" w:rsidP="006500BE">
      <w:pPr>
        <w:spacing w:after="0" w:line="360" w:lineRule="auto"/>
        <w:jc w:val="both"/>
        <w:rPr>
          <w:rFonts w:ascii="Times New Roman" w:hAnsi="Times New Roman"/>
          <w:sz w:val="24"/>
          <w:szCs w:val="24"/>
          <w:lang w:val="sq-AL"/>
        </w:rPr>
      </w:pPr>
      <w:r w:rsidRPr="004D3B21">
        <w:rPr>
          <w:rFonts w:ascii="Times New Roman" w:hAnsi="Times New Roman"/>
          <w:sz w:val="24"/>
          <w:szCs w:val="24"/>
          <w:lang w:val="sq-AL"/>
        </w:rPr>
        <w:t xml:space="preserve">në datën </w:t>
      </w:r>
      <w:r w:rsidR="00495C33" w:rsidRPr="004D3B21">
        <w:rPr>
          <w:rFonts w:ascii="Times New Roman" w:hAnsi="Times New Roman"/>
          <w:sz w:val="24"/>
          <w:szCs w:val="24"/>
          <w:lang w:val="sq-AL"/>
        </w:rPr>
        <w:t>08</w:t>
      </w:r>
      <w:r w:rsidRPr="004D3B21">
        <w:rPr>
          <w:rFonts w:ascii="Times New Roman" w:hAnsi="Times New Roman"/>
          <w:sz w:val="24"/>
          <w:szCs w:val="24"/>
          <w:lang w:val="sq-AL"/>
        </w:rPr>
        <w:t>.0</w:t>
      </w:r>
      <w:r w:rsidR="00495C33" w:rsidRPr="004D3B21">
        <w:rPr>
          <w:rFonts w:ascii="Times New Roman" w:hAnsi="Times New Roman"/>
          <w:sz w:val="24"/>
          <w:szCs w:val="24"/>
          <w:lang w:val="sq-AL"/>
        </w:rPr>
        <w:t>2</w:t>
      </w:r>
      <w:r w:rsidRPr="004D3B21">
        <w:rPr>
          <w:rFonts w:ascii="Times New Roman" w:hAnsi="Times New Roman"/>
          <w:sz w:val="24"/>
          <w:szCs w:val="24"/>
          <w:lang w:val="sq-AL"/>
        </w:rPr>
        <w:t>.2018 mori në sh</w:t>
      </w:r>
      <w:r w:rsidR="00495C33" w:rsidRPr="004D3B21">
        <w:rPr>
          <w:rFonts w:ascii="Times New Roman" w:hAnsi="Times New Roman"/>
          <w:sz w:val="24"/>
          <w:szCs w:val="24"/>
          <w:lang w:val="sq-AL"/>
        </w:rPr>
        <w:t>qyrtim paraprak kërkesën me nr.30</w:t>
      </w:r>
      <w:r w:rsidRPr="004D3B21">
        <w:rPr>
          <w:rFonts w:ascii="Times New Roman" w:hAnsi="Times New Roman"/>
          <w:sz w:val="24"/>
          <w:szCs w:val="24"/>
          <w:lang w:val="sq-AL"/>
        </w:rPr>
        <w:t xml:space="preserve"> Akti, që i përket:</w:t>
      </w:r>
    </w:p>
    <w:p w:rsidR="006500BE" w:rsidRPr="004D3B21" w:rsidRDefault="006500BE" w:rsidP="006500BE">
      <w:pPr>
        <w:spacing w:after="0" w:line="360" w:lineRule="auto"/>
        <w:jc w:val="both"/>
        <w:rPr>
          <w:rFonts w:ascii="Times New Roman" w:hAnsi="Times New Roman"/>
          <w:b/>
          <w:sz w:val="24"/>
          <w:szCs w:val="24"/>
          <w:lang w:val="sq-AL"/>
        </w:rPr>
      </w:pPr>
    </w:p>
    <w:p w:rsidR="006500BE" w:rsidRPr="004D3B21" w:rsidRDefault="006500BE" w:rsidP="006500BE">
      <w:pPr>
        <w:spacing w:after="0" w:line="360" w:lineRule="auto"/>
        <w:ind w:left="2160" w:hanging="1440"/>
        <w:jc w:val="both"/>
        <w:rPr>
          <w:rFonts w:ascii="Times New Roman" w:hAnsi="Times New Roman"/>
          <w:b/>
          <w:sz w:val="24"/>
          <w:szCs w:val="24"/>
          <w:lang w:val="sq-AL"/>
        </w:rPr>
      </w:pPr>
      <w:r w:rsidRPr="004D3B21">
        <w:rPr>
          <w:rFonts w:ascii="Times New Roman" w:hAnsi="Times New Roman"/>
          <w:b/>
          <w:sz w:val="24"/>
          <w:szCs w:val="24"/>
          <w:lang w:val="sq-AL"/>
        </w:rPr>
        <w:t xml:space="preserve">KËRKUES: </w:t>
      </w:r>
      <w:r w:rsidRPr="004D3B21">
        <w:rPr>
          <w:rFonts w:ascii="Times New Roman" w:hAnsi="Times New Roman"/>
          <w:b/>
          <w:sz w:val="24"/>
          <w:szCs w:val="24"/>
          <w:lang w:val="sq-AL"/>
        </w:rPr>
        <w:tab/>
      </w:r>
      <w:r w:rsidRPr="004D3B21">
        <w:rPr>
          <w:rFonts w:ascii="Times New Roman" w:hAnsi="Times New Roman"/>
          <w:b/>
          <w:sz w:val="24"/>
          <w:szCs w:val="24"/>
          <w:lang w:val="sq-AL"/>
        </w:rPr>
        <w:tab/>
      </w:r>
      <w:r w:rsidR="00941186" w:rsidRPr="004D3B21">
        <w:rPr>
          <w:rFonts w:ascii="Times New Roman" w:hAnsi="Times New Roman"/>
          <w:b/>
          <w:sz w:val="24"/>
          <w:szCs w:val="24"/>
          <w:lang w:val="sq-AL"/>
        </w:rPr>
        <w:t>VILSON T</w:t>
      </w:r>
      <w:r w:rsidRPr="004D3B21">
        <w:rPr>
          <w:rFonts w:ascii="Times New Roman" w:hAnsi="Times New Roman"/>
          <w:b/>
          <w:sz w:val="24"/>
          <w:szCs w:val="24"/>
          <w:lang w:val="sq-AL"/>
        </w:rPr>
        <w:t xml:space="preserve">OTA </w:t>
      </w:r>
    </w:p>
    <w:p w:rsidR="006500BE" w:rsidRPr="004D3B21" w:rsidRDefault="006500BE" w:rsidP="006500BE">
      <w:pPr>
        <w:spacing w:after="0" w:line="360" w:lineRule="auto"/>
        <w:ind w:left="2160" w:hanging="2160"/>
        <w:jc w:val="both"/>
        <w:rPr>
          <w:rFonts w:ascii="Times New Roman" w:hAnsi="Times New Roman"/>
          <w:b/>
          <w:sz w:val="24"/>
          <w:szCs w:val="24"/>
          <w:lang w:val="sq-AL"/>
        </w:rPr>
      </w:pPr>
      <w:r w:rsidRPr="004D3B21">
        <w:rPr>
          <w:rFonts w:ascii="Times New Roman" w:hAnsi="Times New Roman"/>
          <w:b/>
          <w:sz w:val="24"/>
          <w:szCs w:val="24"/>
          <w:lang w:val="sq-AL"/>
        </w:rPr>
        <w:tab/>
      </w:r>
    </w:p>
    <w:p w:rsidR="006500BE" w:rsidRPr="004D3B21" w:rsidRDefault="006500BE" w:rsidP="006500BE">
      <w:pPr>
        <w:suppressAutoHyphens/>
        <w:spacing w:after="0" w:line="360" w:lineRule="auto"/>
        <w:ind w:left="2880" w:hanging="2160"/>
        <w:jc w:val="both"/>
        <w:outlineLvl w:val="0"/>
        <w:rPr>
          <w:rFonts w:ascii="Times New Roman" w:hAnsi="Times New Roman"/>
          <w:b/>
          <w:sz w:val="24"/>
          <w:szCs w:val="24"/>
          <w:lang w:val="sq-AL" w:eastAsia="fr-FR"/>
        </w:rPr>
      </w:pPr>
      <w:r w:rsidRPr="004D3B21">
        <w:rPr>
          <w:rFonts w:ascii="Times New Roman" w:hAnsi="Times New Roman"/>
          <w:b/>
          <w:sz w:val="24"/>
          <w:szCs w:val="24"/>
          <w:lang w:val="sq-AL" w:eastAsia="fr-FR"/>
        </w:rPr>
        <w:t xml:space="preserve">OBJEKTI: </w:t>
      </w:r>
      <w:r w:rsidRPr="004D3B21">
        <w:rPr>
          <w:rFonts w:ascii="Times New Roman" w:hAnsi="Times New Roman"/>
          <w:b/>
          <w:sz w:val="24"/>
          <w:szCs w:val="24"/>
          <w:lang w:val="sq-AL" w:eastAsia="fr-FR"/>
        </w:rPr>
        <w:tab/>
      </w:r>
      <w:r w:rsidR="00941186" w:rsidRPr="004D3B21">
        <w:rPr>
          <w:rFonts w:ascii="Times New Roman" w:hAnsi="Times New Roman"/>
          <w:b/>
          <w:sz w:val="24"/>
          <w:szCs w:val="24"/>
          <w:lang w:val="sq-AL" w:eastAsia="fr-FR"/>
        </w:rPr>
        <w:t xml:space="preserve">Shfuqizimi si të </w:t>
      </w:r>
      <w:r w:rsidR="00A90A13" w:rsidRPr="004D3B21">
        <w:rPr>
          <w:rFonts w:ascii="Times New Roman" w:hAnsi="Times New Roman"/>
          <w:b/>
          <w:sz w:val="24"/>
          <w:szCs w:val="24"/>
          <w:lang w:val="sq-AL" w:eastAsia="fr-FR"/>
        </w:rPr>
        <w:t>papajtuesh</w:t>
      </w:r>
      <w:r w:rsidR="00A90A13">
        <w:rPr>
          <w:rFonts w:ascii="Times New Roman" w:hAnsi="Times New Roman"/>
          <w:b/>
          <w:sz w:val="24"/>
          <w:szCs w:val="24"/>
          <w:lang w:val="sq-AL" w:eastAsia="fr-FR"/>
        </w:rPr>
        <w:t>me</w:t>
      </w:r>
      <w:r w:rsidR="00A90A13" w:rsidRPr="004D3B21">
        <w:rPr>
          <w:rFonts w:ascii="Times New Roman" w:hAnsi="Times New Roman"/>
          <w:b/>
          <w:sz w:val="24"/>
          <w:szCs w:val="24"/>
          <w:lang w:val="sq-AL" w:eastAsia="fr-FR"/>
        </w:rPr>
        <w:t xml:space="preserve"> </w:t>
      </w:r>
      <w:r w:rsidR="00941186" w:rsidRPr="004D3B21">
        <w:rPr>
          <w:rFonts w:ascii="Times New Roman" w:hAnsi="Times New Roman"/>
          <w:b/>
          <w:sz w:val="24"/>
          <w:szCs w:val="24"/>
          <w:lang w:val="sq-AL" w:eastAsia="fr-FR"/>
        </w:rPr>
        <w:t xml:space="preserve">me Kushtetutën e Republikës së Shqipërisë i vendimeve nr.1498, datë 16.06.2014 të Gjykatës së Rrethit Gjyqësor Tiranë; nr.1113, datë 05.06.2015 të Gjykatës së Apelit Tiranë; nr.00-2017-562, datë 22.06.2017 të Kolegjit Penal të Gjykatës së Lartë. </w:t>
      </w:r>
    </w:p>
    <w:p w:rsidR="006500BE" w:rsidRPr="004D3B21" w:rsidRDefault="006500BE" w:rsidP="006500BE">
      <w:pPr>
        <w:suppressAutoHyphens/>
        <w:spacing w:after="0" w:line="360" w:lineRule="auto"/>
        <w:ind w:left="2160" w:hanging="2160"/>
        <w:jc w:val="both"/>
        <w:outlineLvl w:val="0"/>
        <w:rPr>
          <w:rFonts w:ascii="Times New Roman" w:hAnsi="Times New Roman"/>
          <w:b/>
          <w:sz w:val="24"/>
          <w:szCs w:val="24"/>
          <w:lang w:val="sq-AL" w:eastAsia="fr-FR"/>
        </w:rPr>
      </w:pPr>
      <w:r w:rsidRPr="004D3B21">
        <w:rPr>
          <w:rFonts w:ascii="Times New Roman" w:hAnsi="Times New Roman"/>
          <w:b/>
          <w:sz w:val="24"/>
          <w:szCs w:val="24"/>
          <w:lang w:val="sq-AL" w:eastAsia="fr-FR"/>
        </w:rPr>
        <w:tab/>
      </w:r>
    </w:p>
    <w:p w:rsidR="006500BE" w:rsidRPr="004D3B21" w:rsidRDefault="006500BE" w:rsidP="006500BE">
      <w:pPr>
        <w:spacing w:after="0" w:line="360" w:lineRule="auto"/>
        <w:ind w:left="2880" w:hanging="2160"/>
        <w:jc w:val="both"/>
        <w:rPr>
          <w:rFonts w:ascii="Times New Roman" w:hAnsi="Times New Roman"/>
          <w:b/>
          <w:sz w:val="24"/>
          <w:szCs w:val="24"/>
          <w:lang w:val="sq-AL"/>
        </w:rPr>
      </w:pPr>
      <w:r w:rsidRPr="004D3B21">
        <w:rPr>
          <w:rFonts w:ascii="Times New Roman" w:hAnsi="Times New Roman"/>
          <w:b/>
          <w:sz w:val="24"/>
          <w:szCs w:val="24"/>
          <w:lang w:val="sq-AL"/>
        </w:rPr>
        <w:t>BAZA LIGJORE:</w:t>
      </w:r>
      <w:r w:rsidRPr="004D3B21">
        <w:rPr>
          <w:rFonts w:ascii="Times New Roman" w:hAnsi="Times New Roman"/>
          <w:b/>
          <w:sz w:val="24"/>
          <w:szCs w:val="24"/>
          <w:lang w:val="sq-AL"/>
        </w:rPr>
        <w:tab/>
      </w:r>
      <w:r w:rsidRPr="004D3B21">
        <w:rPr>
          <w:rFonts w:ascii="Times New Roman" w:hAnsi="Times New Roman"/>
          <w:sz w:val="24"/>
          <w:szCs w:val="24"/>
          <w:lang w:val="sq-AL"/>
        </w:rPr>
        <w:t>Nenet 4, 5, 15, 17, 30, 31, 33, 42, 122, 131/1/f dhe 134/1/i të Kushtetutës së Republikës së Shqipërisë; nenet 71 dhe 71/a të ligjit nr.8577, datë 10.02.2000 “Për organizimin dhe funksionimin e Gjykatës Kushtetuese të Republikës së Shqipërisë”, të ndryshuar.</w:t>
      </w:r>
    </w:p>
    <w:p w:rsidR="006500BE" w:rsidRPr="004D3B21" w:rsidRDefault="006500BE" w:rsidP="006500BE">
      <w:pPr>
        <w:spacing w:after="0" w:line="360" w:lineRule="auto"/>
        <w:rPr>
          <w:rFonts w:ascii="Times New Roman" w:hAnsi="Times New Roman"/>
          <w:sz w:val="24"/>
          <w:szCs w:val="24"/>
          <w:lang w:val="sq-AL"/>
        </w:rPr>
      </w:pPr>
    </w:p>
    <w:p w:rsidR="00CB53E9" w:rsidRDefault="006500BE" w:rsidP="00CB53E9">
      <w:pPr>
        <w:suppressAutoHyphens/>
        <w:spacing w:after="0" w:line="360" w:lineRule="auto"/>
        <w:ind w:firstLine="720"/>
        <w:jc w:val="both"/>
        <w:outlineLvl w:val="0"/>
        <w:rPr>
          <w:rFonts w:ascii="Times New Roman" w:hAnsi="Times New Roman"/>
          <w:sz w:val="24"/>
          <w:szCs w:val="24"/>
          <w:lang w:val="sq-AL" w:eastAsia="fr-FR"/>
        </w:rPr>
      </w:pPr>
      <w:r w:rsidRPr="004D3B21">
        <w:rPr>
          <w:rFonts w:ascii="Times New Roman" w:hAnsi="Times New Roman"/>
          <w:sz w:val="24"/>
          <w:szCs w:val="24"/>
          <w:lang w:val="sq-AL" w:eastAsia="fr-FR"/>
        </w:rPr>
        <w:t xml:space="preserve">Kolegji i Gjykatës Kushtetuese </w:t>
      </w:r>
      <w:r w:rsidRPr="004D3B21">
        <w:rPr>
          <w:rFonts w:ascii="Times New Roman" w:hAnsi="Times New Roman"/>
          <w:sz w:val="24"/>
          <w:szCs w:val="24"/>
          <w:lang w:val="sq-AL"/>
        </w:rPr>
        <w:t>(Kolegji)</w:t>
      </w:r>
      <w:r w:rsidRPr="004D3B21">
        <w:rPr>
          <w:rFonts w:ascii="Times New Roman" w:hAnsi="Times New Roman"/>
          <w:sz w:val="24"/>
          <w:szCs w:val="24"/>
          <w:lang w:val="sq-AL" w:eastAsia="fr-FR"/>
        </w:rPr>
        <w:t>, pasi shqyrtoi kërkesën, dokumentet shoqëruese dhe diskutoi çështjen në tërësi,</w:t>
      </w:r>
    </w:p>
    <w:p w:rsidR="00CB53E9" w:rsidRDefault="00CB53E9" w:rsidP="00CB53E9">
      <w:pPr>
        <w:suppressAutoHyphens/>
        <w:spacing w:after="0" w:line="360" w:lineRule="auto"/>
        <w:jc w:val="both"/>
        <w:outlineLvl w:val="0"/>
        <w:rPr>
          <w:rFonts w:ascii="Times New Roman" w:hAnsi="Times New Roman"/>
          <w:sz w:val="24"/>
          <w:szCs w:val="24"/>
          <w:lang w:val="sq-AL" w:eastAsia="fr-FR"/>
        </w:rPr>
      </w:pPr>
    </w:p>
    <w:p w:rsidR="00CB53E9" w:rsidRDefault="006500BE" w:rsidP="00CB53E9">
      <w:pPr>
        <w:suppressAutoHyphens/>
        <w:spacing w:after="0" w:line="360" w:lineRule="auto"/>
        <w:jc w:val="center"/>
        <w:outlineLvl w:val="0"/>
        <w:rPr>
          <w:rFonts w:ascii="Times New Roman" w:hAnsi="Times New Roman"/>
          <w:sz w:val="24"/>
          <w:szCs w:val="24"/>
          <w:lang w:val="sq-AL" w:eastAsia="fr-FR"/>
        </w:rPr>
      </w:pPr>
      <w:r w:rsidRPr="004D3B21">
        <w:rPr>
          <w:rFonts w:ascii="Times New Roman" w:hAnsi="Times New Roman"/>
          <w:b/>
          <w:bCs/>
          <w:sz w:val="24"/>
          <w:szCs w:val="24"/>
          <w:lang w:val="sq-AL"/>
        </w:rPr>
        <w:t>V Ë R E N:</w:t>
      </w:r>
    </w:p>
    <w:p w:rsidR="006500BE" w:rsidRPr="00CB53E9" w:rsidRDefault="006500BE" w:rsidP="00CB53E9">
      <w:pPr>
        <w:suppressAutoHyphens/>
        <w:spacing w:after="0" w:line="360" w:lineRule="auto"/>
        <w:jc w:val="center"/>
        <w:outlineLvl w:val="0"/>
        <w:rPr>
          <w:rFonts w:ascii="Times New Roman" w:hAnsi="Times New Roman"/>
          <w:sz w:val="24"/>
          <w:szCs w:val="24"/>
          <w:lang w:val="sq-AL" w:eastAsia="fr-FR"/>
        </w:rPr>
      </w:pPr>
      <w:r w:rsidRPr="004D3B21">
        <w:rPr>
          <w:rFonts w:ascii="Times New Roman" w:hAnsi="Times New Roman"/>
          <w:b/>
          <w:bCs/>
          <w:sz w:val="24"/>
          <w:szCs w:val="24"/>
          <w:lang w:val="sq-AL"/>
        </w:rPr>
        <w:t>I</w:t>
      </w:r>
    </w:p>
    <w:p w:rsidR="00941186" w:rsidRPr="004D3B21" w:rsidRDefault="00941186" w:rsidP="00941186">
      <w:pPr>
        <w:suppressAutoHyphens/>
        <w:spacing w:after="0" w:line="360" w:lineRule="auto"/>
        <w:ind w:firstLine="720"/>
        <w:jc w:val="both"/>
        <w:outlineLvl w:val="0"/>
        <w:rPr>
          <w:rFonts w:ascii="Times New Roman" w:hAnsi="Times New Roman"/>
          <w:sz w:val="24"/>
          <w:szCs w:val="24"/>
          <w:lang w:val="sq-AL" w:eastAsia="fr-FR"/>
        </w:rPr>
      </w:pPr>
      <w:r w:rsidRPr="004D3B21">
        <w:rPr>
          <w:rFonts w:ascii="Times New Roman" w:hAnsi="Times New Roman"/>
          <w:sz w:val="24"/>
          <w:szCs w:val="24"/>
          <w:lang w:val="sq-AL" w:eastAsia="fr-FR"/>
        </w:rPr>
        <w:t>1. Me vendimin nr.1498, datë 16.06.2014, Gjykata e Rrethit Gjyqësor Tiranë, midis të tjerave, ka vendosur: “</w:t>
      </w:r>
      <w:r w:rsidRPr="004D3B21">
        <w:rPr>
          <w:rFonts w:ascii="Times New Roman" w:hAnsi="Times New Roman"/>
          <w:i/>
          <w:sz w:val="24"/>
          <w:szCs w:val="24"/>
          <w:lang w:val="sq-AL" w:eastAsia="fr-FR"/>
        </w:rPr>
        <w:t xml:space="preserve">Deklarimin fajtor të të pandehurit Vilson Tota për kryerjen e veprës penale “Vjedhje me armë”, të kryer në bashkëpunim, të parashikuar nga nenet 140-25 të Kodit </w:t>
      </w:r>
      <w:r w:rsidRPr="004D3B21">
        <w:rPr>
          <w:rFonts w:ascii="Times New Roman" w:hAnsi="Times New Roman"/>
          <w:i/>
          <w:sz w:val="24"/>
          <w:szCs w:val="24"/>
          <w:lang w:val="sq-AL" w:eastAsia="fr-FR"/>
        </w:rPr>
        <w:lastRenderedPageBreak/>
        <w:t>Penal (KP) dhe dënimin e tij me 8 vjet burgim. Deklarimin fajtor të të pandehurit Klodian (Dritan) Tota për kryerjen e veprës penale “Prodhimi dhe mbajtja pa leje e armëve luftarake dhe e municionit”, të kryer në bashkëpunim, të parashikuar nga neni 278/2 i KP-së dhe dënimin e tij me 2 vjet burgim. Në bazë të nenit 55 të KP-së, në bashkim të dënimeve e dënon përfundimisht të pandehurin me 9 vjet burgim.</w:t>
      </w:r>
      <w:r w:rsidRPr="004D3B21">
        <w:rPr>
          <w:rFonts w:ascii="Times New Roman" w:hAnsi="Times New Roman"/>
          <w:sz w:val="24"/>
          <w:szCs w:val="24"/>
          <w:lang w:val="sq-AL" w:eastAsia="fr-FR"/>
        </w:rPr>
        <w:t xml:space="preserve">”. </w:t>
      </w:r>
    </w:p>
    <w:p w:rsidR="00941186" w:rsidRPr="004D3B21" w:rsidRDefault="00941186" w:rsidP="00941186">
      <w:pPr>
        <w:suppressAutoHyphens/>
        <w:spacing w:after="0" w:line="360" w:lineRule="auto"/>
        <w:ind w:firstLine="720"/>
        <w:jc w:val="both"/>
        <w:outlineLvl w:val="0"/>
        <w:rPr>
          <w:rFonts w:ascii="Times New Roman" w:hAnsi="Times New Roman"/>
          <w:sz w:val="24"/>
          <w:szCs w:val="24"/>
          <w:lang w:val="sq-AL" w:eastAsia="fr-FR"/>
        </w:rPr>
      </w:pPr>
      <w:r w:rsidRPr="004D3B21">
        <w:rPr>
          <w:rFonts w:ascii="Times New Roman" w:hAnsi="Times New Roman"/>
          <w:sz w:val="24"/>
          <w:szCs w:val="24"/>
          <w:lang w:val="sq-AL" w:eastAsia="fr-FR"/>
        </w:rPr>
        <w:t>2. Kërkuesi është gjykuar në mungesë. Ai është arrestuar në datë</w:t>
      </w:r>
      <w:r w:rsidR="00A90A13">
        <w:rPr>
          <w:rFonts w:ascii="Times New Roman" w:hAnsi="Times New Roman"/>
          <w:sz w:val="24"/>
          <w:szCs w:val="24"/>
          <w:lang w:val="sq-AL" w:eastAsia="fr-FR"/>
        </w:rPr>
        <w:t>n</w:t>
      </w:r>
      <w:r w:rsidRPr="004D3B21">
        <w:rPr>
          <w:rFonts w:ascii="Times New Roman" w:hAnsi="Times New Roman"/>
          <w:sz w:val="24"/>
          <w:szCs w:val="24"/>
          <w:lang w:val="sq-AL" w:eastAsia="fr-FR"/>
        </w:rPr>
        <w:t xml:space="preserve"> 22.11.2014 në Greqi dhe është sjellë në Shqipëri për të vuajtur dënimin. Kërkuesi ka bërë kërkesë për rivendosje në afat të së drejtës së ankimit ndaj vendimit nr.1498, datë 16.06.2014 të Gjykatës së Rrethit Gjyqësor Tiranë. Kjo e fundit ka vendosur pranimin e kërkesës dhe rivendosjen në afat të së drejtës së ankimit ndaj vendimit penal.</w:t>
      </w:r>
    </w:p>
    <w:p w:rsidR="00941186" w:rsidRPr="004D3B21" w:rsidRDefault="00941186" w:rsidP="00941186">
      <w:pPr>
        <w:suppressAutoHyphens/>
        <w:spacing w:after="0" w:line="360" w:lineRule="auto"/>
        <w:ind w:firstLine="720"/>
        <w:jc w:val="both"/>
        <w:outlineLvl w:val="0"/>
        <w:rPr>
          <w:rFonts w:ascii="Times New Roman" w:hAnsi="Times New Roman"/>
          <w:sz w:val="24"/>
          <w:szCs w:val="24"/>
          <w:lang w:val="sq-AL" w:eastAsia="fr-FR"/>
        </w:rPr>
      </w:pPr>
      <w:r w:rsidRPr="004D3B21">
        <w:rPr>
          <w:rFonts w:ascii="Times New Roman" w:hAnsi="Times New Roman"/>
          <w:sz w:val="24"/>
          <w:szCs w:val="24"/>
          <w:lang w:val="sq-AL" w:eastAsia="fr-FR"/>
        </w:rPr>
        <w:t>3. Me vendimin nr.1113, datë 05.06.2015, Gjykata e Apelit Tiranë ka vendosur: “</w:t>
      </w:r>
      <w:r w:rsidRPr="004D3B21">
        <w:rPr>
          <w:rFonts w:ascii="Times New Roman" w:hAnsi="Times New Roman"/>
          <w:i/>
          <w:sz w:val="24"/>
          <w:szCs w:val="24"/>
          <w:lang w:val="sq-AL" w:eastAsia="fr-FR"/>
        </w:rPr>
        <w:t>Lënien në fuqi të vendimit nr.1498, datë 16.06.2014 të Gjykatës së Rrethit Gjyqësor Tiranë.</w:t>
      </w:r>
      <w:r w:rsidRPr="004D3B21">
        <w:rPr>
          <w:rFonts w:ascii="Times New Roman" w:hAnsi="Times New Roman"/>
          <w:sz w:val="24"/>
          <w:szCs w:val="24"/>
          <w:lang w:val="sq-AL" w:eastAsia="fr-FR"/>
        </w:rPr>
        <w:t xml:space="preserve">”. </w:t>
      </w:r>
    </w:p>
    <w:p w:rsidR="00CB53E9" w:rsidRDefault="00941186" w:rsidP="00CB53E9">
      <w:pPr>
        <w:suppressAutoHyphens/>
        <w:spacing w:after="0" w:line="360" w:lineRule="auto"/>
        <w:ind w:firstLine="720"/>
        <w:jc w:val="both"/>
        <w:outlineLvl w:val="0"/>
        <w:rPr>
          <w:rFonts w:ascii="Times New Roman" w:hAnsi="Times New Roman"/>
          <w:sz w:val="24"/>
          <w:szCs w:val="24"/>
          <w:lang w:val="sq-AL" w:eastAsia="fr-FR"/>
        </w:rPr>
      </w:pPr>
      <w:r w:rsidRPr="004D3B21">
        <w:rPr>
          <w:rFonts w:ascii="Times New Roman" w:hAnsi="Times New Roman"/>
          <w:sz w:val="24"/>
          <w:szCs w:val="24"/>
          <w:lang w:val="sq-AL" w:eastAsia="fr-FR"/>
        </w:rPr>
        <w:t>4. Me vendimin nr.00-2017-562, datë 22.06.2017, Kolegji Penal i Gjykatës së Lartë në dhomën e këshillimit ka vendosur mospranimin e rekursit të paraqitur, me arsyetimin se ai nuk përmban shkaqe për të kaluar për shqyrtim në seancë gjyqësore.</w:t>
      </w:r>
    </w:p>
    <w:p w:rsidR="00CB53E9" w:rsidRDefault="00CB53E9" w:rsidP="00CB53E9">
      <w:pPr>
        <w:suppressAutoHyphens/>
        <w:spacing w:after="0" w:line="360" w:lineRule="auto"/>
        <w:jc w:val="both"/>
        <w:outlineLvl w:val="0"/>
        <w:rPr>
          <w:rFonts w:ascii="Times New Roman" w:hAnsi="Times New Roman"/>
          <w:sz w:val="24"/>
          <w:szCs w:val="24"/>
          <w:lang w:val="sq-AL" w:eastAsia="fr-FR"/>
        </w:rPr>
      </w:pPr>
    </w:p>
    <w:p w:rsidR="00941186" w:rsidRPr="00CB53E9" w:rsidRDefault="004D3B21" w:rsidP="00CB53E9">
      <w:pPr>
        <w:suppressAutoHyphens/>
        <w:spacing w:after="0" w:line="360" w:lineRule="auto"/>
        <w:jc w:val="center"/>
        <w:outlineLvl w:val="0"/>
        <w:rPr>
          <w:rFonts w:ascii="Times New Roman" w:hAnsi="Times New Roman"/>
          <w:sz w:val="24"/>
          <w:szCs w:val="24"/>
          <w:lang w:val="sq-AL" w:eastAsia="fr-FR"/>
        </w:rPr>
      </w:pPr>
      <w:r>
        <w:rPr>
          <w:rFonts w:ascii="Times New Roman" w:hAnsi="Times New Roman"/>
          <w:b/>
          <w:sz w:val="24"/>
          <w:szCs w:val="24"/>
          <w:lang w:val="sq-AL" w:eastAsia="fr-FR"/>
        </w:rPr>
        <w:t>II</w:t>
      </w:r>
    </w:p>
    <w:p w:rsidR="00941186" w:rsidRPr="004D3B21" w:rsidRDefault="00941186" w:rsidP="00941186">
      <w:pPr>
        <w:spacing w:after="0" w:line="360" w:lineRule="auto"/>
        <w:ind w:firstLine="720"/>
        <w:jc w:val="both"/>
        <w:rPr>
          <w:rFonts w:ascii="Times New Roman" w:hAnsi="Times New Roman"/>
          <w:bCs/>
          <w:sz w:val="24"/>
          <w:szCs w:val="24"/>
          <w:lang w:val="sq-AL"/>
        </w:rPr>
      </w:pPr>
      <w:r w:rsidRPr="004D3B21">
        <w:rPr>
          <w:rFonts w:ascii="Times New Roman" w:hAnsi="Times New Roman"/>
          <w:sz w:val="24"/>
          <w:szCs w:val="24"/>
          <w:lang w:val="sq-AL" w:eastAsia="fr-FR"/>
        </w:rPr>
        <w:t xml:space="preserve">5. </w:t>
      </w:r>
      <w:r w:rsidRPr="004D3B21">
        <w:rPr>
          <w:rFonts w:ascii="Times New Roman" w:hAnsi="Times New Roman"/>
          <w:b/>
          <w:i/>
          <w:sz w:val="24"/>
          <w:szCs w:val="24"/>
          <w:lang w:val="sq-AL" w:eastAsia="fr-FR"/>
        </w:rPr>
        <w:t xml:space="preserve">Kërkuesi </w:t>
      </w:r>
      <w:r w:rsidRPr="004D3B21">
        <w:rPr>
          <w:rFonts w:ascii="Times New Roman" w:hAnsi="Times New Roman"/>
          <w:sz w:val="24"/>
          <w:szCs w:val="24"/>
          <w:lang w:val="sq-AL" w:eastAsia="fr-FR"/>
        </w:rPr>
        <w:t>i është drejtuar me kërkesë Gjykatës Kushtetuese (</w:t>
      </w:r>
      <w:r w:rsidRPr="004D3B21">
        <w:rPr>
          <w:rFonts w:ascii="Times New Roman" w:hAnsi="Times New Roman"/>
          <w:i/>
          <w:sz w:val="24"/>
          <w:szCs w:val="24"/>
          <w:lang w:val="sq-AL" w:eastAsia="fr-FR"/>
        </w:rPr>
        <w:t>Gjykata</w:t>
      </w:r>
      <w:r w:rsidRPr="004D3B21">
        <w:rPr>
          <w:rFonts w:ascii="Times New Roman" w:hAnsi="Times New Roman"/>
          <w:sz w:val="24"/>
          <w:szCs w:val="24"/>
          <w:lang w:val="sq-AL" w:eastAsia="fr-FR"/>
        </w:rPr>
        <w:t>)</w:t>
      </w:r>
      <w:r w:rsidR="00CB10AD">
        <w:rPr>
          <w:rFonts w:ascii="Times New Roman" w:hAnsi="Times New Roman"/>
          <w:sz w:val="24"/>
          <w:szCs w:val="24"/>
          <w:lang w:val="sq-AL" w:eastAsia="fr-FR"/>
        </w:rPr>
        <w:t>,</w:t>
      </w:r>
      <w:r w:rsidRPr="004D3B21">
        <w:rPr>
          <w:rFonts w:ascii="Times New Roman" w:hAnsi="Times New Roman"/>
          <w:sz w:val="24"/>
          <w:szCs w:val="24"/>
          <w:lang w:val="sq-AL" w:eastAsia="fr-FR"/>
        </w:rPr>
        <w:t xml:space="preserve"> sipas objektit të saj</w:t>
      </w:r>
      <w:r w:rsidRPr="004D3B21">
        <w:rPr>
          <w:rFonts w:ascii="Times New Roman" w:hAnsi="Times New Roman"/>
          <w:bCs/>
          <w:sz w:val="24"/>
          <w:szCs w:val="24"/>
          <w:lang w:val="sq-AL"/>
        </w:rPr>
        <w:t>, duke paraqitur këto shkaqe në mënyrë të përmbledhur:</w:t>
      </w:r>
    </w:p>
    <w:p w:rsidR="00941186" w:rsidRPr="004D3B21" w:rsidRDefault="00941186" w:rsidP="00941186">
      <w:pPr>
        <w:spacing w:after="0" w:line="360" w:lineRule="auto"/>
        <w:ind w:left="1260" w:hanging="540"/>
        <w:jc w:val="both"/>
        <w:rPr>
          <w:rFonts w:ascii="Times New Roman" w:hAnsi="Times New Roman"/>
          <w:bCs/>
          <w:sz w:val="24"/>
          <w:szCs w:val="24"/>
          <w:lang w:val="sq-AL"/>
        </w:rPr>
      </w:pPr>
      <w:r w:rsidRPr="004D3B21">
        <w:rPr>
          <w:rFonts w:ascii="Times New Roman" w:hAnsi="Times New Roman"/>
          <w:bCs/>
          <w:sz w:val="24"/>
          <w:szCs w:val="24"/>
          <w:lang w:val="sq-AL"/>
        </w:rPr>
        <w:t xml:space="preserve">5.1.  </w:t>
      </w:r>
      <w:r w:rsidRPr="004D3B21">
        <w:rPr>
          <w:rFonts w:ascii="Times New Roman" w:hAnsi="Times New Roman"/>
          <w:bCs/>
          <w:i/>
          <w:sz w:val="24"/>
          <w:szCs w:val="24"/>
          <w:lang w:val="sq-AL"/>
        </w:rPr>
        <w:t xml:space="preserve">Është cenuar parimi i barazisë së armëve në procesin penal. </w:t>
      </w:r>
      <w:r w:rsidRPr="004D3B21">
        <w:rPr>
          <w:rFonts w:ascii="Times New Roman" w:hAnsi="Times New Roman"/>
          <w:bCs/>
          <w:sz w:val="24"/>
          <w:szCs w:val="24"/>
          <w:lang w:val="sq-AL"/>
        </w:rPr>
        <w:t xml:space="preserve">Në seancën gjyqësore të datës 08.02.2013 kërkuesi mbrohej nga avokatja S.M., e cila ishte caktuar kryesisht nga gjykata për të mbrojtur njëkohësisht edhe të dënuarin tjetër në këtë proces, Klodian Tota. Në seancën e datës 28.03.2013 </w:t>
      </w:r>
      <w:r w:rsidR="00556BFB">
        <w:rPr>
          <w:rFonts w:ascii="Times New Roman" w:hAnsi="Times New Roman"/>
          <w:bCs/>
          <w:sz w:val="24"/>
          <w:szCs w:val="24"/>
          <w:lang w:val="sq-AL"/>
        </w:rPr>
        <w:t xml:space="preserve">është </w:t>
      </w:r>
      <w:r w:rsidR="00556BFB" w:rsidRPr="004D3B21">
        <w:rPr>
          <w:rFonts w:ascii="Times New Roman" w:hAnsi="Times New Roman"/>
          <w:bCs/>
          <w:sz w:val="24"/>
          <w:szCs w:val="24"/>
          <w:lang w:val="sq-AL"/>
        </w:rPr>
        <w:t>paraqit</w:t>
      </w:r>
      <w:r w:rsidR="00556BFB">
        <w:rPr>
          <w:rFonts w:ascii="Times New Roman" w:hAnsi="Times New Roman"/>
          <w:bCs/>
          <w:sz w:val="24"/>
          <w:szCs w:val="24"/>
          <w:lang w:val="sq-AL"/>
        </w:rPr>
        <w:t>ur</w:t>
      </w:r>
      <w:r w:rsidR="00556BFB" w:rsidRPr="004D3B21">
        <w:rPr>
          <w:rFonts w:ascii="Times New Roman" w:hAnsi="Times New Roman"/>
          <w:bCs/>
          <w:sz w:val="24"/>
          <w:szCs w:val="24"/>
          <w:lang w:val="sq-AL"/>
        </w:rPr>
        <w:t xml:space="preserve"> </w:t>
      </w:r>
      <w:r w:rsidRPr="004D3B21">
        <w:rPr>
          <w:rFonts w:ascii="Times New Roman" w:hAnsi="Times New Roman"/>
          <w:bCs/>
          <w:sz w:val="24"/>
          <w:szCs w:val="24"/>
          <w:lang w:val="sq-AL"/>
        </w:rPr>
        <w:t>avokati i zgjedhur nga familjarët e kërkuesit</w:t>
      </w:r>
      <w:r w:rsidR="00556BFB">
        <w:rPr>
          <w:rFonts w:ascii="Times New Roman" w:hAnsi="Times New Roman"/>
          <w:bCs/>
          <w:sz w:val="24"/>
          <w:szCs w:val="24"/>
          <w:lang w:val="sq-AL"/>
        </w:rPr>
        <w:t>,</w:t>
      </w:r>
      <w:r w:rsidRPr="004D3B21">
        <w:rPr>
          <w:rFonts w:ascii="Times New Roman" w:hAnsi="Times New Roman"/>
          <w:bCs/>
          <w:sz w:val="24"/>
          <w:szCs w:val="24"/>
          <w:lang w:val="sq-AL"/>
        </w:rPr>
        <w:t xml:space="preserve"> i cili ka kërkuar shtyrjen e seancës. Në seancat e tjera, ky avokat nuk është paraqitur dhe gjykata ka caktuar avokat kryesisht, </w:t>
      </w:r>
      <w:r w:rsidR="00556BFB">
        <w:rPr>
          <w:rFonts w:ascii="Times New Roman" w:hAnsi="Times New Roman"/>
          <w:bCs/>
          <w:sz w:val="24"/>
          <w:szCs w:val="24"/>
          <w:lang w:val="sq-AL"/>
        </w:rPr>
        <w:t>që</w:t>
      </w:r>
      <w:r w:rsidRPr="004D3B21">
        <w:rPr>
          <w:rFonts w:ascii="Times New Roman" w:hAnsi="Times New Roman"/>
          <w:bCs/>
          <w:sz w:val="24"/>
          <w:szCs w:val="24"/>
          <w:lang w:val="sq-AL"/>
        </w:rPr>
        <w:t xml:space="preserve"> për shkak të një sëmundje</w:t>
      </w:r>
      <w:r w:rsidR="00556BFB">
        <w:rPr>
          <w:rFonts w:ascii="Times New Roman" w:hAnsi="Times New Roman"/>
          <w:bCs/>
          <w:sz w:val="24"/>
          <w:szCs w:val="24"/>
          <w:lang w:val="sq-AL"/>
        </w:rPr>
        <w:t>je</w:t>
      </w:r>
      <w:r w:rsidRPr="004D3B21">
        <w:rPr>
          <w:rFonts w:ascii="Times New Roman" w:hAnsi="Times New Roman"/>
          <w:bCs/>
          <w:sz w:val="24"/>
          <w:szCs w:val="24"/>
          <w:lang w:val="sq-AL"/>
        </w:rPr>
        <w:t xml:space="preserve"> afatgjatë nuk është paraqitur në gjykim. Gjykata vendosi që për kërkuesin të caktonte si avokat kryesisht përsëri avokaten S.M., e cila mbronte edhe të pandehurin tjetër (Klodian Tota). Mbrojtja njëkohësisht e të dy të pandehurve nga e njëjta avokate përbën cenim të së drejtës për një proces të rregullt ligjor, për më tepër në kushtet kur interesat e kërkuesit Vilson Tota dhe </w:t>
      </w:r>
      <w:r w:rsidRPr="004D3B21">
        <w:rPr>
          <w:rFonts w:ascii="Times New Roman" w:hAnsi="Times New Roman"/>
          <w:bCs/>
          <w:sz w:val="24"/>
          <w:szCs w:val="24"/>
          <w:lang w:val="sq-AL"/>
        </w:rPr>
        <w:lastRenderedPageBreak/>
        <w:t xml:space="preserve">versioni i tij për ngjarjen janë të </w:t>
      </w:r>
      <w:r w:rsidR="00974FA4" w:rsidRPr="004D3B21">
        <w:rPr>
          <w:rFonts w:ascii="Times New Roman" w:hAnsi="Times New Roman"/>
          <w:bCs/>
          <w:sz w:val="24"/>
          <w:szCs w:val="24"/>
          <w:lang w:val="sq-AL"/>
        </w:rPr>
        <w:t>papajtuesh</w:t>
      </w:r>
      <w:r w:rsidR="00974FA4">
        <w:rPr>
          <w:rFonts w:ascii="Times New Roman" w:hAnsi="Times New Roman"/>
          <w:bCs/>
          <w:sz w:val="24"/>
          <w:szCs w:val="24"/>
          <w:lang w:val="sq-AL"/>
        </w:rPr>
        <w:t>ëm</w:t>
      </w:r>
      <w:r w:rsidR="00974FA4" w:rsidRPr="004D3B21">
        <w:rPr>
          <w:rFonts w:ascii="Times New Roman" w:hAnsi="Times New Roman"/>
          <w:bCs/>
          <w:sz w:val="24"/>
          <w:szCs w:val="24"/>
          <w:lang w:val="sq-AL"/>
        </w:rPr>
        <w:t xml:space="preserve"> </w:t>
      </w:r>
      <w:r w:rsidRPr="004D3B21">
        <w:rPr>
          <w:rFonts w:ascii="Times New Roman" w:hAnsi="Times New Roman"/>
          <w:bCs/>
          <w:sz w:val="24"/>
          <w:szCs w:val="24"/>
          <w:lang w:val="sq-AL"/>
        </w:rPr>
        <w:t xml:space="preserve">me ato të </w:t>
      </w:r>
      <w:r w:rsidR="00974FA4">
        <w:rPr>
          <w:rFonts w:ascii="Times New Roman" w:hAnsi="Times New Roman"/>
          <w:bCs/>
          <w:sz w:val="24"/>
          <w:szCs w:val="24"/>
          <w:lang w:val="sq-AL"/>
        </w:rPr>
        <w:t xml:space="preserve">të </w:t>
      </w:r>
      <w:r w:rsidRPr="004D3B21">
        <w:rPr>
          <w:rFonts w:ascii="Times New Roman" w:hAnsi="Times New Roman"/>
          <w:bCs/>
          <w:sz w:val="24"/>
          <w:szCs w:val="24"/>
          <w:lang w:val="sq-AL"/>
        </w:rPr>
        <w:t xml:space="preserve">pandehurit tjetër Klodian Tota. </w:t>
      </w:r>
    </w:p>
    <w:p w:rsidR="00941186" w:rsidRPr="004D3B21" w:rsidRDefault="00941186" w:rsidP="00941186">
      <w:pPr>
        <w:spacing w:after="0" w:line="360" w:lineRule="auto"/>
        <w:ind w:left="1260" w:hanging="540"/>
        <w:jc w:val="both"/>
        <w:rPr>
          <w:rFonts w:ascii="Times New Roman" w:hAnsi="Times New Roman"/>
          <w:bCs/>
          <w:sz w:val="24"/>
          <w:szCs w:val="24"/>
          <w:lang w:val="sq-AL"/>
        </w:rPr>
      </w:pPr>
      <w:r w:rsidRPr="004D3B21">
        <w:rPr>
          <w:rFonts w:ascii="Times New Roman" w:hAnsi="Times New Roman"/>
          <w:bCs/>
          <w:sz w:val="24"/>
          <w:szCs w:val="24"/>
          <w:lang w:val="sq-AL"/>
        </w:rPr>
        <w:t xml:space="preserve">5.2.  </w:t>
      </w:r>
      <w:r w:rsidRPr="004D3B21">
        <w:rPr>
          <w:rFonts w:ascii="Times New Roman" w:hAnsi="Times New Roman"/>
          <w:bCs/>
          <w:i/>
          <w:sz w:val="24"/>
          <w:szCs w:val="24"/>
          <w:lang w:val="sq-AL"/>
        </w:rPr>
        <w:t>Është cenuar e drejta e mbrojtjes</w:t>
      </w:r>
      <w:r w:rsidRPr="004D3B21">
        <w:rPr>
          <w:rFonts w:ascii="Times New Roman" w:hAnsi="Times New Roman"/>
          <w:bCs/>
          <w:sz w:val="24"/>
          <w:szCs w:val="24"/>
          <w:lang w:val="sq-AL"/>
        </w:rPr>
        <w:t>, pasi megjithëse në gjykimin e çështjes në apel kërkuesi ka kërkuar përsëritjen e hetimit gjyqësor</w:t>
      </w:r>
      <w:r w:rsidR="00974FA4">
        <w:rPr>
          <w:rFonts w:ascii="Times New Roman" w:hAnsi="Times New Roman"/>
          <w:bCs/>
          <w:sz w:val="24"/>
          <w:szCs w:val="24"/>
          <w:lang w:val="sq-AL"/>
        </w:rPr>
        <w:t>,</w:t>
      </w:r>
      <w:r w:rsidRPr="004D3B21">
        <w:rPr>
          <w:rFonts w:ascii="Times New Roman" w:hAnsi="Times New Roman"/>
          <w:bCs/>
          <w:sz w:val="24"/>
          <w:szCs w:val="24"/>
          <w:lang w:val="sq-AL"/>
        </w:rPr>
        <w:t xml:space="preserve"> meqë ai nuk ka qenë i pranishëm në gjykimin në shkallë të parë, kërkesa nuk është pranuar nga gjykata. Pra, si rrjedhim e drejta e mbrojtjes dhe e ankimit megjithëse është mundësuar formalisht duke i dhënë mundësinë për të ushtruar të drejtën e ankimit, ka mbetur substancialisht e parealizuar. </w:t>
      </w:r>
    </w:p>
    <w:p w:rsidR="00CB53E9" w:rsidRDefault="00941186" w:rsidP="00CB53E9">
      <w:pPr>
        <w:spacing w:after="0" w:line="360" w:lineRule="auto"/>
        <w:ind w:left="1260" w:hanging="540"/>
        <w:jc w:val="both"/>
        <w:rPr>
          <w:rFonts w:ascii="Times New Roman" w:hAnsi="Times New Roman"/>
          <w:bCs/>
          <w:sz w:val="24"/>
          <w:szCs w:val="24"/>
          <w:lang w:val="sq-AL"/>
        </w:rPr>
      </w:pPr>
      <w:r w:rsidRPr="004D3B21">
        <w:rPr>
          <w:rFonts w:ascii="Times New Roman" w:hAnsi="Times New Roman"/>
          <w:bCs/>
          <w:sz w:val="24"/>
          <w:szCs w:val="24"/>
          <w:lang w:val="sq-AL"/>
        </w:rPr>
        <w:t xml:space="preserve">5.3.  </w:t>
      </w:r>
      <w:r w:rsidRPr="004D3B21">
        <w:rPr>
          <w:rFonts w:ascii="Times New Roman" w:hAnsi="Times New Roman"/>
          <w:bCs/>
          <w:i/>
          <w:sz w:val="24"/>
          <w:szCs w:val="24"/>
          <w:lang w:val="sq-AL"/>
        </w:rPr>
        <w:t>Është cenuar e drejta e aksesit në gjykatë nga Kolegji Penal i Gjykatë së Lartë</w:t>
      </w:r>
      <w:r w:rsidRPr="004D3B21">
        <w:rPr>
          <w:rFonts w:ascii="Times New Roman" w:hAnsi="Times New Roman"/>
          <w:bCs/>
          <w:sz w:val="24"/>
          <w:szCs w:val="24"/>
          <w:lang w:val="sq-AL"/>
        </w:rPr>
        <w:t xml:space="preserve">. </w:t>
      </w:r>
      <w:r w:rsidR="00974FA4">
        <w:rPr>
          <w:rFonts w:ascii="Times New Roman" w:hAnsi="Times New Roman"/>
          <w:bCs/>
          <w:sz w:val="24"/>
          <w:szCs w:val="24"/>
          <w:lang w:val="sq-AL"/>
        </w:rPr>
        <w:t>Ky k</w:t>
      </w:r>
      <w:r w:rsidRPr="004D3B21">
        <w:rPr>
          <w:rFonts w:ascii="Times New Roman" w:hAnsi="Times New Roman"/>
          <w:bCs/>
          <w:sz w:val="24"/>
          <w:szCs w:val="24"/>
          <w:lang w:val="sq-AL"/>
        </w:rPr>
        <w:t>olegj ka cenuar në thelb të drejtën për t’iu drejtuar gjykatës, duke mos</w:t>
      </w:r>
      <w:r w:rsidR="00974FA4">
        <w:rPr>
          <w:rFonts w:ascii="Times New Roman" w:hAnsi="Times New Roman"/>
          <w:bCs/>
          <w:sz w:val="24"/>
          <w:szCs w:val="24"/>
          <w:lang w:val="sq-AL"/>
        </w:rPr>
        <w:t xml:space="preserve"> </w:t>
      </w:r>
      <w:r w:rsidRPr="004D3B21">
        <w:rPr>
          <w:rFonts w:ascii="Times New Roman" w:hAnsi="Times New Roman"/>
          <w:bCs/>
          <w:sz w:val="24"/>
          <w:szCs w:val="24"/>
          <w:lang w:val="sq-AL"/>
        </w:rPr>
        <w:t>pranuar rekursin megjithëse kishte shkaqe.</w:t>
      </w:r>
    </w:p>
    <w:p w:rsidR="00CB53E9" w:rsidRDefault="00CB53E9" w:rsidP="00CB53E9">
      <w:pPr>
        <w:spacing w:after="0" w:line="360" w:lineRule="auto"/>
        <w:jc w:val="both"/>
        <w:rPr>
          <w:rFonts w:ascii="Times New Roman" w:hAnsi="Times New Roman"/>
          <w:bCs/>
          <w:sz w:val="24"/>
          <w:szCs w:val="24"/>
          <w:lang w:val="sq-AL"/>
        </w:rPr>
      </w:pPr>
    </w:p>
    <w:p w:rsidR="00CB53E9" w:rsidRDefault="006500BE" w:rsidP="00CB53E9">
      <w:pPr>
        <w:spacing w:after="0" w:line="360" w:lineRule="auto"/>
        <w:jc w:val="center"/>
        <w:rPr>
          <w:rFonts w:ascii="Times New Roman" w:hAnsi="Times New Roman"/>
          <w:bCs/>
          <w:sz w:val="24"/>
          <w:szCs w:val="24"/>
          <w:lang w:val="sq-AL"/>
        </w:rPr>
      </w:pPr>
      <w:r w:rsidRPr="004D3B21">
        <w:rPr>
          <w:rFonts w:ascii="Times New Roman" w:hAnsi="Times New Roman"/>
          <w:b/>
          <w:sz w:val="24"/>
          <w:szCs w:val="24"/>
          <w:lang w:val="sq-AL"/>
        </w:rPr>
        <w:t>III</w:t>
      </w:r>
    </w:p>
    <w:p w:rsidR="006500BE" w:rsidRPr="00CB53E9" w:rsidRDefault="006500BE" w:rsidP="00CB53E9">
      <w:pPr>
        <w:spacing w:after="0" w:line="360" w:lineRule="auto"/>
        <w:jc w:val="center"/>
        <w:rPr>
          <w:rFonts w:ascii="Times New Roman" w:hAnsi="Times New Roman"/>
          <w:bCs/>
          <w:sz w:val="24"/>
          <w:szCs w:val="24"/>
          <w:lang w:val="sq-AL"/>
        </w:rPr>
      </w:pPr>
      <w:r w:rsidRPr="004D3B21">
        <w:rPr>
          <w:rFonts w:ascii="Times New Roman" w:hAnsi="Times New Roman"/>
          <w:b/>
          <w:sz w:val="24"/>
          <w:szCs w:val="24"/>
          <w:lang w:val="sq-AL"/>
        </w:rPr>
        <w:t>Vlerësimi i Kolegjit</w:t>
      </w:r>
    </w:p>
    <w:p w:rsidR="00941186" w:rsidRPr="004D3B21" w:rsidRDefault="00941186" w:rsidP="00941186">
      <w:pPr>
        <w:tabs>
          <w:tab w:val="left" w:pos="0"/>
          <w:tab w:val="left" w:pos="720"/>
        </w:tabs>
        <w:spacing w:after="0" w:line="360" w:lineRule="auto"/>
        <w:ind w:firstLine="720"/>
        <w:jc w:val="both"/>
        <w:rPr>
          <w:rFonts w:ascii="Times New Roman" w:hAnsi="Times New Roman"/>
          <w:i/>
          <w:sz w:val="24"/>
          <w:szCs w:val="24"/>
          <w:lang w:val="sq-AL" w:eastAsia="fr-FR"/>
        </w:rPr>
      </w:pPr>
      <w:r w:rsidRPr="004D3B21">
        <w:rPr>
          <w:rFonts w:ascii="Times New Roman" w:hAnsi="Times New Roman"/>
          <w:i/>
          <w:sz w:val="24"/>
          <w:szCs w:val="24"/>
          <w:lang w:val="sq-AL" w:eastAsia="fr-FR"/>
        </w:rPr>
        <w:t xml:space="preserve">A. Për legjitimimin e kërkuesit </w:t>
      </w:r>
    </w:p>
    <w:p w:rsidR="00941186" w:rsidRPr="004D3B21" w:rsidRDefault="00941186" w:rsidP="00941186">
      <w:pPr>
        <w:tabs>
          <w:tab w:val="left" w:pos="720"/>
        </w:tabs>
        <w:spacing w:after="0" w:line="360" w:lineRule="auto"/>
        <w:jc w:val="both"/>
        <w:rPr>
          <w:rFonts w:ascii="Times New Roman" w:hAnsi="Times New Roman"/>
          <w:bCs/>
          <w:sz w:val="24"/>
          <w:szCs w:val="24"/>
          <w:lang w:val="sq-AL"/>
        </w:rPr>
      </w:pPr>
      <w:r w:rsidRPr="004D3B21">
        <w:rPr>
          <w:rFonts w:ascii="Times New Roman" w:hAnsi="Times New Roman"/>
          <w:bCs/>
          <w:sz w:val="24"/>
          <w:szCs w:val="24"/>
          <w:lang w:val="sq-AL"/>
        </w:rPr>
        <w:tab/>
        <w:t xml:space="preserve">6. Kërkuesi legjitimohet </w:t>
      </w:r>
      <w:r w:rsidRPr="004D3B21">
        <w:rPr>
          <w:rFonts w:ascii="Times New Roman" w:hAnsi="Times New Roman"/>
          <w:bCs/>
          <w:i/>
          <w:sz w:val="24"/>
          <w:szCs w:val="24"/>
          <w:lang w:val="sq-AL"/>
        </w:rPr>
        <w:t>ratione personae</w:t>
      </w:r>
      <w:r w:rsidRPr="004D3B21">
        <w:rPr>
          <w:rFonts w:ascii="Times New Roman" w:hAnsi="Times New Roman"/>
          <w:bCs/>
          <w:sz w:val="24"/>
          <w:szCs w:val="24"/>
          <w:lang w:val="sq-AL"/>
        </w:rPr>
        <w:t xml:space="preserve">, në kuptim të neneve 131/1/f dhe 134/1/i të Kushtetutës dhe </w:t>
      </w:r>
      <w:r w:rsidRPr="004D3B21">
        <w:rPr>
          <w:rFonts w:ascii="Times New Roman" w:hAnsi="Times New Roman"/>
          <w:bCs/>
          <w:i/>
          <w:sz w:val="24"/>
          <w:szCs w:val="24"/>
          <w:lang w:val="sq-AL"/>
        </w:rPr>
        <w:t>ratione temporis</w:t>
      </w:r>
      <w:r w:rsidRPr="004D3B21">
        <w:rPr>
          <w:rFonts w:ascii="Times New Roman" w:hAnsi="Times New Roman"/>
          <w:bCs/>
          <w:sz w:val="24"/>
          <w:szCs w:val="24"/>
          <w:lang w:val="sq-AL"/>
        </w:rPr>
        <w:t xml:space="preserve">, në kuptim të nenit 71/a të ligjit nr.8577, datë 10.02.2000 “Për organizimin dhe funksionimin e Gjykatës Kushtetuese të Republikës së Shqipërisë”, të ndryshuar, pasi kërkesa është paraqitur në Gjykatën Kushtetuese brenda afatit ligjor 4-mujor. </w:t>
      </w:r>
    </w:p>
    <w:p w:rsidR="00941186" w:rsidRPr="004D3B21" w:rsidRDefault="00941186" w:rsidP="00941186">
      <w:pPr>
        <w:tabs>
          <w:tab w:val="left" w:pos="720"/>
        </w:tabs>
        <w:spacing w:after="0" w:line="360" w:lineRule="auto"/>
        <w:jc w:val="both"/>
        <w:rPr>
          <w:rFonts w:ascii="Times New Roman" w:hAnsi="Times New Roman"/>
          <w:color w:val="000000"/>
          <w:sz w:val="24"/>
          <w:szCs w:val="24"/>
          <w:lang w:val="sq-AL"/>
        </w:rPr>
      </w:pPr>
      <w:r w:rsidRPr="004D3B21">
        <w:rPr>
          <w:rFonts w:ascii="Times New Roman" w:hAnsi="Times New Roman"/>
          <w:bCs/>
          <w:sz w:val="24"/>
          <w:szCs w:val="24"/>
          <w:lang w:val="sq-AL"/>
        </w:rPr>
        <w:tab/>
        <w:t>7</w:t>
      </w:r>
      <w:r w:rsidRPr="004D3B21">
        <w:rPr>
          <w:rFonts w:ascii="Times New Roman" w:hAnsi="Times New Roman"/>
          <w:sz w:val="24"/>
          <w:szCs w:val="24"/>
          <w:lang w:val="sq-AL"/>
        </w:rPr>
        <w:t xml:space="preserve">. Në lidhje me legjitimimin </w:t>
      </w:r>
      <w:r w:rsidRPr="004D3B21">
        <w:rPr>
          <w:rFonts w:ascii="Times New Roman" w:hAnsi="Times New Roman"/>
          <w:i/>
          <w:sz w:val="24"/>
          <w:szCs w:val="24"/>
          <w:lang w:val="sq-AL"/>
        </w:rPr>
        <w:t>ratione materiae</w:t>
      </w:r>
      <w:r w:rsidRPr="004D3B21">
        <w:rPr>
          <w:rFonts w:ascii="Times New Roman" w:hAnsi="Times New Roman"/>
          <w:sz w:val="24"/>
          <w:szCs w:val="24"/>
          <w:lang w:val="sq-AL"/>
        </w:rPr>
        <w:t xml:space="preserve">, </w:t>
      </w:r>
      <w:r w:rsidRPr="004D3B21">
        <w:rPr>
          <w:rFonts w:ascii="Times New Roman" w:hAnsi="Times New Roman"/>
          <w:color w:val="000000"/>
          <w:sz w:val="24"/>
          <w:szCs w:val="24"/>
          <w:lang w:val="sq-AL"/>
        </w:rPr>
        <w:t xml:space="preserve">në kuptim të nenit 131/1/f të Kushtetutës, </w:t>
      </w:r>
      <w:r w:rsidRPr="004D3B21">
        <w:rPr>
          <w:rFonts w:ascii="Times New Roman" w:hAnsi="Times New Roman"/>
          <w:sz w:val="24"/>
          <w:szCs w:val="24"/>
          <w:lang w:val="sq-AL"/>
        </w:rPr>
        <w:t>individi përpara se t`i drejtohet kësaj Gjykate duhet të ketë shteruar edhe të gjitha mjetet juridike efektive për mbrojtjen e të drejtave që pretendon se i janë cenuar nga akti që kundërshton.</w:t>
      </w:r>
      <w:r w:rsidRPr="004D3B21">
        <w:rPr>
          <w:rFonts w:ascii="Times New Roman" w:hAnsi="Times New Roman"/>
          <w:color w:val="000000"/>
          <w:sz w:val="24"/>
          <w:szCs w:val="24"/>
          <w:lang w:val="sq-AL"/>
        </w:rPr>
        <w:t xml:space="preserve"> Juridiksioni kushtetues për shkeljen e të drejtave themelore bëhet i mundur kur shterohen mjetet juridike të ankimit në gjykatat e zakonshme. Shterimi i këtyre mjeteve përbën kusht paraprak që duhet të përmbushet nga individi përpara se t’i drejtohet Gjykatës Kushtetuese.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4D3B21">
        <w:rPr>
          <w:rFonts w:ascii="Times New Roman" w:hAnsi="Times New Roman"/>
          <w:i/>
          <w:color w:val="000000"/>
          <w:sz w:val="24"/>
          <w:szCs w:val="24"/>
          <w:lang w:val="sq-AL"/>
        </w:rPr>
        <w:t>shih vendimin nr.31, datë 25.05.2015 të Gjykatës Kushtetuese</w:t>
      </w:r>
      <w:r w:rsidRPr="004D3B21">
        <w:rPr>
          <w:rFonts w:ascii="Times New Roman" w:hAnsi="Times New Roman"/>
          <w:color w:val="000000"/>
          <w:sz w:val="24"/>
          <w:szCs w:val="24"/>
          <w:lang w:val="sq-AL"/>
        </w:rPr>
        <w:t xml:space="preserve">). </w:t>
      </w:r>
    </w:p>
    <w:p w:rsidR="00941186" w:rsidRPr="004D3B21" w:rsidRDefault="00941186" w:rsidP="00941186">
      <w:pPr>
        <w:tabs>
          <w:tab w:val="left" w:pos="720"/>
        </w:tabs>
        <w:spacing w:after="0" w:line="360" w:lineRule="auto"/>
        <w:jc w:val="both"/>
        <w:rPr>
          <w:rFonts w:ascii="Times New Roman" w:hAnsi="Times New Roman"/>
          <w:b/>
          <w:lang w:val="sq-AL"/>
        </w:rPr>
      </w:pPr>
      <w:r w:rsidRPr="004D3B21">
        <w:rPr>
          <w:rFonts w:ascii="Times New Roman" w:hAnsi="Times New Roman"/>
          <w:color w:val="000000"/>
          <w:sz w:val="24"/>
          <w:szCs w:val="24"/>
          <w:lang w:val="sq-AL"/>
        </w:rPr>
        <w:tab/>
        <w:t>8. Për sa më lart, Kolegji vlerëson se kërkuesi legjitimohet t’i drejtohet kësaj Gjykate, sipas kërkesës.</w:t>
      </w:r>
      <w:r w:rsidRPr="004D3B21">
        <w:rPr>
          <w:rFonts w:ascii="Times New Roman" w:hAnsi="Times New Roman"/>
          <w:b/>
          <w:color w:val="000000"/>
          <w:lang w:val="sq-AL"/>
        </w:rPr>
        <w:tab/>
      </w:r>
    </w:p>
    <w:p w:rsidR="00941186" w:rsidRPr="004D3B21" w:rsidRDefault="00941186" w:rsidP="00941186">
      <w:pPr>
        <w:pStyle w:val="Title"/>
        <w:tabs>
          <w:tab w:val="left" w:pos="720"/>
        </w:tabs>
        <w:spacing w:line="360" w:lineRule="auto"/>
        <w:jc w:val="both"/>
        <w:outlineLvl w:val="0"/>
        <w:rPr>
          <w:rFonts w:ascii="Times New Roman" w:hAnsi="Times New Roman"/>
          <w:bCs w:val="0"/>
          <w:lang w:val="sq-AL"/>
        </w:rPr>
      </w:pPr>
      <w:r w:rsidRPr="004D3B21">
        <w:rPr>
          <w:rFonts w:ascii="Times New Roman" w:hAnsi="Times New Roman"/>
          <w:b w:val="0"/>
          <w:lang w:val="sq-AL"/>
        </w:rPr>
        <w:lastRenderedPageBreak/>
        <w:tab/>
      </w:r>
    </w:p>
    <w:p w:rsidR="00941186" w:rsidRPr="004D3B21" w:rsidRDefault="00941186" w:rsidP="00941186">
      <w:pPr>
        <w:spacing w:after="0" w:line="360" w:lineRule="auto"/>
        <w:ind w:firstLine="720"/>
        <w:jc w:val="both"/>
        <w:rPr>
          <w:rFonts w:ascii="Times New Roman" w:hAnsi="Times New Roman"/>
          <w:bCs/>
          <w:i/>
          <w:sz w:val="24"/>
          <w:szCs w:val="24"/>
          <w:lang w:val="sq-AL"/>
        </w:rPr>
      </w:pPr>
      <w:r w:rsidRPr="004D3B21">
        <w:rPr>
          <w:rFonts w:ascii="Times New Roman" w:hAnsi="Times New Roman"/>
          <w:bCs/>
          <w:i/>
          <w:sz w:val="24"/>
          <w:szCs w:val="24"/>
          <w:lang w:val="sq-AL"/>
        </w:rPr>
        <w:t xml:space="preserve">B. Për pretendimin e cenimit të parimit të barazisë së armëve në procesin penal </w:t>
      </w:r>
    </w:p>
    <w:p w:rsidR="00941186" w:rsidRPr="004D3B21" w:rsidRDefault="00941186" w:rsidP="00941186">
      <w:pPr>
        <w:spacing w:after="0" w:line="360" w:lineRule="auto"/>
        <w:ind w:firstLine="720"/>
        <w:jc w:val="both"/>
        <w:rPr>
          <w:rFonts w:ascii="Times New Roman" w:hAnsi="Times New Roman"/>
          <w:bCs/>
          <w:sz w:val="24"/>
          <w:szCs w:val="24"/>
          <w:lang w:val="sq-AL"/>
        </w:rPr>
      </w:pPr>
      <w:r w:rsidRPr="004D3B21">
        <w:rPr>
          <w:rFonts w:ascii="Times New Roman" w:hAnsi="Times New Roman"/>
          <w:bCs/>
          <w:sz w:val="24"/>
          <w:szCs w:val="24"/>
          <w:lang w:val="sq-AL"/>
        </w:rPr>
        <w:t xml:space="preserve">9. Sipas kërkuesit, në seancën gjyqësore të datës 08.02.2013 ai mbrohej nga avokatja S.M., e cila ishte caktuar kryesisht nga gjykata për të mbrojtur njëkohësisht edhe të dënuarin Vilson Tota. </w:t>
      </w:r>
      <w:r w:rsidR="00974FA4">
        <w:rPr>
          <w:rFonts w:ascii="Times New Roman" w:hAnsi="Times New Roman"/>
          <w:bCs/>
          <w:sz w:val="24"/>
          <w:szCs w:val="24"/>
          <w:lang w:val="sq-AL"/>
        </w:rPr>
        <w:t>Kurse</w:t>
      </w:r>
      <w:r w:rsidR="00974FA4" w:rsidRPr="004D3B21">
        <w:rPr>
          <w:rFonts w:ascii="Times New Roman" w:hAnsi="Times New Roman"/>
          <w:bCs/>
          <w:sz w:val="24"/>
          <w:szCs w:val="24"/>
          <w:lang w:val="sq-AL"/>
        </w:rPr>
        <w:t xml:space="preserve"> </w:t>
      </w:r>
      <w:r w:rsidRPr="004D3B21">
        <w:rPr>
          <w:rFonts w:ascii="Times New Roman" w:hAnsi="Times New Roman"/>
          <w:bCs/>
          <w:sz w:val="24"/>
          <w:szCs w:val="24"/>
          <w:lang w:val="sq-AL"/>
        </w:rPr>
        <w:t xml:space="preserve">në seancën e datës 08.10.2013, ku avokatja e caktuar kryesisht e kërkuesit ka njoftuar gjykatën se nuk mund të paraqitej në gjykim, për të është caktuar sërish si avokat kryesisht S.M., </w:t>
      </w:r>
      <w:r w:rsidR="00974FA4">
        <w:rPr>
          <w:rFonts w:ascii="Times New Roman" w:hAnsi="Times New Roman"/>
          <w:bCs/>
          <w:sz w:val="24"/>
          <w:szCs w:val="24"/>
          <w:lang w:val="sq-AL"/>
        </w:rPr>
        <w:t>që</w:t>
      </w:r>
      <w:r w:rsidRPr="004D3B21">
        <w:rPr>
          <w:rFonts w:ascii="Times New Roman" w:hAnsi="Times New Roman"/>
          <w:bCs/>
          <w:sz w:val="24"/>
          <w:szCs w:val="24"/>
          <w:lang w:val="sq-AL"/>
        </w:rPr>
        <w:t xml:space="preserve"> mbronte edhe të pandehurin tjetër. Ai pretendon se </w:t>
      </w:r>
      <w:r w:rsidR="004D3B21">
        <w:rPr>
          <w:rFonts w:ascii="Times New Roman" w:hAnsi="Times New Roman"/>
          <w:bCs/>
          <w:sz w:val="24"/>
          <w:szCs w:val="24"/>
          <w:lang w:val="sq-AL"/>
        </w:rPr>
        <w:t>m</w:t>
      </w:r>
      <w:r w:rsidRPr="004D3B21">
        <w:rPr>
          <w:rFonts w:ascii="Times New Roman" w:hAnsi="Times New Roman"/>
          <w:bCs/>
          <w:sz w:val="24"/>
          <w:szCs w:val="24"/>
          <w:lang w:val="sq-AL"/>
        </w:rPr>
        <w:t>brojtja njëkohësisht e të dy të pandehurve nga e njëjta avokate përbën cenim të së drejtës për një proces të rregullt ligjor.</w:t>
      </w:r>
    </w:p>
    <w:p w:rsidR="00941186" w:rsidRPr="004D3B21" w:rsidRDefault="00941186" w:rsidP="00941186">
      <w:pPr>
        <w:spacing w:after="0" w:line="360" w:lineRule="auto"/>
        <w:ind w:firstLine="720"/>
        <w:jc w:val="both"/>
        <w:rPr>
          <w:rFonts w:ascii="Times New Roman" w:hAnsi="Times New Roman"/>
          <w:sz w:val="24"/>
          <w:szCs w:val="24"/>
          <w:lang w:val="sq-AL"/>
        </w:rPr>
      </w:pPr>
      <w:r w:rsidRPr="004D3B21">
        <w:rPr>
          <w:rFonts w:ascii="Times New Roman" w:hAnsi="Times New Roman"/>
          <w:sz w:val="24"/>
          <w:szCs w:val="24"/>
          <w:lang w:val="sq-AL"/>
        </w:rPr>
        <w:t>10. Gjykata ka theksuar se parimi i kontradiktoritetit dhe i barazisë së armëve në gjykimin penal kërkon që argumentet e mbrojtjes të paraqiten dhe të dëgjohen njëlloj si ato të prokurorit. Ky parim presupozon që secilës palë duhet t’i ofrohen mundësi të arsyeshme për të paraqitur pretendimet për çështjen, në kushte të tilla që të mos e venë në disavantazh me palën tjetër (</w:t>
      </w:r>
      <w:r w:rsidRPr="004D3B21">
        <w:rPr>
          <w:rFonts w:ascii="Times New Roman" w:hAnsi="Times New Roman"/>
          <w:i/>
          <w:sz w:val="24"/>
          <w:szCs w:val="24"/>
          <w:lang w:val="sq-AL"/>
        </w:rPr>
        <w:t>shih vendimin nr.5, datë 17.02.2003 të Gjykatës Kushtetuese</w:t>
      </w:r>
      <w:r w:rsidRPr="004D3B21">
        <w:rPr>
          <w:rFonts w:ascii="Times New Roman" w:hAnsi="Times New Roman"/>
          <w:sz w:val="24"/>
          <w:szCs w:val="24"/>
          <w:lang w:val="sq-AL"/>
        </w:rPr>
        <w:t xml:space="preserve">). Në lidhje me paraqitjen dhe administrimin e provave në gjykim, Gjykata mban qëndrimin se provat paraqiten dhe marrin vlerën e tyre në debatin gjyqësor, ku secila palë ka mundësi për të paraqitur argumentet e veta në një pozitë jo më pak të favorshme se pala tjetër </w:t>
      </w:r>
      <w:r w:rsidRPr="004D3B21">
        <w:rPr>
          <w:rFonts w:ascii="Times New Roman" w:hAnsi="Times New Roman"/>
          <w:iCs/>
          <w:sz w:val="24"/>
          <w:szCs w:val="24"/>
          <w:lang w:val="sq-AL"/>
        </w:rPr>
        <w:t>(</w:t>
      </w:r>
      <w:r w:rsidRPr="004D3B21">
        <w:rPr>
          <w:rFonts w:ascii="Times New Roman" w:hAnsi="Times New Roman"/>
          <w:i/>
          <w:iCs/>
          <w:sz w:val="24"/>
          <w:szCs w:val="24"/>
          <w:lang w:val="sq-AL"/>
        </w:rPr>
        <w:t>shih vendimin nr.16, datë 27.03.2012 të Gjykatës Kushtetuese</w:t>
      </w:r>
      <w:r w:rsidRPr="004D3B21">
        <w:rPr>
          <w:rFonts w:ascii="Times New Roman" w:hAnsi="Times New Roman"/>
          <w:iCs/>
          <w:sz w:val="24"/>
          <w:szCs w:val="24"/>
          <w:lang w:val="sq-AL"/>
        </w:rPr>
        <w:t>)</w:t>
      </w:r>
      <w:r w:rsidRPr="004D3B21">
        <w:rPr>
          <w:rFonts w:ascii="Times New Roman" w:hAnsi="Times New Roman"/>
          <w:sz w:val="24"/>
          <w:szCs w:val="24"/>
          <w:lang w:val="sq-AL"/>
        </w:rPr>
        <w:t>.</w:t>
      </w:r>
    </w:p>
    <w:p w:rsidR="00941186" w:rsidRPr="004D3B21" w:rsidRDefault="00941186" w:rsidP="00941186">
      <w:pPr>
        <w:tabs>
          <w:tab w:val="left" w:pos="720"/>
        </w:tabs>
        <w:spacing w:after="0" w:line="360" w:lineRule="auto"/>
        <w:contextualSpacing/>
        <w:jc w:val="both"/>
        <w:rPr>
          <w:rFonts w:ascii="Times New Roman" w:hAnsi="Times New Roman"/>
          <w:sz w:val="24"/>
          <w:szCs w:val="24"/>
          <w:lang w:val="sq-AL"/>
        </w:rPr>
      </w:pPr>
      <w:r w:rsidRPr="004D3B21">
        <w:rPr>
          <w:rFonts w:ascii="Times New Roman" w:hAnsi="Times New Roman"/>
          <w:sz w:val="24"/>
          <w:szCs w:val="24"/>
          <w:lang w:val="sq-AL"/>
        </w:rPr>
        <w:tab/>
        <w:t>11. Bazuar në aktet e dosjes gjyqësore të administruar rezulton se gjykimi i kësaj çështjeje ka filluar në seancën e datës 07.12.2012, ku asnjë nga të pandehurit nuk ka qenë i pranishëm dhe shqyrtimi është ndërprerë për shkak të mosnjoftimit të tyre (</w:t>
      </w:r>
      <w:r w:rsidR="00833726" w:rsidRPr="004D3B21">
        <w:rPr>
          <w:rFonts w:ascii="Times New Roman" w:hAnsi="Times New Roman"/>
          <w:sz w:val="24"/>
          <w:szCs w:val="24"/>
          <w:lang w:val="sq-AL"/>
        </w:rPr>
        <w:t>faq</w:t>
      </w:r>
      <w:r w:rsidR="00833726">
        <w:rPr>
          <w:rFonts w:ascii="Times New Roman" w:hAnsi="Times New Roman"/>
          <w:sz w:val="24"/>
          <w:szCs w:val="24"/>
          <w:lang w:val="sq-AL"/>
        </w:rPr>
        <w:t>ja</w:t>
      </w:r>
      <w:r w:rsidR="00833726" w:rsidRPr="004D3B21">
        <w:rPr>
          <w:rFonts w:ascii="Times New Roman" w:hAnsi="Times New Roman"/>
          <w:sz w:val="24"/>
          <w:szCs w:val="24"/>
          <w:lang w:val="sq-AL"/>
        </w:rPr>
        <w:t xml:space="preserve"> </w:t>
      </w:r>
      <w:r w:rsidRPr="004D3B21">
        <w:rPr>
          <w:rFonts w:ascii="Times New Roman" w:hAnsi="Times New Roman"/>
          <w:sz w:val="24"/>
          <w:szCs w:val="24"/>
          <w:lang w:val="sq-AL"/>
        </w:rPr>
        <w:t>9 e dosjes gjyqësore). Në seancën e datës 24.12.2012 gjykata ka vendosur të deklarojë mungesën e të pandehurve Klodian Tota dhe Vilson Tota, të zhvillojë gjykimin në mungesë të tyre, t`u caktojë atyre si mbrojtës kryesisht avokaten S.M. dhe të shtyjë gjykimin për të njoftuar avokaten (</w:t>
      </w:r>
      <w:r w:rsidR="00833726" w:rsidRPr="004D3B21">
        <w:rPr>
          <w:rFonts w:ascii="Times New Roman" w:hAnsi="Times New Roman"/>
          <w:sz w:val="24"/>
          <w:szCs w:val="24"/>
          <w:lang w:val="sq-AL"/>
        </w:rPr>
        <w:t>faq</w:t>
      </w:r>
      <w:r w:rsidR="00833726">
        <w:rPr>
          <w:rFonts w:ascii="Times New Roman" w:hAnsi="Times New Roman"/>
          <w:sz w:val="24"/>
          <w:szCs w:val="24"/>
          <w:lang w:val="sq-AL"/>
        </w:rPr>
        <w:t>ja</w:t>
      </w:r>
      <w:r w:rsidR="00833726" w:rsidRPr="004D3B21">
        <w:rPr>
          <w:rFonts w:ascii="Times New Roman" w:hAnsi="Times New Roman"/>
          <w:sz w:val="24"/>
          <w:szCs w:val="24"/>
          <w:lang w:val="sq-AL"/>
        </w:rPr>
        <w:t xml:space="preserve"> </w:t>
      </w:r>
      <w:r w:rsidRPr="004D3B21">
        <w:rPr>
          <w:rFonts w:ascii="Times New Roman" w:hAnsi="Times New Roman"/>
          <w:sz w:val="24"/>
          <w:szCs w:val="24"/>
          <w:lang w:val="sq-AL"/>
        </w:rPr>
        <w:t>17 e dosjes gjyqësore). Në seancën e datës 08.02.2013 për të dy të pandehurit është paraqitur avokatja e caktuar kryesisht, e cila ka deklaruar se është dakord të përfaqësojë të pandehurit dhe se është njohur me materialet e dosjes gjyqësore. Megjithatë</w:t>
      </w:r>
      <w:r w:rsidR="00E31D4A">
        <w:rPr>
          <w:rFonts w:ascii="Times New Roman" w:hAnsi="Times New Roman"/>
          <w:sz w:val="24"/>
          <w:szCs w:val="24"/>
          <w:lang w:val="sq-AL"/>
        </w:rPr>
        <w:t>,</w:t>
      </w:r>
      <w:r w:rsidRPr="004D3B21">
        <w:rPr>
          <w:rFonts w:ascii="Times New Roman" w:hAnsi="Times New Roman"/>
          <w:sz w:val="24"/>
          <w:szCs w:val="24"/>
          <w:lang w:val="sq-AL"/>
        </w:rPr>
        <w:t xml:space="preserve"> kjo seancë është shtyrë për shkak të mungesës së prokurores së çështjes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25 e dosjes gjyqësore). Në seancën e datës 28.02.2013 gjykata ka konstatuar se familjarët e të pandehurve, me prokurën e posaçme të datës 08.02.2013, kanë caktuar si mbrojtës të tyre avokatin Z.Q., ndaj ajo ka shtyrë seancën për t`i dhënë mundësinë mbrojtësit të zgjedhur që të paraqitet në gjykim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33 e dosjes gjyqësore). Në seancën e datës 28.03.2013</w:t>
      </w:r>
      <w:r w:rsidR="00E31D4A">
        <w:rPr>
          <w:rFonts w:ascii="Times New Roman" w:hAnsi="Times New Roman"/>
          <w:sz w:val="24"/>
          <w:szCs w:val="24"/>
          <w:lang w:val="sq-AL"/>
        </w:rPr>
        <w:t>,</w:t>
      </w:r>
      <w:r w:rsidRPr="004D3B21">
        <w:rPr>
          <w:rFonts w:ascii="Times New Roman" w:hAnsi="Times New Roman"/>
          <w:sz w:val="24"/>
          <w:szCs w:val="24"/>
          <w:lang w:val="sq-AL"/>
        </w:rPr>
        <w:t xml:space="preserve"> gjykata, në kushtet kur as avokati i zgjedhur nga familjarët dhe as ai </w:t>
      </w:r>
      <w:r w:rsidRPr="004D3B21">
        <w:rPr>
          <w:rFonts w:ascii="Times New Roman" w:hAnsi="Times New Roman"/>
          <w:sz w:val="24"/>
          <w:szCs w:val="24"/>
          <w:lang w:val="sq-AL"/>
        </w:rPr>
        <w:lastRenderedPageBreak/>
        <w:t>i caktuar kryesisht nuk janë paraqitur, ka vendosur të caktojë si mbrojtës kryesisht për të dy të pandehurit avokaten N.P.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41e dosjes gjyqësore). Në seancën e datës 12.04.2013 para gjykatës është paraqitur avokatja M.R., e cila ka depozituar prokurën e posaçme të nënshkruar nga familjarët e kërkuesit për përfaqësimin e tij dhe gjykata ka revokuar vendimin për përfaqësimin e kërkuesit nga mbrojtësi i caktuar kryesisht dhe ka lejuar përfaqësimin e mbrojtjen nga avokat</w:t>
      </w:r>
      <w:r w:rsidR="00E31D4A">
        <w:rPr>
          <w:rFonts w:ascii="Times New Roman" w:hAnsi="Times New Roman"/>
          <w:sz w:val="24"/>
          <w:szCs w:val="24"/>
          <w:lang w:val="sq-AL"/>
        </w:rPr>
        <w:t>ja</w:t>
      </w:r>
      <w:r w:rsidRPr="004D3B21">
        <w:rPr>
          <w:rFonts w:ascii="Times New Roman" w:hAnsi="Times New Roman"/>
          <w:sz w:val="24"/>
          <w:szCs w:val="24"/>
          <w:lang w:val="sq-AL"/>
        </w:rPr>
        <w:t xml:space="preserve"> </w:t>
      </w:r>
      <w:r w:rsidR="00E31D4A">
        <w:rPr>
          <w:rFonts w:ascii="Times New Roman" w:hAnsi="Times New Roman"/>
          <w:sz w:val="24"/>
          <w:szCs w:val="24"/>
          <w:lang w:val="sq-AL"/>
        </w:rPr>
        <w:t>e</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zgjedhur nga familjarët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48 e dosjes gjyqësore). Në seancën e datës 17.07.2013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90 e dosjes gjyqësore) dhe në vijim rezulton se kërkuesi është paraqitur personalisht në gjykim, kurse në seancën e datës 08.10.2013 ai ka deklaruar para gjykatës se kërkon të përfaqësohet në gjykim nga avokatja M.R.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 xml:space="preserve">121 e dosjes gjyqësore). Në këtë seancë gjykata në lidhje </w:t>
      </w:r>
      <w:r w:rsidR="00E31D4A">
        <w:rPr>
          <w:rFonts w:ascii="Times New Roman" w:hAnsi="Times New Roman"/>
          <w:sz w:val="24"/>
          <w:szCs w:val="24"/>
          <w:lang w:val="sq-AL"/>
        </w:rPr>
        <w:t xml:space="preserve">me </w:t>
      </w:r>
      <w:r w:rsidRPr="004D3B21">
        <w:rPr>
          <w:rFonts w:ascii="Times New Roman" w:hAnsi="Times New Roman"/>
          <w:sz w:val="24"/>
          <w:szCs w:val="24"/>
          <w:lang w:val="sq-AL"/>
        </w:rPr>
        <w:t>mbrojtjen e kërkuesit ka vendosur të revokojë avokaten e caktuar kryesisht N.P. dhe të caktojë si mbrojtës kryesisht avokaten S.M. Në seancën gjyqësore të datës 20.11.2013, për shkak se avokatja M.R. ka hequr dorë nga përfaqësimi i kërkuesit, ai ka deklaruar para gjykatës se do të mbrohet nga avokati E.S.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 xml:space="preserve">163 e dosjes gjyqësore). Në seancën e datës 30.12.2013, për shkak të mungesës në disa seanca të këtij mbrojtësi, </w:t>
      </w:r>
      <w:r w:rsidR="00E31D4A">
        <w:rPr>
          <w:rFonts w:ascii="Times New Roman" w:hAnsi="Times New Roman"/>
          <w:sz w:val="24"/>
          <w:szCs w:val="24"/>
          <w:lang w:val="sq-AL"/>
        </w:rPr>
        <w:t xml:space="preserve">gjykata </w:t>
      </w:r>
      <w:r w:rsidRPr="004D3B21">
        <w:rPr>
          <w:rFonts w:ascii="Times New Roman" w:hAnsi="Times New Roman"/>
          <w:sz w:val="24"/>
          <w:szCs w:val="24"/>
          <w:lang w:val="sq-AL"/>
        </w:rPr>
        <w:t>ka caktuar për kërkuesin si mbrojtëse kryesisht avokaten N.P.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199 e dosjes gjyqësore), e cila në datën 03.03.2014 është zgjedhur me deklarim nga kërkuesi si përfaqësuese e tij (</w:t>
      </w:r>
      <w:r w:rsidR="00E31D4A" w:rsidRPr="004D3B21">
        <w:rPr>
          <w:rFonts w:ascii="Times New Roman" w:hAnsi="Times New Roman"/>
          <w:sz w:val="24"/>
          <w:szCs w:val="24"/>
          <w:lang w:val="sq-AL"/>
        </w:rPr>
        <w:t>faq</w:t>
      </w:r>
      <w:r w:rsidR="00E31D4A">
        <w:rPr>
          <w:rFonts w:ascii="Times New Roman" w:hAnsi="Times New Roman"/>
          <w:sz w:val="24"/>
          <w:szCs w:val="24"/>
          <w:lang w:val="sq-AL"/>
        </w:rPr>
        <w:t>ja</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 xml:space="preserve">329 e dosjes gjyqësore) dhe ka vijuar përfaqësimin e kërkuesit deri në përfundimin e këtij gjykimi në shkallën e parë. </w:t>
      </w:r>
    </w:p>
    <w:p w:rsidR="00941186" w:rsidRPr="004D3B21" w:rsidRDefault="00941186" w:rsidP="00941186">
      <w:pPr>
        <w:spacing w:after="0" w:line="360" w:lineRule="auto"/>
        <w:ind w:firstLine="720"/>
        <w:jc w:val="both"/>
        <w:rPr>
          <w:rFonts w:ascii="Times New Roman" w:hAnsi="Times New Roman"/>
          <w:sz w:val="24"/>
          <w:szCs w:val="24"/>
          <w:lang w:val="sq-AL"/>
        </w:rPr>
      </w:pPr>
      <w:r w:rsidRPr="004D3B21">
        <w:rPr>
          <w:rFonts w:ascii="Times New Roman" w:hAnsi="Times New Roman"/>
          <w:sz w:val="24"/>
          <w:szCs w:val="24"/>
          <w:lang w:val="sq-AL"/>
        </w:rPr>
        <w:t>12. Bazuar në sa më sipër</w:t>
      </w:r>
      <w:r w:rsidR="00E31D4A">
        <w:rPr>
          <w:rFonts w:ascii="Times New Roman" w:hAnsi="Times New Roman"/>
          <w:sz w:val="24"/>
          <w:szCs w:val="24"/>
          <w:lang w:val="sq-AL"/>
        </w:rPr>
        <w:t>,</w:t>
      </w:r>
      <w:r w:rsidRPr="004D3B21">
        <w:rPr>
          <w:rFonts w:ascii="Times New Roman" w:hAnsi="Times New Roman"/>
          <w:sz w:val="24"/>
          <w:szCs w:val="24"/>
          <w:lang w:val="sq-AL"/>
        </w:rPr>
        <w:t xml:space="preserve"> Kolegji arrin në përfundimin se kërkuesit i është garantuar e drejta e mbrojtjes në gjykim, fillimisht nëpërmjet mbrojtësit e më pas edhe personalisht. Rezulton se ai ka qenë i pranishëm pothuajse në të gjitha seancat gjyqësore që janë zhvilluar pas ekzekutimit të vendimit të masës së arrestit të dhënë ndaj tij. Ai ka pasur mundësinë që të njihet me aktet e dosjes gjyqësore dhe provat e paraqitura nga akuza, si dhe i është dhënë mundësia gjatë gjykimit që </w:t>
      </w:r>
      <w:r w:rsidR="00E31D4A" w:rsidRPr="004D3B21">
        <w:rPr>
          <w:rFonts w:ascii="Times New Roman" w:hAnsi="Times New Roman"/>
          <w:sz w:val="24"/>
          <w:szCs w:val="24"/>
          <w:lang w:val="sq-AL"/>
        </w:rPr>
        <w:t>t</w:t>
      </w:r>
      <w:r w:rsidR="00E31D4A">
        <w:rPr>
          <w:rFonts w:ascii="Times New Roman" w:hAnsi="Times New Roman"/>
          <w:sz w:val="24"/>
          <w:szCs w:val="24"/>
          <w:lang w:val="sq-AL"/>
        </w:rPr>
        <w:t>’i</w:t>
      </w:r>
      <w:r w:rsidR="00E31D4A" w:rsidRPr="004D3B21">
        <w:rPr>
          <w:rFonts w:ascii="Times New Roman" w:hAnsi="Times New Roman"/>
          <w:sz w:val="24"/>
          <w:szCs w:val="24"/>
          <w:lang w:val="sq-AL"/>
        </w:rPr>
        <w:t xml:space="preserve"> </w:t>
      </w:r>
      <w:r w:rsidRPr="004D3B21">
        <w:rPr>
          <w:rFonts w:ascii="Times New Roman" w:hAnsi="Times New Roman"/>
          <w:sz w:val="24"/>
          <w:szCs w:val="24"/>
          <w:lang w:val="sq-AL"/>
        </w:rPr>
        <w:t xml:space="preserve">kundërshtojë këto prova, si edhe të paraqesë çdo provë tjetër në mbështetje të qëndrimit të tij. Kërkuesit jo vetëm që i është dhënë mundësia të paraqesë argumentet dhe kërkesat e tij para gjykatës, por pretendimet e tij janë marrë në shqyrtim dhe u është dhënë përgjigje e arsyetuar në vendim. </w:t>
      </w:r>
    </w:p>
    <w:p w:rsidR="00941186" w:rsidRPr="004D3B21" w:rsidRDefault="00941186" w:rsidP="00941186">
      <w:pPr>
        <w:spacing w:after="0" w:line="360" w:lineRule="auto"/>
        <w:ind w:firstLine="720"/>
        <w:jc w:val="both"/>
        <w:rPr>
          <w:rFonts w:ascii="Times New Roman" w:hAnsi="Times New Roman"/>
          <w:bCs/>
          <w:sz w:val="24"/>
          <w:szCs w:val="24"/>
          <w:lang w:val="sq-AL"/>
        </w:rPr>
      </w:pPr>
      <w:r w:rsidRPr="004D3B21">
        <w:rPr>
          <w:rFonts w:ascii="Times New Roman" w:hAnsi="Times New Roman"/>
          <w:sz w:val="24"/>
          <w:szCs w:val="24"/>
          <w:lang w:val="sq-AL"/>
        </w:rPr>
        <w:t>13. Për sa i takon pretendimit të kërkuesit në lidhje me m</w:t>
      </w:r>
      <w:r w:rsidRPr="004D3B21">
        <w:rPr>
          <w:rFonts w:ascii="Times New Roman" w:hAnsi="Times New Roman"/>
          <w:bCs/>
          <w:sz w:val="24"/>
          <w:szCs w:val="24"/>
          <w:lang w:val="sq-AL"/>
        </w:rPr>
        <w:t xml:space="preserve">brojtjen njëkohësisht të të dy të pandehurve nga e njëjta avokate, rezulton se sipas </w:t>
      </w:r>
      <w:r w:rsidRPr="004D3B21">
        <w:rPr>
          <w:rFonts w:ascii="Times New Roman" w:hAnsi="Times New Roman"/>
          <w:sz w:val="24"/>
          <w:szCs w:val="24"/>
          <w:lang w:val="sq-AL"/>
        </w:rPr>
        <w:t xml:space="preserve">nenit 54/1 të KPP-së mbrojtja e disa të pandehurve mund të merret përsipër nga një mbrojtës i përbashkët, me kusht që midis të pandehurve të mos ketë papajtueshmëri interesash. Në kuptim të kësaj dispozite kërkuesi nuk ka </w:t>
      </w:r>
      <w:r w:rsidRPr="004D3B21">
        <w:rPr>
          <w:rFonts w:ascii="Times New Roman" w:hAnsi="Times New Roman"/>
          <w:sz w:val="24"/>
          <w:szCs w:val="24"/>
          <w:lang w:val="sq-AL"/>
        </w:rPr>
        <w:lastRenderedPageBreak/>
        <w:t xml:space="preserve">arritur të provojë se jemi përpara kriterit ndalues të nenit 54 të KPP-së dhe se cilat janë ato interesa të papajtueshme midis të dënuarve Vilson Tota dhe Klodian Tota. Megjithatë, </w:t>
      </w:r>
      <w:r w:rsidRPr="004D3B21">
        <w:rPr>
          <w:rFonts w:ascii="Times New Roman" w:hAnsi="Times New Roman"/>
          <w:sz w:val="24"/>
          <w:szCs w:val="24"/>
          <w:lang w:val="sq-AL" w:eastAsia="sq-AL"/>
        </w:rPr>
        <w:t xml:space="preserve">rezulton nga aktet e dosjes gjyqësore se këta dy të pandehur janë përfaqësuar njëkohësisht nga i njëjti mbrojtës vetëm në seancat gjyqësore të datave </w:t>
      </w:r>
      <w:r w:rsidRPr="004D3B21">
        <w:rPr>
          <w:rFonts w:ascii="Times New Roman" w:hAnsi="Times New Roman"/>
          <w:sz w:val="24"/>
          <w:szCs w:val="24"/>
          <w:lang w:val="sq-AL"/>
        </w:rPr>
        <w:t xml:space="preserve">24.12.2012 dhe 08.02.2013. Të dyja këto seanca rezulton se janë shtyrë dhe gjykata nuk ka zhvilluar hetim gjyqësor, por as mbrojtësi i zgjedhur kryesisht nuk ka kryer asnjë veprim procedural në emër të të përfaqësuarve të tij. Për rrjedhojë, ky pretendim i kërkuesit është i pabazuar. </w:t>
      </w:r>
    </w:p>
    <w:p w:rsidR="00941186" w:rsidRPr="004D3B21" w:rsidRDefault="00941186" w:rsidP="00941186">
      <w:pPr>
        <w:spacing w:after="0" w:line="360" w:lineRule="auto"/>
        <w:jc w:val="both"/>
        <w:rPr>
          <w:rFonts w:ascii="Times New Roman" w:hAnsi="Times New Roman"/>
          <w:bCs/>
          <w:sz w:val="24"/>
          <w:szCs w:val="24"/>
          <w:lang w:val="sq-AL"/>
        </w:rPr>
      </w:pPr>
    </w:p>
    <w:p w:rsidR="00941186" w:rsidRPr="004D3B21" w:rsidRDefault="00941186" w:rsidP="004D3B21">
      <w:pPr>
        <w:pStyle w:val="BodyTextIndent"/>
        <w:tabs>
          <w:tab w:val="left" w:pos="720"/>
        </w:tabs>
        <w:spacing w:after="0" w:line="360" w:lineRule="auto"/>
        <w:ind w:left="0"/>
        <w:rPr>
          <w:rFonts w:ascii="Times New Roman" w:hAnsi="Times New Roman"/>
          <w:bCs/>
          <w:i/>
          <w:sz w:val="24"/>
          <w:szCs w:val="24"/>
          <w:lang w:val="sq-AL"/>
        </w:rPr>
      </w:pPr>
      <w:r w:rsidRPr="004D3B21">
        <w:rPr>
          <w:rFonts w:ascii="Times New Roman" w:eastAsia="MS Mincho" w:hAnsi="Times New Roman"/>
          <w:bCs/>
          <w:i/>
          <w:sz w:val="24"/>
          <w:szCs w:val="24"/>
          <w:lang w:val="sq-AL"/>
        </w:rPr>
        <w:tab/>
        <w:t>C</w:t>
      </w:r>
      <w:r w:rsidRPr="004D3B21">
        <w:rPr>
          <w:rFonts w:ascii="Times New Roman" w:hAnsi="Times New Roman"/>
          <w:bCs/>
          <w:i/>
          <w:sz w:val="24"/>
          <w:szCs w:val="24"/>
          <w:lang w:val="sq-AL"/>
        </w:rPr>
        <w:t xml:space="preserve">. Për pretendimin e cenimit të së drejtës së aksesit nga Kolegji Penal i Gjykatës së Lartë </w:t>
      </w:r>
    </w:p>
    <w:p w:rsidR="00941186" w:rsidRPr="004D3B21" w:rsidRDefault="00941186" w:rsidP="004D3B21">
      <w:pPr>
        <w:spacing w:after="0" w:line="360" w:lineRule="auto"/>
        <w:ind w:firstLine="720"/>
        <w:jc w:val="both"/>
        <w:rPr>
          <w:rFonts w:ascii="Times New Roman" w:hAnsi="Times New Roman"/>
          <w:bCs/>
          <w:sz w:val="24"/>
          <w:szCs w:val="24"/>
          <w:lang w:val="sq-AL"/>
        </w:rPr>
      </w:pPr>
      <w:r w:rsidRPr="004D3B21">
        <w:rPr>
          <w:rFonts w:ascii="Times New Roman" w:hAnsi="Times New Roman"/>
          <w:bCs/>
          <w:sz w:val="24"/>
          <w:szCs w:val="24"/>
          <w:lang w:val="sq-AL"/>
        </w:rPr>
        <w:t xml:space="preserve">14. Sipas kërkuesit Kolegji Penal duhet të kishte shqyrtuar rekursin në seancë pasi kishte shkaqe të mjaftueshme për këtë gjë. Shqyrtimi në dhomë këshillimi ka sjellë si pasojë mosshqyrtimin në themel të pretendimeve, duke cenuar të drejtën e aksesit në gjykatë të kërkuesit. </w:t>
      </w:r>
    </w:p>
    <w:p w:rsidR="00941186" w:rsidRPr="004D3B21" w:rsidRDefault="00941186" w:rsidP="00941186">
      <w:pPr>
        <w:spacing w:after="0" w:line="360" w:lineRule="auto"/>
        <w:ind w:firstLine="720"/>
        <w:jc w:val="both"/>
        <w:rPr>
          <w:rFonts w:ascii="Times New Roman" w:hAnsi="Times New Roman"/>
          <w:bCs/>
          <w:sz w:val="24"/>
          <w:szCs w:val="24"/>
          <w:lang w:val="sq-AL"/>
        </w:rPr>
      </w:pPr>
      <w:r w:rsidRPr="004D3B21">
        <w:rPr>
          <w:rFonts w:ascii="Times New Roman" w:hAnsi="Times New Roman"/>
          <w:bCs/>
          <w:sz w:val="24"/>
          <w:szCs w:val="24"/>
          <w:lang w:val="sq-AL"/>
        </w:rPr>
        <w:t xml:space="preserve">15. Gjykata ka theksuar se </w:t>
      </w:r>
      <w:r w:rsidRPr="004D3B21">
        <w:rPr>
          <w:rFonts w:ascii="Times New Roman" w:hAnsi="Times New Roman"/>
          <w:sz w:val="24"/>
          <w:szCs w:val="24"/>
          <w:lang w:val="sq-AL"/>
        </w:rPr>
        <w:t xml:space="preserve">e drejta për një proces të rregullt ligjor, që i garantohet individit nga nenet 42 dhe 142/1 të Kushtetutës dhe neni 6 i KEDNJ-së, përfshin edhe të drejtën për të pasur akses në gjykatë. </w:t>
      </w:r>
      <w:r w:rsidRPr="004D3B21">
        <w:rPr>
          <w:rFonts w:ascii="Times New Roman" w:hAnsi="Times New Roman"/>
          <w:bCs/>
          <w:sz w:val="24"/>
          <w:szCs w:val="24"/>
          <w:lang w:val="sq-AL"/>
        </w:rPr>
        <w:t xml:space="preserve">Në nenin 42/2 të Kushtetutës parashikohet se kushdo, për mbrojtjen e të drejtave, të lirive dhe interesave të tij kushtetues dhe ligjorë, ose në rastin e akuzave të ngritura kundër tij, ka të drejtën e një gjykimi të drejtë dhe publik brenda një afati të arsyeshëm nga një gjykatë e pavarur dhe e paanshme e caktuar me ligj. </w:t>
      </w:r>
      <w:r w:rsidRPr="004D3B21">
        <w:rPr>
          <w:rFonts w:ascii="Times New Roman" w:hAnsi="Times New Roman"/>
          <w:sz w:val="24"/>
          <w:szCs w:val="24"/>
          <w:lang w:val="sq-AL"/>
        </w:rPr>
        <w:t>Kjo dispozitë sanksionon të drejtën për gjykim, ku e drejta për të vënë në lëvizje gjykatën përbën një aspekt të saj. E drejta e aksesit u garanton subjekteve të cenuara të drejtën t’i drejtohen një gjykate, e cila do t’i dëgjojë pretendimet e tyre dhe do të shpallë një vendim pas një gjykimi të drejtë dhe publik. Gjykata ka vlerësuar vazhdimisht se administrimi i mirë i drejtësisë fillon me garancinë që një individ të ketë akses në gjykatë për t’i siguruar atij të gjitha aspektet e një forme gjyqësore të shqyrtimit të çështjes. Kjo e drejtë e individit nuk përfshin vetëm të drejtën për të vënë në lëvizje gjykatën, por edhe të drejtën për të pasur prej saj një zgjidhje përfundimtare për mosmarrëveshjen objekt gjykimi, pasi aksesi në gjykatë duhet të jetë substantiv dhe jo thjesht formal. Në rast se mohohet kjo e drejtë, procesi konsiderohet i parregullt, sepse aksesi në gjykatë është, para së gjithash, një kusht kryesor për të realizuar mbrojtjen e të drejtave të tjera të individit. Shteti i së drejtës nuk mund të konceptohet pa u njohur individëve të drejtën dhe mundësinë për t’iu drejtuar gjykatës</w:t>
      </w:r>
      <w:r w:rsidRPr="004D3B21">
        <w:rPr>
          <w:rFonts w:ascii="Times New Roman" w:hAnsi="Times New Roman"/>
          <w:bCs/>
          <w:i/>
          <w:sz w:val="24"/>
          <w:szCs w:val="24"/>
          <w:lang w:val="sq-AL"/>
        </w:rPr>
        <w:t xml:space="preserve"> (shih vendimin nr.3, datë 23.02.2016 të Gjykatës Kushtetuese</w:t>
      </w:r>
      <w:r w:rsidRPr="004D3B21">
        <w:rPr>
          <w:rFonts w:ascii="Times New Roman" w:hAnsi="Times New Roman"/>
          <w:bCs/>
          <w:sz w:val="24"/>
          <w:szCs w:val="24"/>
          <w:lang w:val="sq-AL"/>
        </w:rPr>
        <w:t xml:space="preserve">). </w:t>
      </w:r>
      <w:r w:rsidRPr="004D3B21">
        <w:rPr>
          <w:rFonts w:ascii="Times New Roman" w:hAnsi="Times New Roman"/>
          <w:sz w:val="24"/>
          <w:szCs w:val="24"/>
          <w:lang w:val="sq-AL" w:eastAsia="ja-JP"/>
        </w:rPr>
        <w:t xml:space="preserve">Duke iu referuar dyshimit për </w:t>
      </w:r>
      <w:r w:rsidRPr="004D3B21">
        <w:rPr>
          <w:rFonts w:ascii="Times New Roman" w:hAnsi="Times New Roman"/>
          <w:sz w:val="24"/>
          <w:szCs w:val="24"/>
          <w:lang w:val="sq-AL" w:eastAsia="ja-JP"/>
        </w:rPr>
        <w:lastRenderedPageBreak/>
        <w:t>realizimin efektiv të së drejtës së aksesit në gjykatë nga ana e kërkuesit,</w:t>
      </w:r>
      <w:r w:rsidRPr="004D3B21">
        <w:rPr>
          <w:rFonts w:ascii="Times New Roman" w:hAnsi="Times New Roman"/>
          <w:bCs/>
          <w:sz w:val="24"/>
          <w:szCs w:val="24"/>
          <w:lang w:val="sq-AL"/>
        </w:rPr>
        <w:t xml:space="preserve"> Gjykata ka theksuar se është detyrë e Gjykatës së Lartë të bëjë të mundur realizimin efektiv të së drejtës së aksesit, pa lënë shkas për ekuivoke në lidhje me marrjen në shqyrtim dhe vlerësimin nga ana e saj të pretendimeve të ngritura (</w:t>
      </w:r>
      <w:r w:rsidRPr="004D3B21">
        <w:rPr>
          <w:rFonts w:ascii="Times New Roman" w:hAnsi="Times New Roman"/>
          <w:bCs/>
          <w:i/>
          <w:sz w:val="24"/>
          <w:szCs w:val="24"/>
          <w:lang w:val="sq-AL"/>
        </w:rPr>
        <w:t>shih vendimin nr.3, datë 23.02.2016 të Gjykatës Kushtetuese</w:t>
      </w:r>
      <w:r w:rsidRPr="004D3B21">
        <w:rPr>
          <w:rFonts w:ascii="Times New Roman" w:hAnsi="Times New Roman"/>
          <w:bCs/>
          <w:sz w:val="24"/>
          <w:szCs w:val="24"/>
          <w:lang w:val="sq-AL"/>
        </w:rPr>
        <w:t xml:space="preserve">). </w:t>
      </w:r>
    </w:p>
    <w:p w:rsidR="00941186" w:rsidRPr="004D3B21" w:rsidRDefault="00941186" w:rsidP="00941186">
      <w:pPr>
        <w:spacing w:after="0" w:line="360" w:lineRule="auto"/>
        <w:ind w:firstLine="720"/>
        <w:jc w:val="both"/>
        <w:rPr>
          <w:rFonts w:ascii="Times New Roman" w:hAnsi="Times New Roman"/>
          <w:sz w:val="24"/>
          <w:szCs w:val="24"/>
          <w:lang w:val="sq-AL"/>
        </w:rPr>
      </w:pPr>
      <w:r w:rsidRPr="004D3B21">
        <w:rPr>
          <w:rFonts w:ascii="Times New Roman" w:hAnsi="Times New Roman"/>
          <w:sz w:val="24"/>
          <w:szCs w:val="24"/>
          <w:lang w:val="sq-AL"/>
        </w:rPr>
        <w:t xml:space="preserve">16. Për gjykimin në Gjykatën e Lartë, rekursi, ndër të tjera, duhet të përmbajë shkaqet për të cilat kërkohet prishja e vendimit, duke iu referuar normave ligjore mbi të cilat mbështeten, dhe shqyrtimi i çështjes në kolegjet seleksionuese konsiston në një vlerësim të këtyre shkaqeve. </w:t>
      </w:r>
      <w:r w:rsidRPr="004D3B21">
        <w:rPr>
          <w:rFonts w:ascii="Times New Roman" w:hAnsi="Times New Roman"/>
          <w:bCs/>
          <w:sz w:val="24"/>
          <w:szCs w:val="24"/>
          <w:lang w:val="sq-AL"/>
        </w:rPr>
        <w:t>Gjykata në këtë drejtim ka theksuar se është kompetencë e Kolegjit Civil/Penal (dhoma e këshillimit) të analizojë dhe vlerësojë nëse shkaqet e ngritura në rekurs janë në përputhje me kërkesat e ligjit</w:t>
      </w:r>
      <w:r w:rsidRPr="004D3B21">
        <w:rPr>
          <w:rFonts w:ascii="Times New Roman" w:hAnsi="Times New Roman"/>
          <w:sz w:val="24"/>
          <w:szCs w:val="24"/>
          <w:lang w:val="sq-AL"/>
        </w:rPr>
        <w:t xml:space="preserve">. </w:t>
      </w:r>
      <w:r w:rsidRPr="004D3B21">
        <w:rPr>
          <w:rFonts w:ascii="Times New Roman" w:hAnsi="Times New Roman"/>
          <w:bCs/>
          <w:sz w:val="24"/>
          <w:szCs w:val="24"/>
          <w:lang w:val="sq-AL"/>
        </w:rPr>
        <w:t xml:space="preserve">Megjithatë, ky standard nuk duhet kuptuar sikur i mundëson Gjykatës së Lartë ushtrimin e kompetencës së mësipërme në mënyrë diskrecionale. Gjykata ka theksuar se standardet kushtetuese për një proces të rregullt ligjor duhen respektuar në të gjitha fazat e gjykimit, përfshirë këtu shqyrtimin e rekursit nga Gjykata e Lartë në dhomën e këshillimit. Rekursi është i vetmi mjet procedural në dispozicion të kërkuesit, me anë të të cilit ai mund të ketë akses në Gjykatën e Lartë, duke e investuar këtë të fundit me shqyrtimin e pretendimeve të tij </w:t>
      </w:r>
      <w:r w:rsidRPr="004D3B21">
        <w:rPr>
          <w:rFonts w:ascii="Times New Roman" w:hAnsi="Times New Roman"/>
          <w:sz w:val="24"/>
          <w:szCs w:val="24"/>
          <w:lang w:val="sq-AL"/>
        </w:rPr>
        <w:t>(</w:t>
      </w:r>
      <w:r w:rsidRPr="004D3B21">
        <w:rPr>
          <w:rFonts w:ascii="Times New Roman" w:hAnsi="Times New Roman"/>
          <w:i/>
          <w:sz w:val="24"/>
          <w:szCs w:val="24"/>
          <w:lang w:val="sq-AL"/>
        </w:rPr>
        <w:t>shih vendimin nr.24, datë 25.04.2016 të Gjykatës Kushtetuese</w:t>
      </w:r>
      <w:r w:rsidRPr="004D3B21">
        <w:rPr>
          <w:rFonts w:ascii="Times New Roman" w:hAnsi="Times New Roman"/>
          <w:sz w:val="24"/>
          <w:szCs w:val="24"/>
          <w:lang w:val="sq-AL"/>
        </w:rPr>
        <w:t>).</w:t>
      </w:r>
    </w:p>
    <w:p w:rsidR="00941186" w:rsidRPr="004D3B21" w:rsidRDefault="00941186" w:rsidP="00941186">
      <w:pPr>
        <w:spacing w:after="0" w:line="360" w:lineRule="auto"/>
        <w:ind w:firstLine="720"/>
        <w:jc w:val="both"/>
        <w:rPr>
          <w:rFonts w:ascii="Times New Roman" w:hAnsi="Times New Roman"/>
          <w:color w:val="000000"/>
          <w:sz w:val="24"/>
          <w:szCs w:val="24"/>
          <w:lang w:val="sq-AL" w:eastAsia="sq-AL"/>
        </w:rPr>
      </w:pPr>
      <w:r w:rsidRPr="004D3B21">
        <w:rPr>
          <w:rFonts w:ascii="Times New Roman" w:hAnsi="Times New Roman"/>
          <w:sz w:val="24"/>
          <w:szCs w:val="24"/>
          <w:lang w:val="sq-AL"/>
        </w:rPr>
        <w:t xml:space="preserve">17. Nga përmbajtja e dispozitave procedurale penale rezulton se rekursi shqyrtohet nga Kolegji Penal i Gjykatës së Lartë në dhomën e këshillimit pa pjesëmarrjen e palëve (neni 433 i KPP-së). Ky kolegj verifikon legjitimitetin e kërkuesit, bazueshmërinë në ligj dhe në prova të rekursit, si dhe praninë e kritereve ligjore për shqyrtimin e saj. Kur kërkesat e ligjit për kalimin në seancë nuk janë plotësuar, dhoma e këshillimit vendos mospranimin e rekursit. </w:t>
      </w:r>
    </w:p>
    <w:p w:rsidR="00941186" w:rsidRPr="004D3B21" w:rsidRDefault="00941186" w:rsidP="00941186">
      <w:pPr>
        <w:spacing w:after="0" w:line="360" w:lineRule="auto"/>
        <w:ind w:firstLine="720"/>
        <w:jc w:val="both"/>
        <w:rPr>
          <w:rFonts w:ascii="Times New Roman" w:hAnsi="Times New Roman"/>
          <w:sz w:val="24"/>
          <w:szCs w:val="24"/>
          <w:lang w:val="sq-AL"/>
        </w:rPr>
      </w:pPr>
      <w:r w:rsidRPr="004D3B21">
        <w:rPr>
          <w:rFonts w:ascii="Times New Roman" w:hAnsi="Times New Roman"/>
          <w:sz w:val="24"/>
          <w:szCs w:val="24"/>
          <w:lang w:val="sq-AL"/>
        </w:rPr>
        <w:t>18. Nga aktet bashkëlidhur kërkesës</w:t>
      </w:r>
      <w:r w:rsidR="00987841">
        <w:rPr>
          <w:rFonts w:ascii="Times New Roman" w:hAnsi="Times New Roman"/>
          <w:sz w:val="24"/>
          <w:szCs w:val="24"/>
          <w:lang w:val="sq-AL"/>
        </w:rPr>
        <w:t>,</w:t>
      </w:r>
      <w:r w:rsidRPr="004D3B21">
        <w:rPr>
          <w:rFonts w:ascii="Times New Roman" w:hAnsi="Times New Roman"/>
          <w:sz w:val="24"/>
          <w:szCs w:val="24"/>
          <w:lang w:val="sq-AL"/>
        </w:rPr>
        <w:t xml:space="preserve"> </w:t>
      </w:r>
      <w:r w:rsidR="007366B2" w:rsidRPr="004D3B21">
        <w:rPr>
          <w:rFonts w:ascii="Times New Roman" w:hAnsi="Times New Roman"/>
          <w:sz w:val="24"/>
          <w:szCs w:val="24"/>
          <w:lang w:val="sq-AL"/>
        </w:rPr>
        <w:t xml:space="preserve">Kolegji konstaton </w:t>
      </w:r>
      <w:r w:rsidRPr="004D3B21">
        <w:rPr>
          <w:rFonts w:ascii="Times New Roman" w:hAnsi="Times New Roman"/>
          <w:sz w:val="24"/>
          <w:szCs w:val="24"/>
          <w:lang w:val="sq-AL"/>
        </w:rPr>
        <w:t>se kërkuesi ka pretenduar të njëjtat shkaqe që lidhen edhe me kërkesën për rivendosjen në afat. Ai ka pretenduar zhvillimin e gjykimit në mungesë në shkallë të parë, por kjo mangësi është riparuar gjatë rishqyrtimit të çështjes për shkak të pranimit të kërkesës për rivendosje në afat. Gjithashtu, kërkuesi ka pretenduar se nuk është provuar fajësia e tij, gjë që nuk përbën shkak për rekurs, por është çështje e natyrës së provave dhe fakteve dhe si e tillë nuk bie në juridiksionin e Gjykatës së Lartë, si gjykatë rishikuese. Për këto shkaqe</w:t>
      </w:r>
      <w:bookmarkStart w:id="0" w:name="_GoBack"/>
      <w:bookmarkEnd w:id="0"/>
      <w:r w:rsidRPr="004D3B21">
        <w:rPr>
          <w:rFonts w:ascii="Times New Roman" w:hAnsi="Times New Roman"/>
          <w:sz w:val="24"/>
          <w:szCs w:val="24"/>
          <w:lang w:val="sq-AL"/>
        </w:rPr>
        <w:t>, Kolegji Penal nuk e ka marrë në shqyrtim rekursin</w:t>
      </w:r>
      <w:r w:rsidR="00F122D6">
        <w:rPr>
          <w:rFonts w:ascii="Times New Roman" w:hAnsi="Times New Roman"/>
          <w:sz w:val="24"/>
          <w:szCs w:val="24"/>
          <w:lang w:val="sq-AL"/>
        </w:rPr>
        <w:t>.</w:t>
      </w:r>
    </w:p>
    <w:p w:rsidR="006500BE" w:rsidRPr="004D3B21" w:rsidRDefault="006500BE" w:rsidP="006500BE">
      <w:pPr>
        <w:spacing w:after="0" w:line="360" w:lineRule="auto"/>
        <w:ind w:firstLine="720"/>
        <w:jc w:val="both"/>
        <w:rPr>
          <w:rFonts w:ascii="Times New Roman" w:hAnsi="Times New Roman"/>
          <w:sz w:val="24"/>
          <w:szCs w:val="24"/>
          <w:lang w:val="sq-AL"/>
        </w:rPr>
      </w:pPr>
      <w:r w:rsidRPr="004D3B21">
        <w:rPr>
          <w:rFonts w:ascii="Times New Roman" w:hAnsi="Times New Roman"/>
          <w:sz w:val="24"/>
          <w:szCs w:val="24"/>
          <w:lang w:val="sq-AL"/>
        </w:rPr>
        <w:t>1</w:t>
      </w:r>
      <w:r w:rsidR="007366B2" w:rsidRPr="004D3B21">
        <w:rPr>
          <w:rFonts w:ascii="Times New Roman" w:hAnsi="Times New Roman"/>
          <w:sz w:val="24"/>
          <w:szCs w:val="24"/>
          <w:lang w:val="sq-AL"/>
        </w:rPr>
        <w:t>9</w:t>
      </w:r>
      <w:r w:rsidRPr="004D3B21">
        <w:rPr>
          <w:rFonts w:ascii="Times New Roman" w:hAnsi="Times New Roman"/>
          <w:sz w:val="24"/>
          <w:szCs w:val="24"/>
          <w:lang w:val="sq-AL"/>
        </w:rPr>
        <w:t xml:space="preserve">. Për sa më sipër, </w:t>
      </w:r>
      <w:r w:rsidR="007366B2" w:rsidRPr="004D3B21">
        <w:rPr>
          <w:rFonts w:ascii="Times New Roman" w:hAnsi="Times New Roman"/>
          <w:sz w:val="24"/>
          <w:szCs w:val="24"/>
          <w:lang w:val="sq-AL"/>
        </w:rPr>
        <w:t xml:space="preserve">Kolegji çmon se </w:t>
      </w:r>
      <w:r w:rsidRPr="004D3B21">
        <w:rPr>
          <w:rFonts w:ascii="Times New Roman" w:hAnsi="Times New Roman"/>
          <w:sz w:val="24"/>
          <w:szCs w:val="24"/>
          <w:lang w:val="sq-AL"/>
        </w:rPr>
        <w:t>kërkesa e paraqitur nuk mund të kalojë për shqyrtim në seancë plenare</w:t>
      </w:r>
      <w:r w:rsidR="007366B2" w:rsidRPr="004D3B21">
        <w:rPr>
          <w:rFonts w:ascii="Times New Roman" w:hAnsi="Times New Roman"/>
          <w:sz w:val="24"/>
          <w:szCs w:val="24"/>
          <w:lang w:val="sq-AL"/>
        </w:rPr>
        <w:t>, pasi është haptazi e pabazuar</w:t>
      </w:r>
      <w:r w:rsidRPr="004D3B21">
        <w:rPr>
          <w:rFonts w:ascii="Times New Roman" w:hAnsi="Times New Roman"/>
          <w:sz w:val="24"/>
          <w:szCs w:val="24"/>
          <w:lang w:val="sq-AL"/>
        </w:rPr>
        <w:t>.</w:t>
      </w:r>
    </w:p>
    <w:p w:rsidR="006500BE" w:rsidRPr="004D3B21" w:rsidRDefault="006500BE" w:rsidP="006500BE">
      <w:pPr>
        <w:spacing w:after="0" w:line="360" w:lineRule="auto"/>
        <w:jc w:val="center"/>
        <w:rPr>
          <w:rFonts w:ascii="Times New Roman" w:hAnsi="Times New Roman"/>
          <w:b/>
          <w:bCs/>
          <w:sz w:val="24"/>
          <w:szCs w:val="24"/>
          <w:lang w:val="sq-AL"/>
        </w:rPr>
      </w:pPr>
    </w:p>
    <w:p w:rsidR="006500BE" w:rsidRPr="004D3B21" w:rsidRDefault="006500BE" w:rsidP="006500BE">
      <w:pPr>
        <w:spacing w:after="0" w:line="360" w:lineRule="auto"/>
        <w:jc w:val="center"/>
        <w:rPr>
          <w:rFonts w:ascii="Times New Roman" w:hAnsi="Times New Roman"/>
          <w:b/>
          <w:bCs/>
          <w:sz w:val="24"/>
          <w:szCs w:val="24"/>
          <w:lang w:val="sq-AL"/>
        </w:rPr>
      </w:pPr>
      <w:r w:rsidRPr="004D3B21">
        <w:rPr>
          <w:rFonts w:ascii="Times New Roman" w:hAnsi="Times New Roman"/>
          <w:b/>
          <w:bCs/>
          <w:sz w:val="24"/>
          <w:szCs w:val="24"/>
          <w:lang w:val="sq-AL"/>
        </w:rPr>
        <w:lastRenderedPageBreak/>
        <w:t>PËR KËTO ARSYE,</w:t>
      </w:r>
    </w:p>
    <w:p w:rsidR="006500BE" w:rsidRPr="004D3B21" w:rsidRDefault="006500BE" w:rsidP="006500BE">
      <w:pPr>
        <w:spacing w:after="0" w:line="360" w:lineRule="auto"/>
        <w:jc w:val="both"/>
        <w:rPr>
          <w:rFonts w:ascii="Times New Roman" w:hAnsi="Times New Roman"/>
          <w:sz w:val="24"/>
          <w:szCs w:val="24"/>
          <w:lang w:val="sq-AL"/>
        </w:rPr>
      </w:pPr>
      <w:r w:rsidRPr="004D3B21">
        <w:rPr>
          <w:rFonts w:ascii="Times New Roman" w:hAnsi="Times New Roman"/>
          <w:sz w:val="24"/>
          <w:szCs w:val="24"/>
          <w:lang w:val="sq-AL"/>
        </w:rPr>
        <w:tab/>
        <w:t xml:space="preserve">Kolegji i Gjykatës Kushtetuese të Republikës së Shqipërisë, në bazë të neneve 31 dhe 31/a të ligjit nr.8577, datë 10.02.2000 “Për organizimin dhe funksionimin e Gjykatës Kushtetuese të Republikës së Shqipërisë”, të ndryshuar, </w:t>
      </w:r>
    </w:p>
    <w:p w:rsidR="006500BE" w:rsidRPr="004D3B21" w:rsidRDefault="006500BE" w:rsidP="006500BE">
      <w:pPr>
        <w:spacing w:after="0" w:line="360" w:lineRule="auto"/>
        <w:jc w:val="center"/>
        <w:rPr>
          <w:rFonts w:ascii="Times New Roman" w:hAnsi="Times New Roman"/>
          <w:b/>
          <w:bCs/>
          <w:sz w:val="24"/>
          <w:szCs w:val="24"/>
          <w:lang w:val="sq-AL"/>
        </w:rPr>
      </w:pPr>
    </w:p>
    <w:p w:rsidR="00CB53E9" w:rsidRDefault="006500BE" w:rsidP="00CB53E9">
      <w:pPr>
        <w:spacing w:after="0" w:line="360" w:lineRule="auto"/>
        <w:jc w:val="center"/>
        <w:rPr>
          <w:rFonts w:ascii="Times New Roman" w:hAnsi="Times New Roman"/>
          <w:b/>
          <w:bCs/>
          <w:sz w:val="24"/>
          <w:szCs w:val="24"/>
          <w:lang w:val="sq-AL"/>
        </w:rPr>
      </w:pPr>
      <w:r w:rsidRPr="004D3B21">
        <w:rPr>
          <w:rFonts w:ascii="Times New Roman" w:hAnsi="Times New Roman"/>
          <w:b/>
          <w:bCs/>
          <w:sz w:val="24"/>
          <w:szCs w:val="24"/>
          <w:lang w:val="sq-AL"/>
        </w:rPr>
        <w:t>V E N D O S I:</w:t>
      </w:r>
    </w:p>
    <w:p w:rsidR="00201CBF" w:rsidRPr="00CB53E9" w:rsidRDefault="006500BE" w:rsidP="00CB53E9">
      <w:pPr>
        <w:pStyle w:val="ListParagraph"/>
        <w:numPr>
          <w:ilvl w:val="0"/>
          <w:numId w:val="1"/>
        </w:numPr>
        <w:spacing w:after="0" w:line="360" w:lineRule="auto"/>
        <w:jc w:val="both"/>
        <w:rPr>
          <w:rFonts w:ascii="Times New Roman" w:hAnsi="Times New Roman"/>
          <w:b/>
          <w:bCs/>
          <w:sz w:val="24"/>
          <w:szCs w:val="24"/>
          <w:lang w:val="sq-AL"/>
        </w:rPr>
      </w:pPr>
      <w:r w:rsidRPr="00CB53E9">
        <w:rPr>
          <w:rFonts w:ascii="Times New Roman" w:hAnsi="Times New Roman"/>
          <w:sz w:val="24"/>
          <w:szCs w:val="24"/>
          <w:lang w:val="sq-AL"/>
        </w:rPr>
        <w:t>Moskalimin e çështjes për shqyrtim në seancë plenare</w:t>
      </w:r>
      <w:r w:rsidR="00CB53E9">
        <w:rPr>
          <w:rFonts w:ascii="Times New Roman" w:hAnsi="Times New Roman"/>
          <w:sz w:val="24"/>
          <w:szCs w:val="24"/>
          <w:lang w:val="sq-AL"/>
        </w:rPr>
        <w:t>.</w:t>
      </w:r>
    </w:p>
    <w:sectPr w:rsidR="00201CBF" w:rsidRPr="00CB53E9" w:rsidSect="00FA33A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C4" w:rsidRDefault="002D0CC4" w:rsidP="00CC3967">
      <w:pPr>
        <w:spacing w:after="0" w:line="240" w:lineRule="auto"/>
      </w:pPr>
      <w:r>
        <w:separator/>
      </w:r>
    </w:p>
  </w:endnote>
  <w:endnote w:type="continuationSeparator" w:id="0">
    <w:p w:rsidR="002D0CC4" w:rsidRDefault="002D0CC4" w:rsidP="00CC3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3298"/>
      <w:docPartObj>
        <w:docPartGallery w:val="Page Numbers (Bottom of Page)"/>
        <w:docPartUnique/>
      </w:docPartObj>
    </w:sdtPr>
    <w:sdtContent>
      <w:p w:rsidR="006C3CC4" w:rsidRDefault="00AA55D8">
        <w:pPr>
          <w:pStyle w:val="Footer"/>
          <w:jc w:val="right"/>
        </w:pPr>
        <w:fldSimple w:instr=" PAGE   \* MERGEFORMAT ">
          <w:r w:rsidR="00CB53E9">
            <w:rPr>
              <w:noProof/>
            </w:rPr>
            <w:t>8</w:t>
          </w:r>
        </w:fldSimple>
      </w:p>
    </w:sdtContent>
  </w:sdt>
  <w:p w:rsidR="0067546E" w:rsidRPr="0001314D" w:rsidRDefault="002D0CC4">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3297"/>
      <w:docPartObj>
        <w:docPartGallery w:val="Page Numbers (Bottom of Page)"/>
        <w:docPartUnique/>
      </w:docPartObj>
    </w:sdtPr>
    <w:sdtContent>
      <w:p w:rsidR="006C3CC4" w:rsidRDefault="00AA55D8">
        <w:pPr>
          <w:pStyle w:val="Footer"/>
          <w:jc w:val="right"/>
        </w:pPr>
        <w:fldSimple w:instr=" PAGE   \* MERGEFORMAT ">
          <w:r w:rsidR="00CB53E9">
            <w:rPr>
              <w:noProof/>
            </w:rPr>
            <w:t>1</w:t>
          </w:r>
        </w:fldSimple>
      </w:p>
    </w:sdtContent>
  </w:sdt>
  <w:p w:rsidR="0067546E" w:rsidRDefault="002D0CC4" w:rsidP="006754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C4" w:rsidRDefault="002D0CC4" w:rsidP="00CC3967">
      <w:pPr>
        <w:spacing w:after="0" w:line="240" w:lineRule="auto"/>
      </w:pPr>
      <w:r>
        <w:separator/>
      </w:r>
    </w:p>
  </w:footnote>
  <w:footnote w:type="continuationSeparator" w:id="0">
    <w:p w:rsidR="002D0CC4" w:rsidRDefault="002D0CC4" w:rsidP="00CC3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204C5"/>
    <w:multiLevelType w:val="hybridMultilevel"/>
    <w:tmpl w:val="69B838C2"/>
    <w:lvl w:ilvl="0" w:tplc="35C2CC90">
      <w:start w:val="5"/>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a Vorpsi">
    <w15:presenceInfo w15:providerId="None" w15:userId="Arta Vorps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00BE"/>
    <w:rsid w:val="000E5F3E"/>
    <w:rsid w:val="0014532E"/>
    <w:rsid w:val="001538E3"/>
    <w:rsid w:val="00201CBF"/>
    <w:rsid w:val="002D0CC4"/>
    <w:rsid w:val="003D183D"/>
    <w:rsid w:val="00495C33"/>
    <w:rsid w:val="004D3B21"/>
    <w:rsid w:val="004F57B7"/>
    <w:rsid w:val="00556BFB"/>
    <w:rsid w:val="006500BE"/>
    <w:rsid w:val="006C126A"/>
    <w:rsid w:val="006C3CC4"/>
    <w:rsid w:val="006E4BDE"/>
    <w:rsid w:val="00731EF1"/>
    <w:rsid w:val="007366B2"/>
    <w:rsid w:val="00833726"/>
    <w:rsid w:val="00867DB3"/>
    <w:rsid w:val="00893D41"/>
    <w:rsid w:val="00912B38"/>
    <w:rsid w:val="00941186"/>
    <w:rsid w:val="00974FA4"/>
    <w:rsid w:val="00987841"/>
    <w:rsid w:val="00A90A13"/>
    <w:rsid w:val="00AA55D8"/>
    <w:rsid w:val="00B90C2C"/>
    <w:rsid w:val="00CB10AD"/>
    <w:rsid w:val="00CB53E9"/>
    <w:rsid w:val="00CC3967"/>
    <w:rsid w:val="00DA702F"/>
    <w:rsid w:val="00E31D4A"/>
    <w:rsid w:val="00E61B6F"/>
    <w:rsid w:val="00F122D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00BE"/>
    <w:pPr>
      <w:ind w:left="720"/>
      <w:contextualSpacing/>
    </w:pPr>
  </w:style>
  <w:style w:type="paragraph" w:styleId="Footer">
    <w:name w:val="footer"/>
    <w:basedOn w:val="Normal"/>
    <w:link w:val="FooterChar"/>
    <w:uiPriority w:val="99"/>
    <w:unhideWhenUsed/>
    <w:rsid w:val="0065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BE"/>
    <w:rPr>
      <w:rFonts w:ascii="Calibri" w:eastAsia="Times New Roman" w:hAnsi="Calibri" w:cs="Times New Roman"/>
    </w:rPr>
  </w:style>
  <w:style w:type="paragraph" w:styleId="BodyText">
    <w:name w:val="Body Text"/>
    <w:basedOn w:val="Normal"/>
    <w:link w:val="BodyTextChar"/>
    <w:rsid w:val="006500BE"/>
    <w:pPr>
      <w:spacing w:after="0" w:line="288" w:lineRule="auto"/>
      <w:jc w:val="both"/>
    </w:pPr>
    <w:rPr>
      <w:rFonts w:ascii="Times New Roman" w:hAnsi="Times New Roman"/>
      <w:sz w:val="21"/>
      <w:szCs w:val="24"/>
    </w:rPr>
  </w:style>
  <w:style w:type="character" w:customStyle="1" w:styleId="BodyTextChar">
    <w:name w:val="Body Text Char"/>
    <w:basedOn w:val="DefaultParagraphFont"/>
    <w:link w:val="BodyText"/>
    <w:rsid w:val="006500BE"/>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6500BE"/>
    <w:rPr>
      <w:rFonts w:ascii="Calibri" w:eastAsia="Times New Roman" w:hAnsi="Calibri" w:cs="Times New Roman"/>
    </w:rPr>
  </w:style>
  <w:style w:type="character" w:customStyle="1" w:styleId="TitleChar">
    <w:name w:val="Title Char"/>
    <w:aliases w:val="Char Char, Char Char"/>
    <w:basedOn w:val="DefaultParagraphFont"/>
    <w:link w:val="Title"/>
    <w:locked/>
    <w:rsid w:val="006500BE"/>
    <w:rPr>
      <w:b/>
      <w:bCs/>
      <w:sz w:val="24"/>
      <w:szCs w:val="24"/>
    </w:rPr>
  </w:style>
  <w:style w:type="paragraph" w:styleId="Title">
    <w:name w:val="Title"/>
    <w:aliases w:val="Char, Char"/>
    <w:basedOn w:val="Normal"/>
    <w:link w:val="TitleChar"/>
    <w:qFormat/>
    <w:rsid w:val="006500BE"/>
    <w:pPr>
      <w:spacing w:after="0" w:line="240" w:lineRule="auto"/>
      <w:jc w:val="center"/>
    </w:pPr>
    <w:rPr>
      <w:rFonts w:asciiTheme="minorHAnsi" w:eastAsiaTheme="minorHAnsi" w:hAnsiTheme="minorHAnsi" w:cstheme="minorBidi"/>
      <w:b/>
      <w:bCs/>
      <w:sz w:val="24"/>
      <w:szCs w:val="24"/>
    </w:rPr>
  </w:style>
  <w:style w:type="character" w:customStyle="1" w:styleId="TitleChar1">
    <w:name w:val="Title Char1"/>
    <w:basedOn w:val="DefaultParagraphFont"/>
    <w:uiPriority w:val="10"/>
    <w:rsid w:val="006500BE"/>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semiHidden/>
    <w:unhideWhenUsed/>
    <w:rsid w:val="006500BE"/>
    <w:pPr>
      <w:spacing w:after="120"/>
      <w:ind w:left="360"/>
    </w:pPr>
  </w:style>
  <w:style w:type="character" w:customStyle="1" w:styleId="BodyTextIndentChar">
    <w:name w:val="Body Text Indent Char"/>
    <w:basedOn w:val="DefaultParagraphFont"/>
    <w:link w:val="BodyTextIndent"/>
    <w:uiPriority w:val="99"/>
    <w:semiHidden/>
    <w:rsid w:val="006500BE"/>
    <w:rPr>
      <w:rFonts w:ascii="Calibri" w:eastAsia="Times New Roman" w:hAnsi="Calibri" w:cs="Times New Roman"/>
    </w:rPr>
  </w:style>
  <w:style w:type="paragraph" w:styleId="BalloonText">
    <w:name w:val="Balloon Text"/>
    <w:basedOn w:val="Normal"/>
    <w:link w:val="BalloonTextChar"/>
    <w:uiPriority w:val="99"/>
    <w:semiHidden/>
    <w:unhideWhenUsed/>
    <w:rsid w:val="004D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7841"/>
    <w:rPr>
      <w:sz w:val="16"/>
      <w:szCs w:val="16"/>
    </w:rPr>
  </w:style>
  <w:style w:type="paragraph" w:styleId="CommentText">
    <w:name w:val="annotation text"/>
    <w:basedOn w:val="Normal"/>
    <w:link w:val="CommentTextChar"/>
    <w:uiPriority w:val="99"/>
    <w:semiHidden/>
    <w:unhideWhenUsed/>
    <w:rsid w:val="00987841"/>
    <w:pPr>
      <w:spacing w:line="240" w:lineRule="auto"/>
    </w:pPr>
    <w:rPr>
      <w:sz w:val="20"/>
      <w:szCs w:val="20"/>
    </w:rPr>
  </w:style>
  <w:style w:type="character" w:customStyle="1" w:styleId="CommentTextChar">
    <w:name w:val="Comment Text Char"/>
    <w:basedOn w:val="DefaultParagraphFont"/>
    <w:link w:val="CommentText"/>
    <w:uiPriority w:val="99"/>
    <w:semiHidden/>
    <w:rsid w:val="009878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841"/>
    <w:rPr>
      <w:b/>
      <w:bCs/>
    </w:rPr>
  </w:style>
  <w:style w:type="character" w:customStyle="1" w:styleId="CommentSubjectChar">
    <w:name w:val="Comment Subject Char"/>
    <w:basedOn w:val="CommentTextChar"/>
    <w:link w:val="CommentSubject"/>
    <w:uiPriority w:val="99"/>
    <w:semiHidden/>
    <w:rsid w:val="00987841"/>
    <w:rPr>
      <w:rFonts w:ascii="Calibri" w:eastAsia="Times New Roman" w:hAnsi="Calibri" w:cs="Times New Roman"/>
      <w:b/>
      <w:bCs/>
      <w:sz w:val="20"/>
      <w:szCs w:val="20"/>
    </w:rPr>
  </w:style>
  <w:style w:type="paragraph" w:styleId="Header">
    <w:name w:val="header"/>
    <w:basedOn w:val="Normal"/>
    <w:link w:val="HeaderChar"/>
    <w:uiPriority w:val="99"/>
    <w:semiHidden/>
    <w:unhideWhenUsed/>
    <w:rsid w:val="00153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E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VILSON TOTA</vt:lpstr>
    </vt:vector>
  </TitlesOfParts>
  <Company>Microsoft</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VILSON TOTA</dc:title>
  <dc:creator>Gani DIZDARI</dc:creator>
  <cp:lastModifiedBy>user</cp:lastModifiedBy>
  <cp:revision>5</cp:revision>
  <cp:lastPrinted>2018-02-22T12:39:00Z</cp:lastPrinted>
  <dcterms:created xsi:type="dcterms:W3CDTF">2018-02-16T11:00:00Z</dcterms:created>
  <dcterms:modified xsi:type="dcterms:W3CDTF">2018-02-26T09:28:00Z</dcterms:modified>
  <cp:contentStatus>Dt.08.02.2018</cp:contentStatus>
</cp:coreProperties>
</file>