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3A" w:rsidRDefault="00B61343" w:rsidP="00F6243A">
      <w:pPr>
        <w:spacing w:after="0" w:line="360" w:lineRule="auto"/>
        <w:contextualSpacing/>
        <w:jc w:val="center"/>
        <w:rPr>
          <w:rFonts w:ascii="Times New Roman" w:eastAsia="Times New Roman" w:hAnsi="Times New Roman"/>
          <w:b/>
          <w:bCs/>
          <w:sz w:val="24"/>
          <w:szCs w:val="24"/>
          <w:lang w:val="sq-AL"/>
        </w:rPr>
      </w:pPr>
      <w:r w:rsidRPr="007B74E0">
        <w:rPr>
          <w:rFonts w:ascii="Times New Roman" w:hAnsi="Times New Roman"/>
          <w:b/>
          <w:bCs/>
          <w:sz w:val="24"/>
          <w:szCs w:val="24"/>
          <w:lang w:val="sq-AL"/>
        </w:rPr>
        <w:t>V</w:t>
      </w:r>
      <w:r w:rsidR="00F6243A">
        <w:rPr>
          <w:rFonts w:ascii="Times New Roman" w:hAnsi="Times New Roman"/>
          <w:b/>
          <w:bCs/>
          <w:sz w:val="24"/>
          <w:szCs w:val="24"/>
          <w:lang w:val="sq-AL"/>
        </w:rPr>
        <w:t>endim nr. 48 dat</w:t>
      </w:r>
      <w:r w:rsidR="00F6243A">
        <w:rPr>
          <w:rFonts w:ascii="Times New Roman" w:eastAsia="Times New Roman" w:hAnsi="Times New Roman"/>
          <w:b/>
          <w:bCs/>
          <w:sz w:val="24"/>
          <w:szCs w:val="24"/>
          <w:lang w:val="sq-AL"/>
        </w:rPr>
        <w:t>ë 18.03.2021</w:t>
      </w:r>
    </w:p>
    <w:p w:rsidR="00A52998" w:rsidRDefault="00A52998" w:rsidP="004A2AF1">
      <w:pPr>
        <w:spacing w:after="0" w:line="360" w:lineRule="auto"/>
        <w:ind w:firstLine="720"/>
        <w:jc w:val="both"/>
        <w:rPr>
          <w:rFonts w:ascii="Times New Roman" w:hAnsi="Times New Roman"/>
          <w:sz w:val="24"/>
          <w:szCs w:val="24"/>
          <w:lang w:val="sq-AL"/>
        </w:rPr>
      </w:pPr>
    </w:p>
    <w:p w:rsidR="00B61343" w:rsidRPr="007B74E0" w:rsidRDefault="00B61343" w:rsidP="00F6243A">
      <w:pPr>
        <w:spacing w:after="0" w:line="360" w:lineRule="auto"/>
        <w:ind w:firstLine="720"/>
        <w:jc w:val="both"/>
        <w:rPr>
          <w:rFonts w:ascii="Times New Roman" w:hAnsi="Times New Roman"/>
          <w:sz w:val="24"/>
          <w:szCs w:val="24"/>
          <w:lang w:val="sq-AL"/>
        </w:rPr>
      </w:pPr>
      <w:r w:rsidRPr="007B74E0">
        <w:rPr>
          <w:rFonts w:ascii="Times New Roman" w:hAnsi="Times New Roman"/>
          <w:sz w:val="24"/>
          <w:szCs w:val="24"/>
          <w:lang w:val="sq-AL"/>
        </w:rPr>
        <w:t>Mbledhja e Gjyqtarëve të Gjykatës Kushtetuese të Republikës së Shqipërisë, e përbërë nga:</w:t>
      </w:r>
      <w:r w:rsidR="00F6243A">
        <w:rPr>
          <w:rFonts w:ascii="Times New Roman" w:hAnsi="Times New Roman"/>
          <w:sz w:val="24"/>
          <w:szCs w:val="24"/>
          <w:lang w:val="sq-AL"/>
        </w:rPr>
        <w:t xml:space="preserve"> </w:t>
      </w:r>
      <w:r w:rsidRPr="007B74E0">
        <w:rPr>
          <w:rFonts w:ascii="Times New Roman" w:hAnsi="Times New Roman"/>
          <w:sz w:val="24"/>
          <w:szCs w:val="24"/>
          <w:lang w:val="sq-AL"/>
        </w:rPr>
        <w:t>Vitore Tusha,</w:t>
      </w:r>
      <w:r w:rsidR="00F6243A">
        <w:rPr>
          <w:rFonts w:ascii="Times New Roman" w:hAnsi="Times New Roman"/>
          <w:sz w:val="24"/>
          <w:szCs w:val="24"/>
          <w:lang w:val="sq-AL"/>
        </w:rPr>
        <w:t xml:space="preserve"> </w:t>
      </w:r>
      <w:r w:rsidRPr="007B74E0">
        <w:rPr>
          <w:rFonts w:ascii="Times New Roman" w:hAnsi="Times New Roman"/>
          <w:sz w:val="24"/>
          <w:szCs w:val="24"/>
          <w:lang w:val="sq-AL"/>
        </w:rPr>
        <w:t>Kryetare</w:t>
      </w:r>
      <w:r w:rsidR="00F6243A">
        <w:rPr>
          <w:rFonts w:ascii="Times New Roman" w:hAnsi="Times New Roman"/>
          <w:sz w:val="24"/>
          <w:szCs w:val="24"/>
          <w:lang w:val="sq-AL"/>
        </w:rPr>
        <w:t xml:space="preserve">, </w:t>
      </w:r>
      <w:r w:rsidRPr="007B74E0">
        <w:rPr>
          <w:rFonts w:ascii="Times New Roman" w:hAnsi="Times New Roman"/>
          <w:sz w:val="24"/>
          <w:szCs w:val="24"/>
          <w:lang w:val="sq-AL"/>
        </w:rPr>
        <w:t xml:space="preserve"> Elsa Toska,</w:t>
      </w:r>
      <w:r w:rsidRPr="007B74E0">
        <w:rPr>
          <w:rFonts w:ascii="Times New Roman" w:hAnsi="Times New Roman"/>
          <w:sz w:val="24"/>
          <w:szCs w:val="24"/>
          <w:lang w:val="sq-AL"/>
        </w:rPr>
        <w:tab/>
      </w:r>
      <w:proofErr w:type="spellStart"/>
      <w:r w:rsidR="009F7129" w:rsidRPr="007B74E0">
        <w:rPr>
          <w:rFonts w:ascii="Times New Roman" w:hAnsi="Times New Roman"/>
          <w:sz w:val="24"/>
          <w:szCs w:val="24"/>
          <w:lang w:val="sq-AL"/>
        </w:rPr>
        <w:t>Marsida</w:t>
      </w:r>
      <w:proofErr w:type="spellEnd"/>
      <w:r w:rsidR="009F7129" w:rsidRPr="007B74E0">
        <w:rPr>
          <w:rFonts w:ascii="Times New Roman" w:hAnsi="Times New Roman"/>
          <w:sz w:val="24"/>
          <w:szCs w:val="24"/>
          <w:lang w:val="sq-AL"/>
        </w:rPr>
        <w:t xml:space="preserve"> </w:t>
      </w:r>
      <w:proofErr w:type="spellStart"/>
      <w:r w:rsidR="009F7129" w:rsidRPr="007B74E0">
        <w:rPr>
          <w:rFonts w:ascii="Times New Roman" w:hAnsi="Times New Roman"/>
          <w:sz w:val="24"/>
          <w:szCs w:val="24"/>
          <w:lang w:val="sq-AL"/>
        </w:rPr>
        <w:t>Xhaferllari</w:t>
      </w:r>
      <w:proofErr w:type="spellEnd"/>
      <w:r w:rsidR="009F7129" w:rsidRPr="007B74E0">
        <w:rPr>
          <w:rFonts w:ascii="Times New Roman" w:hAnsi="Times New Roman"/>
          <w:sz w:val="24"/>
          <w:szCs w:val="24"/>
          <w:lang w:val="sq-AL"/>
        </w:rPr>
        <w:t>,</w:t>
      </w:r>
      <w:r w:rsidR="009F7129" w:rsidRPr="007B74E0">
        <w:rPr>
          <w:rFonts w:ascii="Times New Roman" w:hAnsi="Times New Roman"/>
          <w:sz w:val="24"/>
          <w:szCs w:val="24"/>
          <w:lang w:val="sq-AL"/>
        </w:rPr>
        <w:tab/>
      </w:r>
      <w:r w:rsidRPr="007B74E0">
        <w:rPr>
          <w:rFonts w:ascii="Times New Roman" w:hAnsi="Times New Roman"/>
          <w:sz w:val="24"/>
          <w:szCs w:val="24"/>
          <w:lang w:val="sq-AL"/>
        </w:rPr>
        <w:t xml:space="preserve">Altin </w:t>
      </w:r>
      <w:proofErr w:type="spellStart"/>
      <w:r w:rsidRPr="007B74E0">
        <w:rPr>
          <w:rFonts w:ascii="Times New Roman" w:hAnsi="Times New Roman"/>
          <w:sz w:val="24"/>
          <w:szCs w:val="24"/>
          <w:lang w:val="sq-AL"/>
        </w:rPr>
        <w:t>Binaj</w:t>
      </w:r>
      <w:proofErr w:type="spellEnd"/>
      <w:r w:rsidRPr="007B74E0">
        <w:rPr>
          <w:rFonts w:ascii="Times New Roman" w:hAnsi="Times New Roman"/>
          <w:sz w:val="24"/>
          <w:szCs w:val="24"/>
          <w:lang w:val="sq-AL"/>
        </w:rPr>
        <w:t>,</w:t>
      </w:r>
      <w:r w:rsidR="00F6243A" w:rsidRPr="007B74E0">
        <w:rPr>
          <w:rFonts w:ascii="Times New Roman" w:hAnsi="Times New Roman"/>
          <w:sz w:val="24"/>
          <w:szCs w:val="24"/>
          <w:lang w:val="sq-AL"/>
        </w:rPr>
        <w:t xml:space="preserve"> </w:t>
      </w:r>
      <w:proofErr w:type="spellStart"/>
      <w:r w:rsidRPr="007B74E0">
        <w:rPr>
          <w:rFonts w:ascii="Times New Roman" w:hAnsi="Times New Roman"/>
          <w:sz w:val="24"/>
          <w:szCs w:val="24"/>
          <w:lang w:val="sq-AL"/>
        </w:rPr>
        <w:t>Sonila</w:t>
      </w:r>
      <w:proofErr w:type="spellEnd"/>
      <w:r w:rsidRPr="007B74E0">
        <w:rPr>
          <w:rFonts w:ascii="Times New Roman" w:hAnsi="Times New Roman"/>
          <w:sz w:val="24"/>
          <w:szCs w:val="24"/>
          <w:lang w:val="sq-AL"/>
        </w:rPr>
        <w:t xml:space="preserve"> Bejtja,</w:t>
      </w:r>
      <w:r w:rsidR="00F6243A" w:rsidRPr="007B74E0">
        <w:rPr>
          <w:rFonts w:ascii="Times New Roman" w:hAnsi="Times New Roman"/>
          <w:sz w:val="24"/>
          <w:szCs w:val="24"/>
          <w:lang w:val="sq-AL"/>
        </w:rPr>
        <w:t xml:space="preserve"> </w:t>
      </w:r>
      <w:r w:rsidR="009F7129" w:rsidRPr="007B74E0">
        <w:rPr>
          <w:rFonts w:ascii="Times New Roman" w:hAnsi="Times New Roman"/>
          <w:sz w:val="24"/>
          <w:szCs w:val="24"/>
          <w:lang w:val="sq-AL"/>
        </w:rPr>
        <w:t>Fiona Papajorgji,</w:t>
      </w:r>
      <w:r w:rsidR="00F6243A">
        <w:rPr>
          <w:rFonts w:ascii="Times New Roman" w:hAnsi="Times New Roman"/>
          <w:sz w:val="24"/>
          <w:szCs w:val="24"/>
          <w:lang w:val="sq-AL"/>
        </w:rPr>
        <w:t xml:space="preserve"> a</w:t>
      </w:r>
      <w:r w:rsidR="009F7129" w:rsidRPr="007B74E0">
        <w:rPr>
          <w:rFonts w:ascii="Times New Roman" w:hAnsi="Times New Roman"/>
          <w:sz w:val="24"/>
          <w:szCs w:val="24"/>
          <w:lang w:val="sq-AL"/>
        </w:rPr>
        <w:t>nëtar</w:t>
      </w:r>
      <w:r w:rsidR="00F6243A">
        <w:rPr>
          <w:rFonts w:ascii="Times New Roman" w:hAnsi="Times New Roman"/>
          <w:sz w:val="24"/>
          <w:szCs w:val="24"/>
          <w:lang w:val="sq-AL"/>
        </w:rPr>
        <w:t xml:space="preserve">ë, </w:t>
      </w:r>
      <w:r w:rsidRPr="007B74E0">
        <w:rPr>
          <w:rFonts w:ascii="Times New Roman" w:hAnsi="Times New Roman"/>
          <w:sz w:val="24"/>
          <w:szCs w:val="24"/>
          <w:lang w:val="sq-AL"/>
        </w:rPr>
        <w:t xml:space="preserve">në datën </w:t>
      </w:r>
      <w:r w:rsidRPr="007B74E0">
        <w:rPr>
          <w:rFonts w:ascii="Times New Roman" w:hAnsi="Times New Roman"/>
          <w:sz w:val="24"/>
          <w:szCs w:val="24"/>
          <w:lang w:val="sq-AL"/>
        </w:rPr>
        <w:softHyphen/>
      </w:r>
      <w:r w:rsidRPr="007B74E0">
        <w:rPr>
          <w:rFonts w:ascii="Times New Roman" w:hAnsi="Times New Roman"/>
          <w:sz w:val="24"/>
          <w:szCs w:val="24"/>
          <w:lang w:val="sq-AL"/>
        </w:rPr>
        <w:softHyphen/>
      </w:r>
      <w:r w:rsidRPr="007B74E0">
        <w:rPr>
          <w:rFonts w:ascii="Times New Roman" w:hAnsi="Times New Roman"/>
          <w:sz w:val="24"/>
          <w:szCs w:val="24"/>
          <w:lang w:val="sq-AL"/>
        </w:rPr>
        <w:softHyphen/>
      </w:r>
      <w:r w:rsidRPr="007B74E0">
        <w:rPr>
          <w:rFonts w:ascii="Times New Roman" w:hAnsi="Times New Roman"/>
          <w:sz w:val="24"/>
          <w:szCs w:val="24"/>
          <w:lang w:val="sq-AL"/>
        </w:rPr>
        <w:softHyphen/>
      </w:r>
      <w:r w:rsidRPr="007B74E0">
        <w:rPr>
          <w:rFonts w:ascii="Times New Roman" w:hAnsi="Times New Roman"/>
          <w:sz w:val="24"/>
          <w:szCs w:val="24"/>
          <w:lang w:val="sq-AL"/>
        </w:rPr>
        <w:softHyphen/>
      </w:r>
      <w:r w:rsidRPr="007B74E0">
        <w:rPr>
          <w:rFonts w:ascii="Times New Roman" w:hAnsi="Times New Roman"/>
          <w:sz w:val="24"/>
          <w:szCs w:val="24"/>
          <w:lang w:val="sq-AL"/>
        </w:rPr>
        <w:softHyphen/>
      </w:r>
      <w:r w:rsidR="009F7129" w:rsidRPr="007B74E0">
        <w:rPr>
          <w:rFonts w:ascii="Times New Roman" w:hAnsi="Times New Roman"/>
          <w:sz w:val="24"/>
          <w:szCs w:val="24"/>
          <w:lang w:val="sq-AL"/>
        </w:rPr>
        <w:t>18.03.2021</w:t>
      </w:r>
      <w:r w:rsidR="00344CED">
        <w:rPr>
          <w:rFonts w:ascii="Times New Roman" w:hAnsi="Times New Roman"/>
          <w:sz w:val="24"/>
          <w:szCs w:val="24"/>
          <w:lang w:val="sq-AL"/>
        </w:rPr>
        <w:t xml:space="preserve"> mori në shqyrtim paraprak </w:t>
      </w:r>
      <w:r w:rsidRPr="007B74E0">
        <w:rPr>
          <w:rFonts w:ascii="Times New Roman" w:hAnsi="Times New Roman"/>
          <w:sz w:val="24"/>
          <w:szCs w:val="24"/>
          <w:lang w:val="sq-AL"/>
        </w:rPr>
        <w:t>çështjen me nr.</w:t>
      </w:r>
      <w:r w:rsidR="009F7129" w:rsidRPr="007B74E0">
        <w:rPr>
          <w:rFonts w:ascii="Times New Roman" w:hAnsi="Times New Roman"/>
          <w:sz w:val="24"/>
          <w:szCs w:val="24"/>
          <w:lang w:val="sq-AL"/>
        </w:rPr>
        <w:t xml:space="preserve"> </w:t>
      </w:r>
      <w:r w:rsidR="00344CED">
        <w:rPr>
          <w:rFonts w:ascii="Times New Roman" w:hAnsi="Times New Roman"/>
          <w:sz w:val="24"/>
          <w:szCs w:val="24"/>
          <w:lang w:val="sq-AL"/>
        </w:rPr>
        <w:t>8 (S)</w:t>
      </w:r>
      <w:r w:rsidR="00FF0B09">
        <w:rPr>
          <w:rFonts w:ascii="Times New Roman" w:hAnsi="Times New Roman"/>
          <w:sz w:val="24"/>
          <w:szCs w:val="24"/>
          <w:lang w:val="sq-AL"/>
        </w:rPr>
        <w:t>2019</w:t>
      </w:r>
      <w:r w:rsidR="00344CED">
        <w:rPr>
          <w:rFonts w:ascii="Times New Roman" w:hAnsi="Times New Roman"/>
          <w:sz w:val="24"/>
          <w:szCs w:val="24"/>
          <w:lang w:val="sq-AL"/>
        </w:rPr>
        <w:t xml:space="preserve"> Regj. Them., që u</w:t>
      </w:r>
      <w:r w:rsidRPr="007B74E0">
        <w:rPr>
          <w:rFonts w:ascii="Times New Roman" w:hAnsi="Times New Roman"/>
          <w:sz w:val="24"/>
          <w:szCs w:val="24"/>
          <w:lang w:val="sq-AL"/>
        </w:rPr>
        <w:t xml:space="preserve"> përket:</w:t>
      </w:r>
    </w:p>
    <w:p w:rsidR="00B61343" w:rsidRPr="007B74E0" w:rsidRDefault="00B61343" w:rsidP="004A2AF1">
      <w:pPr>
        <w:spacing w:after="0" w:line="360" w:lineRule="auto"/>
        <w:jc w:val="both"/>
        <w:rPr>
          <w:rFonts w:ascii="Times New Roman" w:hAnsi="Times New Roman"/>
          <w:sz w:val="24"/>
          <w:szCs w:val="24"/>
          <w:lang w:val="sq-AL"/>
        </w:rPr>
      </w:pPr>
    </w:p>
    <w:p w:rsidR="009F7129" w:rsidRPr="007B74E0" w:rsidRDefault="009F7129" w:rsidP="004A2AF1">
      <w:pPr>
        <w:spacing w:after="0" w:line="360" w:lineRule="auto"/>
        <w:ind w:left="2880" w:hanging="2160"/>
        <w:jc w:val="both"/>
        <w:rPr>
          <w:rFonts w:ascii="Times New Roman" w:hAnsi="Times New Roman"/>
          <w:b/>
          <w:bCs/>
          <w:sz w:val="24"/>
          <w:szCs w:val="24"/>
          <w:lang w:val="sq-AL"/>
        </w:rPr>
      </w:pPr>
      <w:r w:rsidRPr="007B74E0">
        <w:rPr>
          <w:rFonts w:ascii="Times New Roman" w:hAnsi="Times New Roman"/>
          <w:b/>
          <w:bCs/>
          <w:sz w:val="24"/>
          <w:szCs w:val="24"/>
          <w:lang w:val="sq-AL"/>
        </w:rPr>
        <w:t xml:space="preserve">KËRKUES: </w:t>
      </w:r>
      <w:r w:rsidRPr="007B74E0">
        <w:rPr>
          <w:rFonts w:ascii="Times New Roman" w:hAnsi="Times New Roman"/>
          <w:b/>
          <w:bCs/>
          <w:sz w:val="24"/>
          <w:szCs w:val="24"/>
          <w:lang w:val="sq-AL"/>
        </w:rPr>
        <w:tab/>
        <w:t>SIRI PE</w:t>
      </w:r>
      <w:r w:rsidR="00B26C2C">
        <w:rPr>
          <w:rFonts w:ascii="Times New Roman" w:hAnsi="Times New Roman"/>
          <w:b/>
          <w:bCs/>
          <w:sz w:val="24"/>
          <w:szCs w:val="24"/>
          <w:lang w:val="sq-AL"/>
        </w:rPr>
        <w:t>TRELA, ALIDE JARECI (PETRELA), E</w:t>
      </w:r>
      <w:bookmarkStart w:id="0" w:name="_GoBack"/>
      <w:bookmarkEnd w:id="0"/>
      <w:r w:rsidRPr="007B74E0">
        <w:rPr>
          <w:rFonts w:ascii="Times New Roman" w:hAnsi="Times New Roman"/>
          <w:b/>
          <w:bCs/>
          <w:sz w:val="24"/>
          <w:szCs w:val="24"/>
          <w:lang w:val="sq-AL"/>
        </w:rPr>
        <w:t>DVAR AGALLIU, AIDA VISARI, GENCI JASA, ANI JASA</w:t>
      </w:r>
    </w:p>
    <w:p w:rsidR="009F7129" w:rsidRPr="007B74E0" w:rsidRDefault="009F7129" w:rsidP="004A2AF1">
      <w:pPr>
        <w:spacing w:after="0" w:line="360" w:lineRule="auto"/>
        <w:ind w:firstLine="720"/>
        <w:jc w:val="both"/>
        <w:rPr>
          <w:rFonts w:ascii="Times New Roman" w:hAnsi="Times New Roman"/>
          <w:b/>
          <w:bCs/>
          <w:sz w:val="24"/>
          <w:szCs w:val="24"/>
          <w:lang w:val="sq-AL"/>
        </w:rPr>
      </w:pPr>
    </w:p>
    <w:p w:rsidR="009F7129" w:rsidRPr="007B74E0" w:rsidRDefault="009F7129" w:rsidP="00861838">
      <w:pPr>
        <w:suppressAutoHyphens/>
        <w:spacing w:after="0" w:line="360" w:lineRule="auto"/>
        <w:ind w:left="2880" w:hanging="2160"/>
        <w:jc w:val="both"/>
        <w:outlineLvl w:val="0"/>
        <w:rPr>
          <w:rFonts w:ascii="Times New Roman" w:hAnsi="Times New Roman"/>
          <w:b/>
          <w:sz w:val="24"/>
          <w:szCs w:val="24"/>
          <w:lang w:val="sq-AL" w:eastAsia="fr-FR"/>
        </w:rPr>
      </w:pPr>
      <w:r w:rsidRPr="007B74E0">
        <w:rPr>
          <w:rFonts w:ascii="Times New Roman" w:hAnsi="Times New Roman"/>
          <w:b/>
          <w:sz w:val="24"/>
          <w:szCs w:val="24"/>
          <w:lang w:val="sq-AL" w:eastAsia="fr-FR"/>
        </w:rPr>
        <w:t xml:space="preserve">OBJEKTI: </w:t>
      </w:r>
      <w:r w:rsidRPr="007B74E0">
        <w:rPr>
          <w:rFonts w:ascii="Times New Roman" w:hAnsi="Times New Roman"/>
          <w:b/>
          <w:sz w:val="24"/>
          <w:szCs w:val="24"/>
          <w:lang w:val="sq-AL" w:eastAsia="fr-FR"/>
        </w:rPr>
        <w:tab/>
        <w:t>Shfuqizimi si të papajtueshm</w:t>
      </w:r>
      <w:r w:rsidR="00A52998">
        <w:rPr>
          <w:rFonts w:ascii="Times New Roman" w:hAnsi="Times New Roman"/>
          <w:b/>
          <w:sz w:val="24"/>
          <w:szCs w:val="24"/>
          <w:lang w:val="sq-AL" w:eastAsia="fr-FR"/>
        </w:rPr>
        <w:t>e</w:t>
      </w:r>
      <w:r w:rsidRPr="007B74E0">
        <w:rPr>
          <w:rFonts w:ascii="Times New Roman" w:hAnsi="Times New Roman"/>
          <w:b/>
          <w:sz w:val="24"/>
          <w:szCs w:val="24"/>
          <w:lang w:val="sq-AL" w:eastAsia="fr-FR"/>
        </w:rPr>
        <w:t xml:space="preserve"> me Kushtetutën e Republikës së Shqipërisë dhe Konventën Evropiane për të Drejtat e Njeriut </w:t>
      </w:r>
      <w:r w:rsidR="00A52998">
        <w:rPr>
          <w:rFonts w:ascii="Times New Roman" w:hAnsi="Times New Roman"/>
          <w:b/>
          <w:sz w:val="24"/>
          <w:szCs w:val="24"/>
          <w:lang w:val="sq-AL" w:eastAsia="fr-FR"/>
        </w:rPr>
        <w:t>i</w:t>
      </w:r>
      <w:r w:rsidRPr="007B74E0">
        <w:rPr>
          <w:rFonts w:ascii="Times New Roman" w:hAnsi="Times New Roman"/>
          <w:b/>
          <w:sz w:val="24"/>
          <w:szCs w:val="24"/>
          <w:lang w:val="sq-AL" w:eastAsia="fr-FR"/>
        </w:rPr>
        <w:t xml:space="preserve"> neneve 6</w:t>
      </w:r>
      <w:r w:rsidR="00A52998">
        <w:rPr>
          <w:rFonts w:ascii="Times New Roman" w:hAnsi="Times New Roman"/>
          <w:b/>
          <w:sz w:val="24"/>
          <w:szCs w:val="24"/>
          <w:lang w:val="sq-AL" w:eastAsia="fr-FR"/>
        </w:rPr>
        <w:t>,</w:t>
      </w:r>
      <w:r w:rsidRPr="007B74E0">
        <w:rPr>
          <w:rFonts w:ascii="Times New Roman" w:hAnsi="Times New Roman"/>
          <w:b/>
          <w:sz w:val="24"/>
          <w:szCs w:val="24"/>
          <w:lang w:val="sq-AL" w:eastAsia="fr-FR"/>
        </w:rPr>
        <w:t xml:space="preserve"> pika 1, shkronja “b” dhe 7</w:t>
      </w:r>
      <w:r w:rsidR="00A52998">
        <w:rPr>
          <w:rFonts w:ascii="Times New Roman" w:hAnsi="Times New Roman"/>
          <w:b/>
          <w:sz w:val="24"/>
          <w:szCs w:val="24"/>
          <w:lang w:val="sq-AL" w:eastAsia="fr-FR"/>
        </w:rPr>
        <w:t>,</w:t>
      </w:r>
      <w:r w:rsidRPr="007B74E0">
        <w:rPr>
          <w:rFonts w:ascii="Times New Roman" w:hAnsi="Times New Roman"/>
          <w:b/>
          <w:sz w:val="24"/>
          <w:szCs w:val="24"/>
          <w:lang w:val="sq-AL" w:eastAsia="fr-FR"/>
        </w:rPr>
        <w:t xml:space="preserve"> pika 2, shkronjat “a” dhe “b”, të ligjit nr.</w:t>
      </w:r>
      <w:r w:rsidR="00F66CEA" w:rsidRPr="007B74E0">
        <w:rPr>
          <w:rFonts w:ascii="Times New Roman" w:hAnsi="Times New Roman"/>
          <w:b/>
          <w:sz w:val="24"/>
          <w:szCs w:val="24"/>
          <w:lang w:val="sq-AL" w:eastAsia="fr-FR"/>
        </w:rPr>
        <w:t xml:space="preserve"> </w:t>
      </w:r>
      <w:r w:rsidRPr="007B74E0">
        <w:rPr>
          <w:rFonts w:ascii="Times New Roman" w:hAnsi="Times New Roman"/>
          <w:b/>
          <w:sz w:val="24"/>
          <w:szCs w:val="24"/>
          <w:lang w:val="sq-AL" w:eastAsia="fr-FR"/>
        </w:rPr>
        <w:t xml:space="preserve">133/2015 “Për trajtimin e pronës dhe përfundimin e procesit të kompensimit të pronave”.   </w:t>
      </w:r>
      <w:r w:rsidRPr="007B74E0">
        <w:rPr>
          <w:rFonts w:ascii="Times New Roman" w:hAnsi="Times New Roman"/>
          <w:b/>
          <w:sz w:val="24"/>
          <w:szCs w:val="24"/>
          <w:lang w:val="sq-AL" w:eastAsia="fr-FR"/>
        </w:rPr>
        <w:tab/>
      </w:r>
    </w:p>
    <w:p w:rsidR="009F7129" w:rsidRPr="007B74E0" w:rsidRDefault="009F7129" w:rsidP="004A2AF1">
      <w:pPr>
        <w:spacing w:after="0" w:line="360" w:lineRule="auto"/>
        <w:ind w:left="2880" w:hanging="2160"/>
        <w:jc w:val="both"/>
        <w:rPr>
          <w:rFonts w:ascii="Times New Roman" w:hAnsi="Times New Roman"/>
          <w:sz w:val="24"/>
          <w:szCs w:val="24"/>
          <w:lang w:val="sq-AL"/>
        </w:rPr>
      </w:pPr>
      <w:r w:rsidRPr="007B74E0">
        <w:rPr>
          <w:rFonts w:ascii="Times New Roman" w:hAnsi="Times New Roman"/>
          <w:b/>
          <w:sz w:val="24"/>
          <w:szCs w:val="24"/>
          <w:lang w:val="sq-AL"/>
        </w:rPr>
        <w:t>BAZA LIGJORE:</w:t>
      </w:r>
      <w:r w:rsidRPr="007B74E0">
        <w:rPr>
          <w:rFonts w:ascii="Times New Roman" w:hAnsi="Times New Roman"/>
          <w:b/>
          <w:sz w:val="24"/>
          <w:szCs w:val="24"/>
          <w:lang w:val="sq-AL"/>
        </w:rPr>
        <w:tab/>
      </w:r>
      <w:r w:rsidRPr="007B74E0">
        <w:rPr>
          <w:rFonts w:ascii="Times New Roman" w:hAnsi="Times New Roman"/>
          <w:sz w:val="24"/>
          <w:szCs w:val="24"/>
          <w:lang w:val="sq-AL"/>
        </w:rPr>
        <w:t>Nenet 4, 17, 18</w:t>
      </w:r>
      <w:r w:rsidR="00B346E7" w:rsidRPr="007B74E0">
        <w:rPr>
          <w:rFonts w:ascii="Times New Roman" w:hAnsi="Times New Roman"/>
          <w:sz w:val="24"/>
          <w:szCs w:val="24"/>
          <w:lang w:val="sq-AL"/>
        </w:rPr>
        <w:t xml:space="preserve">, pika </w:t>
      </w:r>
      <w:r w:rsidRPr="007B74E0">
        <w:rPr>
          <w:rFonts w:ascii="Times New Roman" w:hAnsi="Times New Roman"/>
          <w:sz w:val="24"/>
          <w:szCs w:val="24"/>
          <w:lang w:val="sq-AL"/>
        </w:rPr>
        <w:t>1, 41, 42, 131</w:t>
      </w:r>
      <w:r w:rsidR="00B346E7" w:rsidRPr="007B74E0">
        <w:rPr>
          <w:rFonts w:ascii="Times New Roman" w:hAnsi="Times New Roman"/>
          <w:sz w:val="24"/>
          <w:szCs w:val="24"/>
          <w:lang w:val="sq-AL"/>
        </w:rPr>
        <w:t>, pika 1, shkronja “</w:t>
      </w:r>
      <w:r w:rsidRPr="007B74E0">
        <w:rPr>
          <w:rFonts w:ascii="Times New Roman" w:hAnsi="Times New Roman"/>
          <w:sz w:val="24"/>
          <w:szCs w:val="24"/>
          <w:lang w:val="sq-AL"/>
        </w:rPr>
        <w:t>f</w:t>
      </w:r>
      <w:r w:rsidR="00B346E7" w:rsidRPr="007B74E0">
        <w:rPr>
          <w:rFonts w:ascii="Times New Roman" w:hAnsi="Times New Roman"/>
          <w:sz w:val="24"/>
          <w:szCs w:val="24"/>
          <w:lang w:val="sq-AL"/>
        </w:rPr>
        <w:t>”</w:t>
      </w:r>
      <w:r w:rsidRPr="007B74E0">
        <w:rPr>
          <w:rFonts w:ascii="Times New Roman" w:hAnsi="Times New Roman"/>
          <w:sz w:val="24"/>
          <w:szCs w:val="24"/>
          <w:lang w:val="sq-AL"/>
        </w:rPr>
        <w:t>, 132, 134 dhe 181 të Kushtetutës së Republikës së Shqipërisë; nenet 6</w:t>
      </w:r>
      <w:r w:rsidR="00B346E7" w:rsidRPr="007B74E0">
        <w:rPr>
          <w:rFonts w:ascii="Times New Roman" w:hAnsi="Times New Roman"/>
          <w:sz w:val="24"/>
          <w:szCs w:val="24"/>
          <w:lang w:val="sq-AL"/>
        </w:rPr>
        <w:t xml:space="preserve">, pika </w:t>
      </w:r>
      <w:r w:rsidRPr="007B74E0">
        <w:rPr>
          <w:rFonts w:ascii="Times New Roman" w:hAnsi="Times New Roman"/>
          <w:sz w:val="24"/>
          <w:szCs w:val="24"/>
          <w:lang w:val="sq-AL"/>
        </w:rPr>
        <w:t>1</w:t>
      </w:r>
      <w:r w:rsidR="00B346E7" w:rsidRPr="007B74E0">
        <w:rPr>
          <w:rFonts w:ascii="Times New Roman" w:hAnsi="Times New Roman"/>
          <w:sz w:val="24"/>
          <w:szCs w:val="24"/>
          <w:lang w:val="sq-AL"/>
        </w:rPr>
        <w:t>,</w:t>
      </w:r>
      <w:r w:rsidRPr="007B74E0">
        <w:rPr>
          <w:rFonts w:ascii="Times New Roman" w:hAnsi="Times New Roman"/>
          <w:sz w:val="24"/>
          <w:szCs w:val="24"/>
          <w:lang w:val="sq-AL"/>
        </w:rPr>
        <w:t xml:space="preserve"> dhe 13 të Konventës Evropiane për të Drejtat e Njeriut </w:t>
      </w:r>
      <w:r w:rsidR="00344CED">
        <w:rPr>
          <w:rFonts w:ascii="Times New Roman" w:hAnsi="Times New Roman"/>
          <w:sz w:val="24"/>
          <w:szCs w:val="24"/>
          <w:lang w:val="sq-AL"/>
        </w:rPr>
        <w:t>(</w:t>
      </w:r>
      <w:r w:rsidR="00344CED" w:rsidRPr="00344CED">
        <w:rPr>
          <w:rFonts w:ascii="Times New Roman" w:hAnsi="Times New Roman"/>
          <w:i/>
          <w:sz w:val="24"/>
          <w:szCs w:val="24"/>
          <w:lang w:val="sq-AL"/>
        </w:rPr>
        <w:t>KEDNJ</w:t>
      </w:r>
      <w:r w:rsidR="00344CED">
        <w:rPr>
          <w:rFonts w:ascii="Times New Roman" w:hAnsi="Times New Roman"/>
          <w:sz w:val="24"/>
          <w:szCs w:val="24"/>
          <w:lang w:val="sq-AL"/>
        </w:rPr>
        <w:t>)</w:t>
      </w:r>
      <w:r w:rsidR="00A52998">
        <w:rPr>
          <w:rFonts w:ascii="Times New Roman" w:hAnsi="Times New Roman"/>
          <w:sz w:val="24"/>
          <w:szCs w:val="24"/>
          <w:lang w:val="sq-AL"/>
        </w:rPr>
        <w:t>,</w:t>
      </w:r>
      <w:r w:rsidR="00344CED">
        <w:rPr>
          <w:rFonts w:ascii="Times New Roman" w:hAnsi="Times New Roman"/>
          <w:sz w:val="24"/>
          <w:szCs w:val="24"/>
          <w:lang w:val="sq-AL"/>
        </w:rPr>
        <w:t xml:space="preserve"> </w:t>
      </w:r>
      <w:r w:rsidRPr="007B74E0">
        <w:rPr>
          <w:rFonts w:ascii="Times New Roman" w:hAnsi="Times New Roman"/>
          <w:sz w:val="24"/>
          <w:szCs w:val="24"/>
          <w:lang w:val="sq-AL"/>
        </w:rPr>
        <w:t xml:space="preserve">dhe neni 1 i Protokollit nr.1 të </w:t>
      </w:r>
      <w:r w:rsidR="00344CED">
        <w:rPr>
          <w:rFonts w:ascii="Times New Roman" w:hAnsi="Times New Roman"/>
          <w:sz w:val="24"/>
          <w:szCs w:val="24"/>
          <w:lang w:val="sq-AL"/>
        </w:rPr>
        <w:t>saj</w:t>
      </w:r>
      <w:r w:rsidRPr="007B74E0">
        <w:rPr>
          <w:rFonts w:ascii="Times New Roman" w:hAnsi="Times New Roman"/>
          <w:sz w:val="24"/>
          <w:szCs w:val="24"/>
          <w:lang w:val="sq-AL"/>
        </w:rPr>
        <w:t>; ligji nr.</w:t>
      </w:r>
      <w:r w:rsidR="00344CED">
        <w:rPr>
          <w:rFonts w:ascii="Times New Roman" w:hAnsi="Times New Roman"/>
          <w:sz w:val="24"/>
          <w:szCs w:val="24"/>
          <w:lang w:val="sq-AL"/>
        </w:rPr>
        <w:t xml:space="preserve"> </w:t>
      </w:r>
      <w:r w:rsidRPr="007B74E0">
        <w:rPr>
          <w:rFonts w:ascii="Times New Roman" w:hAnsi="Times New Roman"/>
          <w:sz w:val="24"/>
          <w:szCs w:val="24"/>
          <w:lang w:val="sq-AL"/>
        </w:rPr>
        <w:t xml:space="preserve">8577, datë 10.02.2000 “Për organizimin dhe funksionimin e Gjykatës Kushtetuese të Republikës së Shqipërisë”, </w:t>
      </w:r>
      <w:r w:rsidR="00A52998">
        <w:rPr>
          <w:rFonts w:ascii="Times New Roman" w:hAnsi="Times New Roman"/>
          <w:sz w:val="24"/>
          <w:szCs w:val="24"/>
          <w:lang w:val="sq-AL"/>
        </w:rPr>
        <w:t>i</w:t>
      </w:r>
      <w:r w:rsidRPr="007B74E0">
        <w:rPr>
          <w:rFonts w:ascii="Times New Roman" w:hAnsi="Times New Roman"/>
          <w:sz w:val="24"/>
          <w:szCs w:val="24"/>
          <w:lang w:val="sq-AL"/>
        </w:rPr>
        <w:t xml:space="preserve"> ndryshuar</w:t>
      </w:r>
      <w:r w:rsidR="00344CED">
        <w:rPr>
          <w:rFonts w:ascii="Times New Roman" w:hAnsi="Times New Roman"/>
          <w:sz w:val="24"/>
          <w:szCs w:val="24"/>
          <w:lang w:val="sq-AL"/>
        </w:rPr>
        <w:t xml:space="preserve"> (</w:t>
      </w:r>
      <w:r w:rsidR="00344CED">
        <w:rPr>
          <w:rFonts w:ascii="Times New Roman" w:hAnsi="Times New Roman"/>
          <w:i/>
          <w:sz w:val="24"/>
          <w:szCs w:val="24"/>
          <w:lang w:val="sq-AL"/>
        </w:rPr>
        <w:t>ligji nr. 8577/2000</w:t>
      </w:r>
      <w:r w:rsidR="00344CED">
        <w:rPr>
          <w:rFonts w:ascii="Times New Roman" w:hAnsi="Times New Roman"/>
          <w:sz w:val="24"/>
          <w:szCs w:val="24"/>
          <w:lang w:val="sq-AL"/>
        </w:rPr>
        <w:t>)</w:t>
      </w:r>
      <w:r w:rsidRPr="007B74E0">
        <w:rPr>
          <w:rFonts w:ascii="Times New Roman" w:hAnsi="Times New Roman"/>
          <w:sz w:val="24"/>
          <w:szCs w:val="24"/>
          <w:lang w:val="sq-AL"/>
        </w:rPr>
        <w:t xml:space="preserve">. </w:t>
      </w:r>
    </w:p>
    <w:p w:rsidR="00840752" w:rsidRPr="007B74E0" w:rsidRDefault="00840752" w:rsidP="004A2AF1">
      <w:pPr>
        <w:spacing w:after="0" w:line="360" w:lineRule="auto"/>
        <w:ind w:firstLine="720"/>
        <w:jc w:val="both"/>
        <w:rPr>
          <w:rFonts w:ascii="Times New Roman" w:hAnsi="Times New Roman"/>
          <w:b/>
          <w:sz w:val="24"/>
          <w:szCs w:val="24"/>
          <w:lang w:val="sq-AL"/>
        </w:rPr>
      </w:pPr>
    </w:p>
    <w:p w:rsidR="00840752" w:rsidRPr="007B74E0" w:rsidRDefault="00840752" w:rsidP="004A2AF1">
      <w:pPr>
        <w:spacing w:after="0" w:line="360" w:lineRule="auto"/>
        <w:ind w:firstLine="720"/>
        <w:jc w:val="both"/>
        <w:rPr>
          <w:rFonts w:ascii="Times New Roman" w:eastAsia="MS Mincho" w:hAnsi="Times New Roman"/>
          <w:sz w:val="24"/>
          <w:szCs w:val="24"/>
          <w:lang w:val="sq-AL"/>
        </w:rPr>
      </w:pPr>
      <w:r w:rsidRPr="007B74E0">
        <w:rPr>
          <w:rFonts w:ascii="Times New Roman" w:eastAsia="MS Mincho" w:hAnsi="Times New Roman"/>
          <w:sz w:val="24"/>
          <w:szCs w:val="24"/>
          <w:lang w:val="sq-AL"/>
        </w:rPr>
        <w:t>Mbledhja e Gjyqtarëve të Gjykatës Kushtetuese (</w:t>
      </w:r>
      <w:r w:rsidRPr="007B74E0">
        <w:rPr>
          <w:rFonts w:ascii="Times New Roman" w:eastAsia="MS Mincho" w:hAnsi="Times New Roman"/>
          <w:i/>
          <w:sz w:val="24"/>
          <w:szCs w:val="24"/>
          <w:lang w:val="sq-AL"/>
        </w:rPr>
        <w:t>Mbledhja e Gjyqtarëve</w:t>
      </w:r>
      <w:r w:rsidRPr="007B74E0">
        <w:rPr>
          <w:rFonts w:ascii="Times New Roman" w:eastAsia="MS Mincho" w:hAnsi="Times New Roman"/>
          <w:sz w:val="24"/>
          <w:szCs w:val="24"/>
          <w:lang w:val="sq-AL"/>
        </w:rPr>
        <w:t>), pasi shqyrtoi kërkesën, dokumentet shoqëruese dhe diskutoi çështjen në tërësi,</w:t>
      </w:r>
    </w:p>
    <w:p w:rsidR="00840752" w:rsidRPr="007B74E0" w:rsidRDefault="00840752" w:rsidP="004A2AF1">
      <w:pPr>
        <w:spacing w:after="0" w:line="360" w:lineRule="auto"/>
        <w:jc w:val="both"/>
        <w:rPr>
          <w:rFonts w:ascii="Times New Roman" w:hAnsi="Times New Roman"/>
          <w:sz w:val="24"/>
          <w:szCs w:val="24"/>
          <w:lang w:val="sq-AL"/>
        </w:rPr>
      </w:pPr>
    </w:p>
    <w:p w:rsidR="00840752" w:rsidRPr="007B74E0" w:rsidRDefault="00840752" w:rsidP="004A2AF1">
      <w:pPr>
        <w:spacing w:after="0" w:line="360" w:lineRule="auto"/>
        <w:jc w:val="center"/>
        <w:rPr>
          <w:rFonts w:ascii="Times New Roman" w:hAnsi="Times New Roman"/>
          <w:b/>
          <w:bCs/>
          <w:sz w:val="24"/>
          <w:szCs w:val="24"/>
          <w:lang w:val="sq-AL"/>
        </w:rPr>
      </w:pPr>
      <w:r w:rsidRPr="007B74E0">
        <w:rPr>
          <w:rFonts w:ascii="Times New Roman" w:hAnsi="Times New Roman"/>
          <w:b/>
          <w:bCs/>
          <w:sz w:val="24"/>
          <w:szCs w:val="24"/>
          <w:lang w:val="sq-AL"/>
        </w:rPr>
        <w:t>V Ë R E N:</w:t>
      </w:r>
    </w:p>
    <w:p w:rsidR="00840752" w:rsidRPr="007B74E0" w:rsidRDefault="00840752" w:rsidP="004A2AF1">
      <w:pPr>
        <w:spacing w:after="0" w:line="360" w:lineRule="auto"/>
        <w:jc w:val="center"/>
        <w:rPr>
          <w:rFonts w:ascii="Times New Roman" w:hAnsi="Times New Roman"/>
          <w:b/>
          <w:bCs/>
          <w:sz w:val="24"/>
          <w:szCs w:val="24"/>
          <w:lang w:val="sq-AL"/>
        </w:rPr>
      </w:pPr>
      <w:r w:rsidRPr="007B74E0">
        <w:rPr>
          <w:rFonts w:ascii="Times New Roman" w:hAnsi="Times New Roman"/>
          <w:b/>
          <w:bCs/>
          <w:sz w:val="24"/>
          <w:szCs w:val="24"/>
          <w:lang w:val="sq-AL"/>
        </w:rPr>
        <w:t>I</w:t>
      </w:r>
    </w:p>
    <w:p w:rsidR="00DD6739" w:rsidRPr="007B74E0" w:rsidRDefault="00DD6739" w:rsidP="004A2AF1">
      <w:pPr>
        <w:spacing w:after="0" w:line="360" w:lineRule="auto"/>
        <w:jc w:val="center"/>
        <w:rPr>
          <w:rFonts w:ascii="Times New Roman" w:hAnsi="Times New Roman"/>
          <w:b/>
          <w:bCs/>
          <w:sz w:val="24"/>
          <w:szCs w:val="24"/>
          <w:lang w:val="sq-AL"/>
        </w:rPr>
      </w:pPr>
      <w:r w:rsidRPr="007B74E0">
        <w:rPr>
          <w:rFonts w:ascii="Times New Roman" w:hAnsi="Times New Roman"/>
          <w:b/>
          <w:bCs/>
          <w:sz w:val="24"/>
          <w:szCs w:val="24"/>
          <w:lang w:val="sq-AL"/>
        </w:rPr>
        <w:t xml:space="preserve">Rrethanat e çështjes </w:t>
      </w:r>
    </w:p>
    <w:p w:rsidR="00DD6739" w:rsidRPr="007B74E0" w:rsidRDefault="00DD6739" w:rsidP="004A2AF1">
      <w:pPr>
        <w:numPr>
          <w:ilvl w:val="0"/>
          <w:numId w:val="1"/>
        </w:numPr>
        <w:tabs>
          <w:tab w:val="left" w:pos="990"/>
        </w:tabs>
        <w:autoSpaceDE w:val="0"/>
        <w:autoSpaceDN w:val="0"/>
        <w:adjustRightInd w:val="0"/>
        <w:spacing w:after="0" w:line="360" w:lineRule="auto"/>
        <w:ind w:left="0" w:firstLine="630"/>
        <w:jc w:val="both"/>
        <w:rPr>
          <w:rFonts w:ascii="Times New Roman" w:hAnsi="Times New Roman"/>
          <w:sz w:val="24"/>
          <w:szCs w:val="24"/>
          <w:lang w:val="sq-AL" w:eastAsia="fr-FR"/>
        </w:rPr>
      </w:pPr>
      <w:r w:rsidRPr="007B74E0">
        <w:rPr>
          <w:rFonts w:ascii="Times New Roman" w:hAnsi="Times New Roman"/>
          <w:sz w:val="24"/>
          <w:szCs w:val="24"/>
          <w:lang w:val="sq-AL" w:eastAsia="fr-FR"/>
        </w:rPr>
        <w:t>Kërkuesit janë trashëgimtarë ligjorë të shtetasve B.P</w:t>
      </w:r>
      <w:r w:rsidR="00A52998">
        <w:rPr>
          <w:rFonts w:ascii="Times New Roman" w:hAnsi="Times New Roman"/>
          <w:sz w:val="24"/>
          <w:szCs w:val="24"/>
          <w:lang w:val="sq-AL" w:eastAsia="fr-FR"/>
        </w:rPr>
        <w:t>.</w:t>
      </w:r>
      <w:r w:rsidRPr="007B74E0">
        <w:rPr>
          <w:rFonts w:ascii="Times New Roman" w:hAnsi="Times New Roman"/>
          <w:sz w:val="24"/>
          <w:szCs w:val="24"/>
          <w:lang w:val="sq-AL" w:eastAsia="fr-FR"/>
        </w:rPr>
        <w:t xml:space="preserve"> dhe N.P. Me vendimin nr.576, datë 24.05.1998 të Komisionit të Kthimit dhe Kompensimit të Pronave (</w:t>
      </w:r>
      <w:r w:rsidRPr="007B74E0">
        <w:rPr>
          <w:rFonts w:ascii="Times New Roman" w:hAnsi="Times New Roman"/>
          <w:i/>
          <w:sz w:val="24"/>
          <w:szCs w:val="24"/>
          <w:lang w:val="sq-AL" w:eastAsia="fr-FR"/>
        </w:rPr>
        <w:t>KKKP</w:t>
      </w:r>
      <w:r w:rsidRPr="007B74E0">
        <w:rPr>
          <w:rFonts w:ascii="Times New Roman" w:hAnsi="Times New Roman"/>
          <w:sz w:val="24"/>
          <w:szCs w:val="24"/>
          <w:lang w:val="sq-AL" w:eastAsia="fr-FR"/>
        </w:rPr>
        <w:t>), trashëgimtarët e ish-</w:t>
      </w:r>
      <w:r w:rsidRPr="007B74E0">
        <w:rPr>
          <w:rFonts w:ascii="Times New Roman" w:hAnsi="Times New Roman"/>
          <w:sz w:val="24"/>
          <w:szCs w:val="24"/>
          <w:lang w:val="sq-AL" w:eastAsia="fr-FR"/>
        </w:rPr>
        <w:lastRenderedPageBreak/>
        <w:t>pronarëve B.P. dhe N.P. janë njohur pronarë për pasurinë me sipërfaqe 47</w:t>
      </w:r>
      <w:r w:rsidR="00A52998">
        <w:rPr>
          <w:rFonts w:ascii="Times New Roman" w:hAnsi="Times New Roman"/>
          <w:sz w:val="24"/>
          <w:szCs w:val="24"/>
          <w:lang w:val="sq-AL" w:eastAsia="fr-FR"/>
        </w:rPr>
        <w:t>.</w:t>
      </w:r>
      <w:r w:rsidRPr="007B74E0">
        <w:rPr>
          <w:rFonts w:ascii="Times New Roman" w:hAnsi="Times New Roman"/>
          <w:sz w:val="24"/>
          <w:szCs w:val="24"/>
          <w:lang w:val="sq-AL" w:eastAsia="fr-FR"/>
        </w:rPr>
        <w:t>500 m</w:t>
      </w:r>
      <w:r w:rsidRPr="007B74E0">
        <w:rPr>
          <w:rFonts w:ascii="Times New Roman" w:hAnsi="Times New Roman"/>
          <w:sz w:val="24"/>
          <w:szCs w:val="24"/>
          <w:vertAlign w:val="superscript"/>
          <w:lang w:val="sq-AL" w:eastAsia="fr-FR"/>
        </w:rPr>
        <w:t>2</w:t>
      </w:r>
      <w:r w:rsidRPr="007B74E0">
        <w:rPr>
          <w:rFonts w:ascii="Times New Roman" w:hAnsi="Times New Roman"/>
          <w:sz w:val="24"/>
          <w:szCs w:val="24"/>
          <w:lang w:val="sq-AL" w:eastAsia="fr-FR"/>
        </w:rPr>
        <w:t xml:space="preserve"> dhe </w:t>
      </w:r>
      <w:r w:rsidR="007B74E0" w:rsidRPr="007B74E0">
        <w:rPr>
          <w:rFonts w:ascii="Times New Roman" w:hAnsi="Times New Roman"/>
          <w:sz w:val="24"/>
          <w:szCs w:val="24"/>
          <w:lang w:val="sq-AL" w:eastAsia="fr-FR"/>
        </w:rPr>
        <w:t xml:space="preserve">u është njohur e drejta për </w:t>
      </w:r>
      <w:r w:rsidRPr="007B74E0">
        <w:rPr>
          <w:rFonts w:ascii="Times New Roman" w:hAnsi="Times New Roman"/>
          <w:sz w:val="24"/>
          <w:szCs w:val="24"/>
          <w:lang w:val="sq-AL" w:eastAsia="fr-FR"/>
        </w:rPr>
        <w:t>kompensim për sipërfaqen 20</w:t>
      </w:r>
      <w:r w:rsidR="00A52998">
        <w:rPr>
          <w:rFonts w:ascii="Times New Roman" w:hAnsi="Times New Roman"/>
          <w:sz w:val="24"/>
          <w:szCs w:val="24"/>
          <w:lang w:val="sq-AL" w:eastAsia="fr-FR"/>
        </w:rPr>
        <w:t>.</w:t>
      </w:r>
      <w:r w:rsidRPr="007B74E0">
        <w:rPr>
          <w:rFonts w:ascii="Times New Roman" w:hAnsi="Times New Roman"/>
          <w:sz w:val="24"/>
          <w:szCs w:val="24"/>
          <w:lang w:val="sq-AL" w:eastAsia="fr-FR"/>
        </w:rPr>
        <w:t>822 m</w:t>
      </w:r>
      <w:r w:rsidRPr="007B74E0">
        <w:rPr>
          <w:rFonts w:ascii="Times New Roman" w:hAnsi="Times New Roman"/>
          <w:sz w:val="24"/>
          <w:szCs w:val="24"/>
          <w:vertAlign w:val="superscript"/>
          <w:lang w:val="sq-AL" w:eastAsia="fr-FR"/>
        </w:rPr>
        <w:t>2</w:t>
      </w:r>
      <w:r w:rsidRPr="007B74E0">
        <w:rPr>
          <w:rFonts w:ascii="Times New Roman" w:hAnsi="Times New Roman"/>
          <w:sz w:val="24"/>
          <w:szCs w:val="24"/>
          <w:lang w:val="sq-AL" w:eastAsia="fr-FR"/>
        </w:rPr>
        <w:t xml:space="preserve">. </w:t>
      </w:r>
    </w:p>
    <w:p w:rsidR="00DD6739" w:rsidRPr="007B74E0" w:rsidRDefault="00DD6739" w:rsidP="004A2AF1">
      <w:pPr>
        <w:numPr>
          <w:ilvl w:val="0"/>
          <w:numId w:val="1"/>
        </w:numPr>
        <w:tabs>
          <w:tab w:val="left" w:pos="990"/>
        </w:tabs>
        <w:autoSpaceDE w:val="0"/>
        <w:autoSpaceDN w:val="0"/>
        <w:adjustRightInd w:val="0"/>
        <w:spacing w:after="0" w:line="360" w:lineRule="auto"/>
        <w:ind w:left="0" w:firstLine="630"/>
        <w:jc w:val="both"/>
        <w:rPr>
          <w:rFonts w:ascii="Times New Roman" w:hAnsi="Times New Roman"/>
          <w:sz w:val="24"/>
          <w:szCs w:val="24"/>
          <w:lang w:val="sq-AL" w:eastAsia="fr-FR"/>
        </w:rPr>
      </w:pPr>
      <w:r w:rsidRPr="007B74E0">
        <w:rPr>
          <w:rFonts w:ascii="Times New Roman" w:hAnsi="Times New Roman"/>
          <w:sz w:val="24"/>
          <w:szCs w:val="24"/>
          <w:lang w:val="sq-AL" w:eastAsia="fr-FR"/>
        </w:rPr>
        <w:t>Kërkuesit janë subjekte të ligjit nr.133/2015 “Për trajtimin e pronës dhe përfundimin e procesit të kompensimit të pronave” (</w:t>
      </w:r>
      <w:r w:rsidRPr="007B74E0">
        <w:rPr>
          <w:rFonts w:ascii="Times New Roman" w:hAnsi="Times New Roman"/>
          <w:i/>
          <w:sz w:val="24"/>
          <w:szCs w:val="24"/>
          <w:lang w:val="sq-AL" w:eastAsia="fr-FR"/>
        </w:rPr>
        <w:t>ligji nr.133/2015</w:t>
      </w:r>
      <w:r w:rsidRPr="007B74E0">
        <w:rPr>
          <w:rFonts w:ascii="Times New Roman" w:hAnsi="Times New Roman"/>
          <w:sz w:val="24"/>
          <w:szCs w:val="24"/>
          <w:lang w:val="sq-AL" w:eastAsia="fr-FR"/>
        </w:rPr>
        <w:t>), sipas të cilit “vlerësohen financiarisht, për ekzekutim të gjitha vendimet, të cilat nuk janë zbatuar, për njohjen e së drejtës së kompensimit, të dhëna nga organet administrative ose gjyqësore në vendin tonë”. Ky ligj është kundërshtuar në Gjykatën Kushtetuese, e cila</w:t>
      </w:r>
      <w:r w:rsidR="00A52998">
        <w:rPr>
          <w:rFonts w:ascii="Times New Roman" w:hAnsi="Times New Roman"/>
          <w:sz w:val="24"/>
          <w:szCs w:val="24"/>
          <w:lang w:val="sq-AL" w:eastAsia="fr-FR"/>
        </w:rPr>
        <w:t>,</w:t>
      </w:r>
      <w:r w:rsidRPr="007B74E0">
        <w:rPr>
          <w:rFonts w:ascii="Times New Roman" w:hAnsi="Times New Roman"/>
          <w:sz w:val="24"/>
          <w:szCs w:val="24"/>
          <w:lang w:val="sq-AL" w:eastAsia="fr-FR"/>
        </w:rPr>
        <w:t xml:space="preserve"> me vendimin nr.</w:t>
      </w:r>
      <w:r w:rsidR="00A52998">
        <w:rPr>
          <w:rFonts w:ascii="Times New Roman" w:hAnsi="Times New Roman"/>
          <w:sz w:val="24"/>
          <w:szCs w:val="24"/>
          <w:lang w:val="sq-AL" w:eastAsia="fr-FR"/>
        </w:rPr>
        <w:t xml:space="preserve"> </w:t>
      </w:r>
      <w:r w:rsidRPr="007B74E0">
        <w:rPr>
          <w:rFonts w:ascii="Times New Roman" w:hAnsi="Times New Roman"/>
          <w:sz w:val="24"/>
          <w:szCs w:val="24"/>
          <w:lang w:val="sq-AL" w:eastAsia="fr-FR"/>
        </w:rPr>
        <w:t>1, datë 16.01.2017, ka vendosur shfuqizimin si të papajtueshm</w:t>
      </w:r>
      <w:r w:rsidR="00A52998">
        <w:rPr>
          <w:rFonts w:ascii="Times New Roman" w:hAnsi="Times New Roman"/>
          <w:sz w:val="24"/>
          <w:szCs w:val="24"/>
          <w:lang w:val="sq-AL" w:eastAsia="fr-FR"/>
        </w:rPr>
        <w:t>e</w:t>
      </w:r>
      <w:r w:rsidRPr="007B74E0">
        <w:rPr>
          <w:rFonts w:ascii="Times New Roman" w:hAnsi="Times New Roman"/>
          <w:sz w:val="24"/>
          <w:szCs w:val="24"/>
          <w:lang w:val="sq-AL" w:eastAsia="fr-FR"/>
        </w:rPr>
        <w:t xml:space="preserve"> me Kushtetutën të pikave 3 dhe 5 të nenit 6 të tij. Në lidhje me nen</w:t>
      </w:r>
      <w:r w:rsidR="00A52998">
        <w:rPr>
          <w:rFonts w:ascii="Times New Roman" w:hAnsi="Times New Roman"/>
          <w:sz w:val="24"/>
          <w:szCs w:val="24"/>
          <w:lang w:val="sq-AL" w:eastAsia="fr-FR"/>
        </w:rPr>
        <w:t>et</w:t>
      </w:r>
      <w:r w:rsidRPr="007B74E0">
        <w:rPr>
          <w:rFonts w:ascii="Times New Roman" w:hAnsi="Times New Roman"/>
          <w:sz w:val="24"/>
          <w:szCs w:val="24"/>
          <w:lang w:val="sq-AL" w:eastAsia="fr-FR"/>
        </w:rPr>
        <w:t xml:space="preserve"> 6, pika 1, shkronja “b” dhe 7, pika 2, shkronjat “a” dhe “b”</w:t>
      </w:r>
      <w:r w:rsidR="00A52998">
        <w:rPr>
          <w:rFonts w:ascii="Times New Roman" w:hAnsi="Times New Roman"/>
          <w:sz w:val="24"/>
          <w:szCs w:val="24"/>
          <w:lang w:val="sq-AL" w:eastAsia="fr-FR"/>
        </w:rPr>
        <w:t>,</w:t>
      </w:r>
      <w:r w:rsidRPr="007B74E0">
        <w:rPr>
          <w:rFonts w:ascii="Times New Roman" w:hAnsi="Times New Roman"/>
          <w:sz w:val="24"/>
          <w:szCs w:val="24"/>
          <w:lang w:val="sq-AL" w:eastAsia="fr-FR"/>
        </w:rPr>
        <w:t xml:space="preserve"> të ligjit nr.133/2015, Gjykata Kushtetuese </w:t>
      </w:r>
      <w:r w:rsidR="007B74E0" w:rsidRPr="007B74E0">
        <w:rPr>
          <w:rFonts w:ascii="Times New Roman" w:hAnsi="Times New Roman"/>
          <w:sz w:val="24"/>
          <w:szCs w:val="24"/>
          <w:lang w:val="sq-AL" w:eastAsia="fr-FR"/>
        </w:rPr>
        <w:t xml:space="preserve">ka </w:t>
      </w:r>
      <w:r w:rsidRPr="007B74E0">
        <w:rPr>
          <w:rFonts w:ascii="Times New Roman" w:hAnsi="Times New Roman"/>
          <w:sz w:val="24"/>
          <w:szCs w:val="24"/>
          <w:lang w:val="sq-AL" w:eastAsia="fr-FR"/>
        </w:rPr>
        <w:t>vendos</w:t>
      </w:r>
      <w:r w:rsidR="007B74E0" w:rsidRPr="007B74E0">
        <w:rPr>
          <w:rFonts w:ascii="Times New Roman" w:hAnsi="Times New Roman"/>
          <w:sz w:val="24"/>
          <w:szCs w:val="24"/>
          <w:lang w:val="sq-AL" w:eastAsia="fr-FR"/>
        </w:rPr>
        <w:t>ur</w:t>
      </w:r>
      <w:r w:rsidRPr="007B74E0">
        <w:rPr>
          <w:rFonts w:ascii="Times New Roman" w:hAnsi="Times New Roman"/>
          <w:sz w:val="24"/>
          <w:szCs w:val="24"/>
          <w:lang w:val="sq-AL" w:eastAsia="fr-FR"/>
        </w:rPr>
        <w:t xml:space="preserve"> refuzimin e kërkesës në mungesë të arritjes së shumicës së nevojshme të kërkuar nga ligji organik.   </w:t>
      </w:r>
    </w:p>
    <w:p w:rsidR="00DD6739" w:rsidRPr="007B74E0" w:rsidRDefault="00DD6739" w:rsidP="007B74E0">
      <w:pPr>
        <w:numPr>
          <w:ilvl w:val="0"/>
          <w:numId w:val="1"/>
        </w:numPr>
        <w:tabs>
          <w:tab w:val="left" w:pos="990"/>
        </w:tabs>
        <w:autoSpaceDE w:val="0"/>
        <w:autoSpaceDN w:val="0"/>
        <w:adjustRightInd w:val="0"/>
        <w:spacing w:after="0" w:line="360" w:lineRule="auto"/>
        <w:ind w:left="0" w:firstLine="630"/>
        <w:jc w:val="both"/>
        <w:rPr>
          <w:rFonts w:ascii="Times New Roman" w:hAnsi="Times New Roman"/>
          <w:sz w:val="24"/>
          <w:szCs w:val="24"/>
          <w:lang w:val="sq-AL" w:eastAsia="fr-FR"/>
        </w:rPr>
      </w:pPr>
      <w:r w:rsidRPr="007B74E0">
        <w:rPr>
          <w:rFonts w:ascii="Times New Roman" w:hAnsi="Times New Roman"/>
          <w:sz w:val="24"/>
          <w:szCs w:val="24"/>
          <w:lang w:val="sq-AL" w:eastAsia="fr-FR"/>
        </w:rPr>
        <w:t xml:space="preserve">Në datën 09.09.2019 kërkuesit janë vënë dijeni nëpërmjet shtypit ditor (gazeta </w:t>
      </w:r>
      <w:r w:rsidR="007B74E0" w:rsidRPr="007B74E0">
        <w:rPr>
          <w:rFonts w:ascii="Times New Roman" w:hAnsi="Times New Roman"/>
          <w:sz w:val="24"/>
          <w:szCs w:val="24"/>
          <w:lang w:val="sq-AL" w:eastAsia="fr-FR"/>
        </w:rPr>
        <w:t>“</w:t>
      </w:r>
      <w:r w:rsidRPr="007B74E0">
        <w:rPr>
          <w:rFonts w:ascii="Times New Roman" w:hAnsi="Times New Roman"/>
          <w:sz w:val="24"/>
          <w:szCs w:val="24"/>
          <w:lang w:val="sq-AL" w:eastAsia="fr-FR"/>
        </w:rPr>
        <w:t>Panorama</w:t>
      </w:r>
      <w:r w:rsidR="007B74E0" w:rsidRPr="007B74E0">
        <w:rPr>
          <w:rFonts w:ascii="Times New Roman" w:hAnsi="Times New Roman"/>
          <w:sz w:val="24"/>
          <w:szCs w:val="24"/>
          <w:lang w:val="sq-AL" w:eastAsia="fr-FR"/>
        </w:rPr>
        <w:t>”</w:t>
      </w:r>
      <w:r w:rsidRPr="007B74E0">
        <w:rPr>
          <w:rFonts w:ascii="Times New Roman" w:hAnsi="Times New Roman"/>
          <w:sz w:val="24"/>
          <w:szCs w:val="24"/>
          <w:lang w:val="sq-AL" w:eastAsia="fr-FR"/>
        </w:rPr>
        <w:t>) se është kryer vlerësimi nga A</w:t>
      </w:r>
      <w:r w:rsidR="007B74E0" w:rsidRPr="007B74E0">
        <w:rPr>
          <w:rFonts w:ascii="Times New Roman" w:hAnsi="Times New Roman"/>
          <w:sz w:val="24"/>
          <w:szCs w:val="24"/>
          <w:lang w:val="sq-AL" w:eastAsia="fr-FR"/>
        </w:rPr>
        <w:t xml:space="preserve">gjencia e </w:t>
      </w:r>
      <w:r w:rsidRPr="007B74E0">
        <w:rPr>
          <w:rFonts w:ascii="Times New Roman" w:hAnsi="Times New Roman"/>
          <w:sz w:val="24"/>
          <w:szCs w:val="24"/>
          <w:lang w:val="sq-AL" w:eastAsia="fr-FR"/>
        </w:rPr>
        <w:t>T</w:t>
      </w:r>
      <w:r w:rsidR="007B74E0" w:rsidRPr="007B74E0">
        <w:rPr>
          <w:rFonts w:ascii="Times New Roman" w:hAnsi="Times New Roman"/>
          <w:sz w:val="24"/>
          <w:szCs w:val="24"/>
          <w:lang w:val="sq-AL" w:eastAsia="fr-FR"/>
        </w:rPr>
        <w:t xml:space="preserve">rajtimit të </w:t>
      </w:r>
      <w:r w:rsidRPr="007B74E0">
        <w:rPr>
          <w:rFonts w:ascii="Times New Roman" w:hAnsi="Times New Roman"/>
          <w:sz w:val="24"/>
          <w:szCs w:val="24"/>
          <w:lang w:val="sq-AL" w:eastAsia="fr-FR"/>
        </w:rPr>
        <w:t>P</w:t>
      </w:r>
      <w:r w:rsidR="007B74E0" w:rsidRPr="007B74E0">
        <w:rPr>
          <w:rFonts w:ascii="Times New Roman" w:hAnsi="Times New Roman"/>
          <w:sz w:val="24"/>
          <w:szCs w:val="24"/>
          <w:lang w:val="sq-AL" w:eastAsia="fr-FR"/>
        </w:rPr>
        <w:t>ronave (</w:t>
      </w:r>
      <w:r w:rsidR="007B74E0" w:rsidRPr="007B74E0">
        <w:rPr>
          <w:rFonts w:ascii="Times New Roman" w:hAnsi="Times New Roman"/>
          <w:i/>
          <w:sz w:val="24"/>
          <w:szCs w:val="24"/>
          <w:lang w:val="sq-AL" w:eastAsia="fr-FR"/>
        </w:rPr>
        <w:t>ATP</w:t>
      </w:r>
      <w:r w:rsidR="007B74E0" w:rsidRPr="007B74E0">
        <w:rPr>
          <w:rFonts w:ascii="Times New Roman" w:hAnsi="Times New Roman"/>
          <w:sz w:val="24"/>
          <w:szCs w:val="24"/>
          <w:lang w:val="sq-AL" w:eastAsia="fr-FR"/>
        </w:rPr>
        <w:t>)</w:t>
      </w:r>
      <w:r w:rsidRPr="007B74E0">
        <w:rPr>
          <w:rFonts w:ascii="Times New Roman" w:hAnsi="Times New Roman"/>
          <w:sz w:val="24"/>
          <w:szCs w:val="24"/>
          <w:lang w:val="sq-AL" w:eastAsia="fr-FR"/>
        </w:rPr>
        <w:t xml:space="preserve"> për të drejtën e tyre të kompensimit, ndaj në datën 01.10.2019 i janë drejtuar </w:t>
      </w:r>
      <w:r w:rsidR="007B74E0" w:rsidRPr="007B74E0">
        <w:rPr>
          <w:rFonts w:ascii="Times New Roman" w:hAnsi="Times New Roman"/>
          <w:sz w:val="24"/>
          <w:szCs w:val="24"/>
          <w:lang w:val="sq-AL" w:eastAsia="fr-FR"/>
        </w:rPr>
        <w:t xml:space="preserve">këtij institucioni </w:t>
      </w:r>
      <w:r w:rsidRPr="007B74E0">
        <w:rPr>
          <w:rFonts w:ascii="Times New Roman" w:hAnsi="Times New Roman"/>
          <w:sz w:val="24"/>
          <w:szCs w:val="24"/>
          <w:lang w:val="sq-AL" w:eastAsia="fr-FR"/>
        </w:rPr>
        <w:t>me kërkesë për informacion</w:t>
      </w:r>
      <w:r w:rsidR="007B74E0" w:rsidRPr="007B74E0">
        <w:rPr>
          <w:rFonts w:ascii="Times New Roman" w:hAnsi="Times New Roman"/>
          <w:sz w:val="24"/>
          <w:szCs w:val="24"/>
          <w:lang w:val="sq-AL" w:eastAsia="fr-FR"/>
        </w:rPr>
        <w:t xml:space="preserve">, ku </w:t>
      </w:r>
      <w:r w:rsidRPr="007B74E0">
        <w:rPr>
          <w:rFonts w:ascii="Times New Roman" w:hAnsi="Times New Roman"/>
          <w:sz w:val="24"/>
          <w:szCs w:val="24"/>
          <w:lang w:val="sq-AL" w:eastAsia="fr-FR"/>
        </w:rPr>
        <w:t>janë vënë në dijeni se vlerësimi i të drejtës së tyre për kompensim është botuar në Buletinin e Njoftimeve Zyrtare nr.</w:t>
      </w:r>
      <w:r w:rsidR="007B74E0" w:rsidRPr="007B74E0">
        <w:rPr>
          <w:rFonts w:ascii="Times New Roman" w:hAnsi="Times New Roman"/>
          <w:sz w:val="24"/>
          <w:szCs w:val="24"/>
          <w:lang w:val="sq-AL" w:eastAsia="fr-FR"/>
        </w:rPr>
        <w:t xml:space="preserve"> </w:t>
      </w:r>
      <w:r w:rsidRPr="007B74E0">
        <w:rPr>
          <w:rFonts w:ascii="Times New Roman" w:hAnsi="Times New Roman"/>
          <w:sz w:val="24"/>
          <w:szCs w:val="24"/>
          <w:lang w:val="sq-AL" w:eastAsia="fr-FR"/>
        </w:rPr>
        <w:t>45, datë 11.12.2018. Sipas ATP-së, vlerësimi financiar i pronës së kërkuesve është bërë në bazë të nenit 6</w:t>
      </w:r>
      <w:r w:rsidR="00B346E7" w:rsidRPr="007B74E0">
        <w:rPr>
          <w:rFonts w:ascii="Times New Roman" w:hAnsi="Times New Roman"/>
          <w:sz w:val="24"/>
          <w:szCs w:val="24"/>
          <w:lang w:val="sq-AL" w:eastAsia="fr-FR"/>
        </w:rPr>
        <w:t xml:space="preserve">, pika </w:t>
      </w:r>
      <w:r w:rsidRPr="007B74E0">
        <w:rPr>
          <w:rFonts w:ascii="Times New Roman" w:hAnsi="Times New Roman"/>
          <w:sz w:val="24"/>
          <w:szCs w:val="24"/>
          <w:lang w:val="sq-AL" w:eastAsia="fr-FR"/>
        </w:rPr>
        <w:t>1</w:t>
      </w:r>
      <w:r w:rsidR="00B346E7" w:rsidRPr="007B74E0">
        <w:rPr>
          <w:rFonts w:ascii="Times New Roman" w:hAnsi="Times New Roman"/>
          <w:sz w:val="24"/>
          <w:szCs w:val="24"/>
          <w:lang w:val="sq-AL" w:eastAsia="fr-FR"/>
        </w:rPr>
        <w:t>, shkronja “</w:t>
      </w:r>
      <w:r w:rsidRPr="007B74E0">
        <w:rPr>
          <w:rFonts w:ascii="Times New Roman" w:hAnsi="Times New Roman"/>
          <w:sz w:val="24"/>
          <w:szCs w:val="24"/>
          <w:lang w:val="sq-AL" w:eastAsia="fr-FR"/>
        </w:rPr>
        <w:t>a</w:t>
      </w:r>
      <w:r w:rsidR="00B346E7" w:rsidRPr="007B74E0">
        <w:rPr>
          <w:rFonts w:ascii="Times New Roman" w:hAnsi="Times New Roman"/>
          <w:sz w:val="24"/>
          <w:szCs w:val="24"/>
          <w:lang w:val="sq-AL" w:eastAsia="fr-FR"/>
        </w:rPr>
        <w:t>”,</w:t>
      </w:r>
      <w:r w:rsidRPr="007B74E0">
        <w:rPr>
          <w:rFonts w:ascii="Times New Roman" w:hAnsi="Times New Roman"/>
          <w:sz w:val="24"/>
          <w:szCs w:val="24"/>
          <w:lang w:val="sq-AL" w:eastAsia="fr-FR"/>
        </w:rPr>
        <w:t xml:space="preserve"> të ligjit nr.</w:t>
      </w:r>
      <w:r w:rsidR="007B74E0" w:rsidRPr="007B74E0">
        <w:rPr>
          <w:rFonts w:ascii="Times New Roman" w:hAnsi="Times New Roman"/>
          <w:sz w:val="24"/>
          <w:szCs w:val="24"/>
          <w:lang w:val="sq-AL" w:eastAsia="fr-FR"/>
        </w:rPr>
        <w:t xml:space="preserve"> 133/2015 dhe VKM-së </w:t>
      </w:r>
      <w:r w:rsidR="007B74E0" w:rsidRPr="007B74E0">
        <w:rPr>
          <w:rFonts w:ascii="Times New Roman" w:hAnsi="Times New Roman"/>
          <w:sz w:val="24"/>
          <w:szCs w:val="24"/>
          <w:lang w:val="sq-AL"/>
        </w:rPr>
        <w:t>nr. 89, datë 03.02.2016 “Për miratimin e hartës së vlerës së tokës në Republikën e Shqipërisë”, s</w:t>
      </w:r>
      <w:r w:rsidRPr="007B74E0">
        <w:rPr>
          <w:rFonts w:ascii="Times New Roman" w:hAnsi="Times New Roman"/>
          <w:sz w:val="24"/>
          <w:szCs w:val="24"/>
          <w:lang w:val="sq-AL" w:eastAsia="fr-FR"/>
        </w:rPr>
        <w:t>i dhe nenit 7</w:t>
      </w:r>
      <w:r w:rsidR="00B346E7" w:rsidRPr="007B74E0">
        <w:rPr>
          <w:rFonts w:ascii="Times New Roman" w:hAnsi="Times New Roman"/>
          <w:sz w:val="24"/>
          <w:szCs w:val="24"/>
          <w:lang w:val="sq-AL" w:eastAsia="fr-FR"/>
        </w:rPr>
        <w:t xml:space="preserve">, pika </w:t>
      </w:r>
      <w:r w:rsidRPr="007B74E0">
        <w:rPr>
          <w:rFonts w:ascii="Times New Roman" w:hAnsi="Times New Roman"/>
          <w:sz w:val="24"/>
          <w:szCs w:val="24"/>
          <w:lang w:val="sq-AL" w:eastAsia="fr-FR"/>
        </w:rPr>
        <w:t>2</w:t>
      </w:r>
      <w:r w:rsidR="00B346E7" w:rsidRPr="007B74E0">
        <w:rPr>
          <w:rFonts w:ascii="Times New Roman" w:hAnsi="Times New Roman"/>
          <w:sz w:val="24"/>
          <w:szCs w:val="24"/>
          <w:lang w:val="sq-AL" w:eastAsia="fr-FR"/>
        </w:rPr>
        <w:t>, shkronja “</w:t>
      </w:r>
      <w:r w:rsidRPr="007B74E0">
        <w:rPr>
          <w:rFonts w:ascii="Times New Roman" w:hAnsi="Times New Roman"/>
          <w:sz w:val="24"/>
          <w:szCs w:val="24"/>
          <w:lang w:val="sq-AL" w:eastAsia="fr-FR"/>
        </w:rPr>
        <w:t>a</w:t>
      </w:r>
      <w:r w:rsidR="00B346E7" w:rsidRPr="007B74E0">
        <w:rPr>
          <w:rFonts w:ascii="Times New Roman" w:hAnsi="Times New Roman"/>
          <w:sz w:val="24"/>
          <w:szCs w:val="24"/>
          <w:lang w:val="sq-AL" w:eastAsia="fr-FR"/>
        </w:rPr>
        <w:t>”,</w:t>
      </w:r>
      <w:r w:rsidRPr="007B74E0">
        <w:rPr>
          <w:rFonts w:ascii="Times New Roman" w:hAnsi="Times New Roman"/>
          <w:sz w:val="24"/>
          <w:szCs w:val="24"/>
          <w:lang w:val="sq-AL" w:eastAsia="fr-FR"/>
        </w:rPr>
        <w:t xml:space="preserve"> të ligjit nr.133/2015. Sipas ATP-së, zëri </w:t>
      </w:r>
      <w:proofErr w:type="spellStart"/>
      <w:r w:rsidRPr="007B74E0">
        <w:rPr>
          <w:rFonts w:ascii="Times New Roman" w:hAnsi="Times New Roman"/>
          <w:sz w:val="24"/>
          <w:szCs w:val="24"/>
          <w:lang w:val="sq-AL" w:eastAsia="fr-FR"/>
        </w:rPr>
        <w:t>kadastral</w:t>
      </w:r>
      <w:proofErr w:type="spellEnd"/>
      <w:r w:rsidRPr="007B74E0">
        <w:rPr>
          <w:rFonts w:ascii="Times New Roman" w:hAnsi="Times New Roman"/>
          <w:sz w:val="24"/>
          <w:szCs w:val="24"/>
          <w:lang w:val="sq-AL" w:eastAsia="fr-FR"/>
        </w:rPr>
        <w:t xml:space="preserve"> i pronës objekt ko</w:t>
      </w:r>
      <w:r w:rsidR="00A52998">
        <w:rPr>
          <w:rFonts w:ascii="Times New Roman" w:hAnsi="Times New Roman"/>
          <w:sz w:val="24"/>
          <w:szCs w:val="24"/>
          <w:lang w:val="sq-AL" w:eastAsia="fr-FR"/>
        </w:rPr>
        <w:t>mpensimi është “tokë bujqësore” dhe</w:t>
      </w:r>
      <w:r w:rsidRPr="007B74E0">
        <w:rPr>
          <w:rFonts w:ascii="Times New Roman" w:hAnsi="Times New Roman"/>
          <w:sz w:val="24"/>
          <w:szCs w:val="24"/>
          <w:lang w:val="sq-AL" w:eastAsia="fr-FR"/>
        </w:rPr>
        <w:t xml:space="preserve"> vlera e pronës, sipas zërit </w:t>
      </w:r>
      <w:proofErr w:type="spellStart"/>
      <w:r w:rsidRPr="007B74E0">
        <w:rPr>
          <w:rFonts w:ascii="Times New Roman" w:hAnsi="Times New Roman"/>
          <w:sz w:val="24"/>
          <w:szCs w:val="24"/>
          <w:lang w:val="sq-AL" w:eastAsia="fr-FR"/>
        </w:rPr>
        <w:t>kadastral</w:t>
      </w:r>
      <w:proofErr w:type="spellEnd"/>
      <w:r w:rsidRPr="007B74E0">
        <w:rPr>
          <w:rFonts w:ascii="Times New Roman" w:hAnsi="Times New Roman"/>
          <w:sz w:val="24"/>
          <w:szCs w:val="24"/>
          <w:lang w:val="sq-AL" w:eastAsia="fr-FR"/>
        </w:rPr>
        <w:t xml:space="preserve"> që ajo ka pasur në momentin e shpronësimit është 448 lekë/m². Sipas </w:t>
      </w:r>
      <w:r w:rsidR="00A52998">
        <w:rPr>
          <w:rFonts w:ascii="Times New Roman" w:hAnsi="Times New Roman"/>
          <w:sz w:val="24"/>
          <w:szCs w:val="24"/>
          <w:lang w:val="sq-AL" w:eastAsia="fr-FR"/>
        </w:rPr>
        <w:t xml:space="preserve">këtij organi, </w:t>
      </w:r>
      <w:r w:rsidRPr="007B74E0">
        <w:rPr>
          <w:rFonts w:ascii="Times New Roman" w:hAnsi="Times New Roman"/>
          <w:sz w:val="24"/>
          <w:szCs w:val="24"/>
          <w:lang w:val="sq-AL" w:eastAsia="fr-FR"/>
        </w:rPr>
        <w:t xml:space="preserve">kërkuesit konsiderohen të kompensuar për sipërfaqen në fjalë </w:t>
      </w:r>
      <w:r w:rsidR="00A52998">
        <w:rPr>
          <w:rFonts w:ascii="Times New Roman" w:hAnsi="Times New Roman"/>
          <w:sz w:val="24"/>
          <w:szCs w:val="24"/>
          <w:lang w:val="sq-AL" w:eastAsia="fr-FR"/>
        </w:rPr>
        <w:t xml:space="preserve">në </w:t>
      </w:r>
      <w:r w:rsidRPr="007B74E0">
        <w:rPr>
          <w:rFonts w:ascii="Times New Roman" w:hAnsi="Times New Roman"/>
          <w:sz w:val="24"/>
          <w:szCs w:val="24"/>
          <w:lang w:val="sq-AL" w:eastAsia="fr-FR"/>
        </w:rPr>
        <w:t>bazë</w:t>
      </w:r>
      <w:r w:rsidR="00A52998">
        <w:rPr>
          <w:rFonts w:ascii="Times New Roman" w:hAnsi="Times New Roman"/>
          <w:sz w:val="24"/>
          <w:szCs w:val="24"/>
          <w:lang w:val="sq-AL" w:eastAsia="fr-FR"/>
        </w:rPr>
        <w:t xml:space="preserve"> të</w:t>
      </w:r>
      <w:r w:rsidRPr="007B74E0">
        <w:rPr>
          <w:rFonts w:ascii="Times New Roman" w:hAnsi="Times New Roman"/>
          <w:sz w:val="24"/>
          <w:szCs w:val="24"/>
          <w:lang w:val="sq-AL" w:eastAsia="fr-FR"/>
        </w:rPr>
        <w:t xml:space="preserve"> nenit </w:t>
      </w:r>
      <w:r w:rsidR="00B346E7" w:rsidRPr="007B74E0">
        <w:rPr>
          <w:rFonts w:ascii="Times New Roman" w:hAnsi="Times New Roman"/>
          <w:sz w:val="24"/>
          <w:szCs w:val="24"/>
          <w:lang w:val="sq-AL" w:eastAsia="fr-FR"/>
        </w:rPr>
        <w:t xml:space="preserve">7, pika 2, shkronja “a”, </w:t>
      </w:r>
      <w:r w:rsidR="00A52998">
        <w:rPr>
          <w:rFonts w:ascii="Times New Roman" w:hAnsi="Times New Roman"/>
          <w:sz w:val="24"/>
          <w:szCs w:val="24"/>
          <w:lang w:val="sq-AL" w:eastAsia="fr-FR"/>
        </w:rPr>
        <w:t xml:space="preserve">të </w:t>
      </w:r>
      <w:r w:rsidR="00B346E7" w:rsidRPr="007B74E0">
        <w:rPr>
          <w:rFonts w:ascii="Times New Roman" w:hAnsi="Times New Roman"/>
          <w:sz w:val="24"/>
          <w:szCs w:val="24"/>
          <w:lang w:val="sq-AL" w:eastAsia="fr-FR"/>
        </w:rPr>
        <w:t>ligjit nr.133/2015</w:t>
      </w:r>
      <w:r w:rsidRPr="007B74E0">
        <w:rPr>
          <w:rFonts w:ascii="Times New Roman" w:hAnsi="Times New Roman"/>
          <w:sz w:val="24"/>
          <w:szCs w:val="24"/>
          <w:lang w:val="sq-AL" w:eastAsia="fr-FR"/>
        </w:rPr>
        <w:t>, pasi vlera e pronës që u është kthyer është më e lartë se vlera e pronës së njohur për kompensim.</w:t>
      </w:r>
    </w:p>
    <w:p w:rsidR="00DD6739" w:rsidRPr="007B74E0" w:rsidRDefault="00DD6739" w:rsidP="004A2AF1">
      <w:pPr>
        <w:numPr>
          <w:ilvl w:val="0"/>
          <w:numId w:val="1"/>
        </w:numPr>
        <w:tabs>
          <w:tab w:val="left" w:pos="990"/>
        </w:tabs>
        <w:autoSpaceDE w:val="0"/>
        <w:autoSpaceDN w:val="0"/>
        <w:adjustRightInd w:val="0"/>
        <w:spacing w:after="0" w:line="360" w:lineRule="auto"/>
        <w:ind w:left="0" w:firstLine="630"/>
        <w:jc w:val="both"/>
        <w:rPr>
          <w:rFonts w:ascii="Times New Roman" w:hAnsi="Times New Roman"/>
          <w:sz w:val="24"/>
          <w:szCs w:val="24"/>
          <w:lang w:val="sq-AL" w:eastAsia="fr-FR"/>
        </w:rPr>
      </w:pPr>
      <w:r w:rsidRPr="007B74E0">
        <w:rPr>
          <w:rFonts w:ascii="Times New Roman" w:hAnsi="Times New Roman"/>
          <w:sz w:val="24"/>
          <w:szCs w:val="24"/>
          <w:lang w:val="sq-AL" w:eastAsia="fr-FR"/>
        </w:rPr>
        <w:t xml:space="preserve">Në datën 23.10.2019 kërkuesit e kanë kundërshtuar vlerësimin e bërë nga ATP-ja në Gjykatën Administrative të Apelit. </w:t>
      </w:r>
    </w:p>
    <w:p w:rsidR="004C5BB3" w:rsidRPr="007B74E0" w:rsidRDefault="00DD6739" w:rsidP="004C5BB3">
      <w:pPr>
        <w:numPr>
          <w:ilvl w:val="0"/>
          <w:numId w:val="1"/>
        </w:numPr>
        <w:tabs>
          <w:tab w:val="left" w:pos="990"/>
        </w:tabs>
        <w:autoSpaceDE w:val="0"/>
        <w:autoSpaceDN w:val="0"/>
        <w:adjustRightInd w:val="0"/>
        <w:spacing w:after="0" w:line="360" w:lineRule="auto"/>
        <w:ind w:left="0" w:firstLine="630"/>
        <w:jc w:val="both"/>
        <w:rPr>
          <w:rFonts w:ascii="Times New Roman" w:hAnsi="Times New Roman"/>
          <w:sz w:val="24"/>
          <w:szCs w:val="24"/>
          <w:lang w:val="sq-AL" w:eastAsia="fr-FR"/>
        </w:rPr>
      </w:pPr>
      <w:r w:rsidRPr="007B74E0">
        <w:rPr>
          <w:rFonts w:ascii="Times New Roman" w:hAnsi="Times New Roman"/>
          <w:sz w:val="24"/>
          <w:szCs w:val="24"/>
          <w:lang w:val="sq-AL" w:eastAsia="fr-FR"/>
        </w:rPr>
        <w:t xml:space="preserve">Duke i konsideruar si në kundërshtim me Kushtetutën </w:t>
      </w:r>
      <w:r w:rsidR="00A52998">
        <w:rPr>
          <w:rFonts w:ascii="Times New Roman" w:hAnsi="Times New Roman"/>
          <w:sz w:val="24"/>
          <w:szCs w:val="24"/>
          <w:lang w:val="sq-AL" w:eastAsia="fr-FR"/>
        </w:rPr>
        <w:t xml:space="preserve">e Republikës së Shqipërisë </w:t>
      </w:r>
      <w:r w:rsidRPr="007B74E0">
        <w:rPr>
          <w:rFonts w:ascii="Times New Roman" w:hAnsi="Times New Roman"/>
          <w:sz w:val="24"/>
          <w:szCs w:val="24"/>
          <w:lang w:val="sq-AL" w:eastAsia="fr-FR"/>
        </w:rPr>
        <w:t>dispozitat e nen</w:t>
      </w:r>
      <w:r w:rsidR="00A52998">
        <w:rPr>
          <w:rFonts w:ascii="Times New Roman" w:hAnsi="Times New Roman"/>
          <w:sz w:val="24"/>
          <w:szCs w:val="24"/>
          <w:lang w:val="sq-AL" w:eastAsia="fr-FR"/>
        </w:rPr>
        <w:t>eve</w:t>
      </w:r>
      <w:r w:rsidRPr="007B74E0">
        <w:rPr>
          <w:rFonts w:ascii="Times New Roman" w:hAnsi="Times New Roman"/>
          <w:sz w:val="24"/>
          <w:szCs w:val="24"/>
          <w:lang w:val="sq-AL" w:eastAsia="fr-FR"/>
        </w:rPr>
        <w:t xml:space="preserve"> </w:t>
      </w:r>
      <w:r w:rsidR="007B74E0">
        <w:rPr>
          <w:rFonts w:ascii="Times New Roman" w:hAnsi="Times New Roman"/>
          <w:sz w:val="24"/>
          <w:szCs w:val="24"/>
          <w:lang w:val="sq-AL" w:eastAsia="fr-FR"/>
        </w:rPr>
        <w:t>6, pika 1, shkronja “b” dhe 7, pika 2, shkronjat “a” dhe “b”</w:t>
      </w:r>
      <w:r w:rsidR="00A52998">
        <w:rPr>
          <w:rFonts w:ascii="Times New Roman" w:hAnsi="Times New Roman"/>
          <w:sz w:val="24"/>
          <w:szCs w:val="24"/>
          <w:lang w:val="sq-AL" w:eastAsia="fr-FR"/>
        </w:rPr>
        <w:t>,</w:t>
      </w:r>
      <w:r w:rsidR="007B74E0">
        <w:rPr>
          <w:rFonts w:ascii="Times New Roman" w:hAnsi="Times New Roman"/>
          <w:sz w:val="24"/>
          <w:szCs w:val="24"/>
          <w:lang w:val="sq-AL" w:eastAsia="fr-FR"/>
        </w:rPr>
        <w:t xml:space="preserve"> </w:t>
      </w:r>
      <w:r w:rsidRPr="007B74E0">
        <w:rPr>
          <w:rFonts w:ascii="Times New Roman" w:hAnsi="Times New Roman"/>
          <w:sz w:val="24"/>
          <w:szCs w:val="24"/>
          <w:lang w:val="sq-AL" w:eastAsia="fr-FR"/>
        </w:rPr>
        <w:t xml:space="preserve">të ligjit </w:t>
      </w:r>
      <w:r w:rsidR="007B74E0">
        <w:rPr>
          <w:rFonts w:ascii="Times New Roman" w:hAnsi="Times New Roman"/>
          <w:sz w:val="24"/>
          <w:szCs w:val="24"/>
          <w:lang w:val="sq-AL" w:eastAsia="fr-FR"/>
        </w:rPr>
        <w:t>nr. 133/2015</w:t>
      </w:r>
      <w:r w:rsidRPr="007B74E0">
        <w:rPr>
          <w:rFonts w:ascii="Times New Roman" w:hAnsi="Times New Roman"/>
          <w:sz w:val="24"/>
          <w:szCs w:val="24"/>
          <w:lang w:val="sq-AL" w:eastAsia="fr-FR"/>
        </w:rPr>
        <w:t xml:space="preserve">, me kërkesën e datës 30.10.2019 kërkuesit i janë drejtuar Gjykatës Kushtetuese </w:t>
      </w:r>
      <w:r w:rsidR="00A52998">
        <w:rPr>
          <w:rFonts w:ascii="Times New Roman" w:hAnsi="Times New Roman"/>
          <w:sz w:val="24"/>
          <w:szCs w:val="24"/>
          <w:lang w:val="sq-AL" w:eastAsia="fr-FR"/>
        </w:rPr>
        <w:t>sipas objektit të saj</w:t>
      </w:r>
      <w:r w:rsidRPr="007B74E0">
        <w:rPr>
          <w:rFonts w:ascii="Times New Roman" w:hAnsi="Times New Roman"/>
          <w:sz w:val="24"/>
          <w:szCs w:val="24"/>
          <w:lang w:val="sq-AL" w:eastAsia="fr-FR"/>
        </w:rPr>
        <w:t>.</w:t>
      </w:r>
    </w:p>
    <w:p w:rsidR="004C5BB3" w:rsidRPr="007B74E0" w:rsidRDefault="00DD6739" w:rsidP="004C5BB3">
      <w:pPr>
        <w:numPr>
          <w:ilvl w:val="0"/>
          <w:numId w:val="1"/>
        </w:numPr>
        <w:tabs>
          <w:tab w:val="left" w:pos="990"/>
        </w:tabs>
        <w:autoSpaceDE w:val="0"/>
        <w:autoSpaceDN w:val="0"/>
        <w:adjustRightInd w:val="0"/>
        <w:spacing w:after="0" w:line="360" w:lineRule="auto"/>
        <w:ind w:left="0" w:firstLine="630"/>
        <w:jc w:val="both"/>
        <w:rPr>
          <w:rFonts w:ascii="Times New Roman" w:hAnsi="Times New Roman"/>
          <w:sz w:val="24"/>
          <w:szCs w:val="24"/>
          <w:lang w:val="sq-AL" w:eastAsia="fr-FR"/>
        </w:rPr>
      </w:pPr>
      <w:r w:rsidRPr="007B74E0">
        <w:rPr>
          <w:rFonts w:ascii="Times New Roman" w:eastAsia="MS Mincho" w:hAnsi="Times New Roman"/>
          <w:sz w:val="24"/>
          <w:szCs w:val="24"/>
          <w:lang w:val="sq-AL"/>
        </w:rPr>
        <w:lastRenderedPageBreak/>
        <w:t xml:space="preserve">Me vendimin e datës </w:t>
      </w:r>
      <w:r w:rsidRPr="007B74E0">
        <w:rPr>
          <w:rFonts w:ascii="Times New Roman" w:hAnsi="Times New Roman"/>
          <w:sz w:val="24"/>
          <w:szCs w:val="24"/>
          <w:lang w:val="sq-AL" w:eastAsia="fr-FR"/>
        </w:rPr>
        <w:t xml:space="preserve">26.12.2019, </w:t>
      </w:r>
      <w:r w:rsidR="00F44866" w:rsidRPr="007B74E0">
        <w:rPr>
          <w:rFonts w:ascii="Times New Roman" w:eastAsia="MS Mincho" w:hAnsi="Times New Roman"/>
          <w:sz w:val="24"/>
          <w:szCs w:val="24"/>
          <w:lang w:val="sq-AL"/>
        </w:rPr>
        <w:t>Kolegji i Gjykatës Kushtetuese, bazuar në nenin 31</w:t>
      </w:r>
      <w:r w:rsidR="00A425CB" w:rsidRPr="007B74E0">
        <w:rPr>
          <w:rFonts w:ascii="Times New Roman" w:eastAsia="MS Mincho" w:hAnsi="Times New Roman"/>
          <w:sz w:val="24"/>
          <w:szCs w:val="24"/>
          <w:lang w:val="sq-AL"/>
        </w:rPr>
        <w:t>,</w:t>
      </w:r>
      <w:r w:rsidR="00F44866" w:rsidRPr="007B74E0">
        <w:rPr>
          <w:rFonts w:ascii="Times New Roman" w:eastAsia="MS Mincho" w:hAnsi="Times New Roman"/>
          <w:sz w:val="24"/>
          <w:szCs w:val="24"/>
          <w:lang w:val="sq-AL"/>
        </w:rPr>
        <w:t xml:space="preserve"> pika 3</w:t>
      </w:r>
      <w:r w:rsidR="00A425CB" w:rsidRPr="007B74E0">
        <w:rPr>
          <w:rFonts w:ascii="Times New Roman" w:eastAsia="MS Mincho" w:hAnsi="Times New Roman"/>
          <w:sz w:val="24"/>
          <w:szCs w:val="24"/>
          <w:lang w:val="sq-AL"/>
        </w:rPr>
        <w:t>,</w:t>
      </w:r>
      <w:r w:rsidR="00F44866" w:rsidRPr="007B74E0">
        <w:rPr>
          <w:rFonts w:ascii="Times New Roman" w:eastAsia="MS Mincho" w:hAnsi="Times New Roman"/>
          <w:sz w:val="24"/>
          <w:szCs w:val="24"/>
          <w:lang w:val="sq-AL"/>
        </w:rPr>
        <w:t xml:space="preserve"> të ligjit nr. 8577/2000, ka vendosur kalimin e kësaj çështje</w:t>
      </w:r>
      <w:r w:rsidR="00A9259C" w:rsidRPr="007B74E0">
        <w:rPr>
          <w:rFonts w:ascii="Times New Roman" w:eastAsia="MS Mincho" w:hAnsi="Times New Roman"/>
          <w:sz w:val="24"/>
          <w:szCs w:val="24"/>
          <w:lang w:val="sq-AL"/>
        </w:rPr>
        <w:t>je</w:t>
      </w:r>
      <w:r w:rsidR="00F44866" w:rsidRPr="007B74E0">
        <w:rPr>
          <w:rFonts w:ascii="Times New Roman" w:eastAsia="MS Mincho" w:hAnsi="Times New Roman"/>
          <w:sz w:val="24"/>
          <w:szCs w:val="24"/>
          <w:lang w:val="sq-AL"/>
        </w:rPr>
        <w:t xml:space="preserve"> për shq</w:t>
      </w:r>
      <w:r w:rsidR="00CE09B2" w:rsidRPr="007B74E0">
        <w:rPr>
          <w:rFonts w:ascii="Times New Roman" w:eastAsia="MS Mincho" w:hAnsi="Times New Roman"/>
          <w:sz w:val="24"/>
          <w:szCs w:val="24"/>
          <w:lang w:val="sq-AL"/>
        </w:rPr>
        <w:t xml:space="preserve">yrtim në Mbledhjen e Gjyqtarëve. </w:t>
      </w:r>
    </w:p>
    <w:p w:rsidR="00F66CEA" w:rsidRPr="007B74E0" w:rsidRDefault="00AB6778" w:rsidP="004C5BB3">
      <w:pPr>
        <w:numPr>
          <w:ilvl w:val="0"/>
          <w:numId w:val="1"/>
        </w:numPr>
        <w:tabs>
          <w:tab w:val="left" w:pos="990"/>
        </w:tabs>
        <w:autoSpaceDE w:val="0"/>
        <w:autoSpaceDN w:val="0"/>
        <w:adjustRightInd w:val="0"/>
        <w:spacing w:after="0" w:line="360" w:lineRule="auto"/>
        <w:ind w:left="0" w:firstLine="630"/>
        <w:jc w:val="both"/>
        <w:rPr>
          <w:rFonts w:ascii="Times New Roman" w:hAnsi="Times New Roman"/>
          <w:sz w:val="24"/>
          <w:szCs w:val="24"/>
          <w:lang w:val="sq-AL" w:eastAsia="fr-FR"/>
        </w:rPr>
      </w:pPr>
      <w:r w:rsidRPr="007B74E0">
        <w:rPr>
          <w:rFonts w:ascii="Times New Roman" w:eastAsia="MS Mincho" w:hAnsi="Times New Roman"/>
          <w:sz w:val="24"/>
          <w:szCs w:val="24"/>
          <w:lang w:val="sq-AL"/>
        </w:rPr>
        <w:t xml:space="preserve">Nga të dhënat në faqen zyrtare të Gjykatës Administrative të Apelit, rezulton se kjo çështje është planifikuar të shqyrtohet në seancë gjyqësore në datën 06.04.2021. </w:t>
      </w:r>
    </w:p>
    <w:p w:rsidR="007B74E0" w:rsidRDefault="007B74E0" w:rsidP="007B74E0">
      <w:pPr>
        <w:tabs>
          <w:tab w:val="left" w:pos="990"/>
        </w:tabs>
        <w:autoSpaceDE w:val="0"/>
        <w:autoSpaceDN w:val="0"/>
        <w:adjustRightInd w:val="0"/>
        <w:spacing w:after="0" w:line="360" w:lineRule="auto"/>
        <w:jc w:val="both"/>
        <w:rPr>
          <w:rFonts w:ascii="Times New Roman" w:eastAsia="MS Mincho" w:hAnsi="Times New Roman"/>
          <w:sz w:val="24"/>
          <w:szCs w:val="24"/>
          <w:lang w:val="sq-AL"/>
        </w:rPr>
      </w:pPr>
    </w:p>
    <w:p w:rsidR="004A2AF1" w:rsidRPr="007B74E0" w:rsidRDefault="00BC00C3" w:rsidP="004A2AF1">
      <w:pPr>
        <w:pStyle w:val="ListParagraph"/>
        <w:tabs>
          <w:tab w:val="left" w:pos="990"/>
        </w:tabs>
        <w:spacing w:after="0" w:line="360" w:lineRule="auto"/>
        <w:ind w:left="0"/>
        <w:jc w:val="center"/>
        <w:rPr>
          <w:rFonts w:ascii="Times New Roman" w:hAnsi="Times New Roman"/>
          <w:b/>
          <w:sz w:val="24"/>
          <w:szCs w:val="24"/>
          <w:lang w:val="sq-AL"/>
        </w:rPr>
      </w:pPr>
      <w:r w:rsidRPr="007B74E0">
        <w:rPr>
          <w:rFonts w:ascii="Times New Roman" w:hAnsi="Times New Roman"/>
          <w:b/>
          <w:sz w:val="24"/>
          <w:szCs w:val="24"/>
          <w:lang w:val="sq-AL"/>
        </w:rPr>
        <w:t>II</w:t>
      </w:r>
    </w:p>
    <w:p w:rsidR="004A2AF1" w:rsidRPr="007B74E0" w:rsidRDefault="00BC00C3" w:rsidP="004A2AF1">
      <w:pPr>
        <w:pStyle w:val="ListParagraph"/>
        <w:tabs>
          <w:tab w:val="left" w:pos="990"/>
        </w:tabs>
        <w:spacing w:after="0" w:line="360" w:lineRule="auto"/>
        <w:ind w:left="0"/>
        <w:jc w:val="center"/>
        <w:rPr>
          <w:rFonts w:ascii="Times New Roman" w:hAnsi="Times New Roman"/>
          <w:sz w:val="24"/>
          <w:szCs w:val="24"/>
          <w:lang w:val="sq-AL"/>
        </w:rPr>
      </w:pPr>
      <w:r w:rsidRPr="007B74E0">
        <w:rPr>
          <w:rFonts w:ascii="Times New Roman" w:hAnsi="Times New Roman"/>
          <w:b/>
          <w:sz w:val="24"/>
          <w:szCs w:val="24"/>
          <w:lang w:val="sq-AL"/>
        </w:rPr>
        <w:t>Pretendimet në Gjykatën Kushtetuese</w:t>
      </w:r>
    </w:p>
    <w:p w:rsidR="004A2AF1" w:rsidRPr="007B74E0" w:rsidRDefault="00DD6739" w:rsidP="004A2AF1">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B74E0">
        <w:rPr>
          <w:rFonts w:ascii="Times New Roman" w:eastAsia="Times New Roman" w:hAnsi="Times New Roman"/>
          <w:b/>
          <w:i/>
          <w:sz w:val="24"/>
          <w:szCs w:val="24"/>
          <w:lang w:val="sq-AL"/>
        </w:rPr>
        <w:t>Kërkuesit</w:t>
      </w:r>
      <w:r w:rsidR="00A52998">
        <w:rPr>
          <w:rFonts w:ascii="Times New Roman" w:eastAsia="Times New Roman" w:hAnsi="Times New Roman"/>
          <w:b/>
          <w:i/>
          <w:sz w:val="24"/>
          <w:szCs w:val="24"/>
          <w:lang w:val="sq-AL"/>
        </w:rPr>
        <w:t>,</w:t>
      </w:r>
      <w:r w:rsidRPr="007B74E0">
        <w:rPr>
          <w:rFonts w:ascii="Times New Roman" w:hAnsi="Times New Roman"/>
          <w:b/>
          <w:i/>
          <w:sz w:val="24"/>
          <w:szCs w:val="24"/>
          <w:lang w:val="sq-AL" w:eastAsia="fr-FR"/>
        </w:rPr>
        <w:t xml:space="preserve"> </w:t>
      </w:r>
      <w:r w:rsidRPr="007B74E0">
        <w:rPr>
          <w:rFonts w:ascii="Times New Roman" w:hAnsi="Times New Roman"/>
          <w:sz w:val="24"/>
          <w:szCs w:val="24"/>
          <w:lang w:val="sq-AL"/>
        </w:rPr>
        <w:t>në mënyrë të përmbledhur,</w:t>
      </w:r>
      <w:r w:rsidRPr="007B74E0">
        <w:rPr>
          <w:rFonts w:ascii="Times New Roman" w:hAnsi="Times New Roman"/>
          <w:sz w:val="24"/>
          <w:szCs w:val="24"/>
          <w:bdr w:val="none" w:sz="0" w:space="0" w:color="auto" w:frame="1"/>
          <w:lang w:val="sq-AL"/>
        </w:rPr>
        <w:t xml:space="preserve"> kanë </w:t>
      </w:r>
      <w:r w:rsidRPr="007B74E0">
        <w:rPr>
          <w:rFonts w:ascii="Times New Roman" w:hAnsi="Times New Roman"/>
          <w:sz w:val="24"/>
          <w:szCs w:val="24"/>
          <w:lang w:val="sq-AL"/>
        </w:rPr>
        <w:t>parashtruar këto argumente në kërkesën drejtuar Gjykatës Kushtetuese:</w:t>
      </w:r>
    </w:p>
    <w:p w:rsidR="00F66CEA" w:rsidRPr="007B74E0" w:rsidRDefault="00A52998" w:rsidP="00F66CEA">
      <w:pPr>
        <w:pStyle w:val="ListParagraph"/>
        <w:numPr>
          <w:ilvl w:val="1"/>
          <w:numId w:val="1"/>
        </w:numPr>
        <w:tabs>
          <w:tab w:val="left" w:pos="990"/>
          <w:tab w:val="left" w:pos="1080"/>
        </w:tabs>
        <w:spacing w:after="0" w:line="360" w:lineRule="auto"/>
        <w:jc w:val="both"/>
        <w:rPr>
          <w:rFonts w:ascii="Times New Roman" w:hAnsi="Times New Roman"/>
          <w:sz w:val="24"/>
          <w:szCs w:val="24"/>
          <w:lang w:val="sq-AL"/>
        </w:rPr>
      </w:pPr>
      <w:r>
        <w:rPr>
          <w:rFonts w:ascii="Times New Roman" w:hAnsi="Times New Roman"/>
          <w:bCs/>
          <w:sz w:val="24"/>
          <w:szCs w:val="24"/>
          <w:lang w:val="sq-AL"/>
        </w:rPr>
        <w:t xml:space="preserve"> </w:t>
      </w:r>
      <w:r w:rsidR="00DD6739" w:rsidRPr="007B74E0">
        <w:rPr>
          <w:rFonts w:ascii="Times New Roman" w:hAnsi="Times New Roman"/>
          <w:bCs/>
          <w:sz w:val="24"/>
          <w:szCs w:val="24"/>
          <w:lang w:val="sq-AL"/>
        </w:rPr>
        <w:t xml:space="preserve">Kërkuesit e kanë kundërshtuar vlerësimin e bërë nga ATP-ja në Gjykatën Administrative të Apelit, por kjo gjykatë nuk mund të gjykojë </w:t>
      </w:r>
      <w:r>
        <w:rPr>
          <w:rFonts w:ascii="Times New Roman" w:hAnsi="Times New Roman"/>
          <w:bCs/>
          <w:sz w:val="24"/>
          <w:szCs w:val="24"/>
          <w:lang w:val="sq-AL"/>
        </w:rPr>
        <w:t xml:space="preserve">për </w:t>
      </w:r>
      <w:r w:rsidR="00DD6739" w:rsidRPr="007B74E0">
        <w:rPr>
          <w:rFonts w:ascii="Times New Roman" w:hAnsi="Times New Roman"/>
          <w:bCs/>
          <w:sz w:val="24"/>
          <w:szCs w:val="24"/>
          <w:lang w:val="sq-AL"/>
        </w:rPr>
        <w:t xml:space="preserve">pajtueshmërinë me parimin e sigurisë juridike, interesit publik, domosdoshmërisë dhe </w:t>
      </w:r>
      <w:proofErr w:type="spellStart"/>
      <w:r w:rsidR="00DD6739" w:rsidRPr="007B74E0">
        <w:rPr>
          <w:rFonts w:ascii="Times New Roman" w:hAnsi="Times New Roman"/>
          <w:bCs/>
          <w:sz w:val="24"/>
          <w:szCs w:val="24"/>
          <w:lang w:val="sq-AL"/>
        </w:rPr>
        <w:t>proporcionalitetit</w:t>
      </w:r>
      <w:proofErr w:type="spellEnd"/>
      <w:r w:rsidR="00DD6739" w:rsidRPr="007B74E0">
        <w:rPr>
          <w:rFonts w:ascii="Times New Roman" w:hAnsi="Times New Roman"/>
          <w:bCs/>
          <w:sz w:val="24"/>
          <w:szCs w:val="24"/>
          <w:lang w:val="sq-AL"/>
        </w:rPr>
        <w:t xml:space="preserve"> të kufizimeve të </w:t>
      </w:r>
      <w:r>
        <w:rPr>
          <w:rFonts w:ascii="Times New Roman" w:hAnsi="Times New Roman"/>
          <w:bCs/>
          <w:sz w:val="24"/>
          <w:szCs w:val="24"/>
          <w:lang w:val="sq-AL"/>
        </w:rPr>
        <w:t>dispozitave</w:t>
      </w:r>
      <w:r w:rsidR="00DD6739" w:rsidRPr="007B74E0">
        <w:rPr>
          <w:rFonts w:ascii="Times New Roman" w:hAnsi="Times New Roman"/>
          <w:bCs/>
          <w:sz w:val="24"/>
          <w:szCs w:val="24"/>
          <w:lang w:val="sq-AL"/>
        </w:rPr>
        <w:t xml:space="preserve"> të kundërshtuara</w:t>
      </w:r>
      <w:r w:rsidR="00F66CEA" w:rsidRPr="007B74E0">
        <w:rPr>
          <w:rFonts w:ascii="Times New Roman" w:hAnsi="Times New Roman"/>
          <w:bCs/>
          <w:sz w:val="24"/>
          <w:szCs w:val="24"/>
          <w:lang w:val="sq-AL"/>
        </w:rPr>
        <w:t>, ndaj i</w:t>
      </w:r>
      <w:r w:rsidR="00DD6739" w:rsidRPr="007B74E0">
        <w:rPr>
          <w:rFonts w:ascii="Times New Roman" w:hAnsi="Times New Roman"/>
          <w:bCs/>
          <w:sz w:val="24"/>
          <w:szCs w:val="24"/>
          <w:lang w:val="sq-AL"/>
        </w:rPr>
        <w:t xml:space="preserve"> vetmi mjet ligjor për të kundërshtuar kufizimin </w:t>
      </w:r>
      <w:proofErr w:type="spellStart"/>
      <w:r w:rsidR="00DD6739" w:rsidRPr="007B74E0">
        <w:rPr>
          <w:rFonts w:ascii="Times New Roman" w:hAnsi="Times New Roman"/>
          <w:bCs/>
          <w:sz w:val="24"/>
          <w:szCs w:val="24"/>
          <w:lang w:val="sq-AL"/>
        </w:rPr>
        <w:t>jokushtetues</w:t>
      </w:r>
      <w:proofErr w:type="spellEnd"/>
      <w:r w:rsidR="00DD6739" w:rsidRPr="007B74E0">
        <w:rPr>
          <w:rFonts w:ascii="Times New Roman" w:hAnsi="Times New Roman"/>
          <w:bCs/>
          <w:sz w:val="24"/>
          <w:szCs w:val="24"/>
          <w:lang w:val="sq-AL"/>
        </w:rPr>
        <w:t xml:space="preserve"> që i bëhet të drejtës </w:t>
      </w:r>
      <w:r w:rsidR="00F66CEA" w:rsidRPr="007B74E0">
        <w:rPr>
          <w:rFonts w:ascii="Times New Roman" w:hAnsi="Times New Roman"/>
          <w:bCs/>
          <w:sz w:val="24"/>
          <w:szCs w:val="24"/>
          <w:lang w:val="sq-AL"/>
        </w:rPr>
        <w:t>s</w:t>
      </w:r>
      <w:r w:rsidR="00DD6739" w:rsidRPr="007B74E0">
        <w:rPr>
          <w:rFonts w:ascii="Times New Roman" w:hAnsi="Times New Roman"/>
          <w:bCs/>
          <w:sz w:val="24"/>
          <w:szCs w:val="24"/>
          <w:lang w:val="sq-AL"/>
        </w:rPr>
        <w:t xml:space="preserve">ë pronës është ankimi kushtetues individual. </w:t>
      </w:r>
    </w:p>
    <w:p w:rsidR="00F66CEA" w:rsidRPr="007B74E0" w:rsidRDefault="00A52998" w:rsidP="00F66CEA">
      <w:pPr>
        <w:pStyle w:val="ListParagraph"/>
        <w:numPr>
          <w:ilvl w:val="1"/>
          <w:numId w:val="1"/>
        </w:numPr>
        <w:tabs>
          <w:tab w:val="left" w:pos="990"/>
          <w:tab w:val="left" w:pos="1080"/>
        </w:tabs>
        <w:spacing w:after="0" w:line="360" w:lineRule="auto"/>
        <w:jc w:val="both"/>
        <w:rPr>
          <w:rFonts w:ascii="Times New Roman" w:hAnsi="Times New Roman"/>
          <w:sz w:val="24"/>
          <w:szCs w:val="24"/>
          <w:lang w:val="sq-AL"/>
        </w:rPr>
      </w:pPr>
      <w:r>
        <w:rPr>
          <w:rFonts w:ascii="Times New Roman" w:hAnsi="Times New Roman"/>
          <w:bCs/>
          <w:sz w:val="24"/>
          <w:szCs w:val="24"/>
          <w:lang w:val="sq-AL"/>
        </w:rPr>
        <w:t xml:space="preserve"> </w:t>
      </w:r>
      <w:r w:rsidR="00DD6739" w:rsidRPr="007B74E0">
        <w:rPr>
          <w:rFonts w:ascii="Times New Roman" w:hAnsi="Times New Roman"/>
          <w:bCs/>
          <w:sz w:val="24"/>
          <w:szCs w:val="24"/>
          <w:lang w:val="sq-AL"/>
        </w:rPr>
        <w:t>Dispozitat ligjore të kundërshtuara cenojnë parimin e sigurisë juridike</w:t>
      </w:r>
      <w:r w:rsidR="00F66CEA" w:rsidRPr="007B74E0">
        <w:rPr>
          <w:rFonts w:ascii="Times New Roman" w:hAnsi="Times New Roman"/>
          <w:bCs/>
          <w:sz w:val="24"/>
          <w:szCs w:val="24"/>
          <w:lang w:val="sq-AL"/>
        </w:rPr>
        <w:t xml:space="preserve">, i cili është evidentuar në vendimin </w:t>
      </w:r>
      <w:r w:rsidR="00DD6739" w:rsidRPr="007B74E0">
        <w:rPr>
          <w:rFonts w:ascii="Times New Roman" w:hAnsi="Times New Roman"/>
          <w:bCs/>
          <w:sz w:val="24"/>
          <w:szCs w:val="24"/>
          <w:lang w:val="sq-AL"/>
        </w:rPr>
        <w:t>nr.</w:t>
      </w:r>
      <w:r w:rsidR="00F66CEA" w:rsidRPr="007B74E0">
        <w:rPr>
          <w:rFonts w:ascii="Times New Roman" w:hAnsi="Times New Roman"/>
          <w:bCs/>
          <w:sz w:val="24"/>
          <w:szCs w:val="24"/>
          <w:lang w:val="sq-AL"/>
        </w:rPr>
        <w:t xml:space="preserve"> </w:t>
      </w:r>
      <w:r w:rsidR="00DD6739" w:rsidRPr="007B74E0">
        <w:rPr>
          <w:rFonts w:ascii="Times New Roman" w:hAnsi="Times New Roman"/>
          <w:bCs/>
          <w:sz w:val="24"/>
          <w:szCs w:val="24"/>
          <w:lang w:val="sq-AL"/>
        </w:rPr>
        <w:t>1/2017</w:t>
      </w:r>
      <w:r w:rsidR="00F66CEA" w:rsidRPr="007B74E0">
        <w:rPr>
          <w:rFonts w:ascii="Times New Roman" w:hAnsi="Times New Roman"/>
          <w:bCs/>
          <w:sz w:val="24"/>
          <w:szCs w:val="24"/>
          <w:lang w:val="sq-AL"/>
        </w:rPr>
        <w:t xml:space="preserve"> të </w:t>
      </w:r>
      <w:r w:rsidR="00DD6739" w:rsidRPr="007B74E0">
        <w:rPr>
          <w:rFonts w:ascii="Times New Roman" w:hAnsi="Times New Roman"/>
          <w:bCs/>
          <w:sz w:val="24"/>
          <w:szCs w:val="24"/>
          <w:lang w:val="sq-AL"/>
        </w:rPr>
        <w:t>Gjykat</w:t>
      </w:r>
      <w:r w:rsidR="00F66CEA" w:rsidRPr="007B74E0">
        <w:rPr>
          <w:rFonts w:ascii="Times New Roman" w:hAnsi="Times New Roman"/>
          <w:bCs/>
          <w:sz w:val="24"/>
          <w:szCs w:val="24"/>
          <w:lang w:val="sq-AL"/>
        </w:rPr>
        <w:t>ës</w:t>
      </w:r>
      <w:r w:rsidR="00DD6739" w:rsidRPr="007B74E0">
        <w:rPr>
          <w:rFonts w:ascii="Times New Roman" w:hAnsi="Times New Roman"/>
          <w:bCs/>
          <w:sz w:val="24"/>
          <w:szCs w:val="24"/>
          <w:lang w:val="sq-AL"/>
        </w:rPr>
        <w:t xml:space="preserve"> Kushtetuese </w:t>
      </w:r>
      <w:r w:rsidR="00F66CEA" w:rsidRPr="007B74E0">
        <w:rPr>
          <w:rFonts w:ascii="Times New Roman" w:hAnsi="Times New Roman"/>
          <w:bCs/>
          <w:sz w:val="24"/>
          <w:szCs w:val="24"/>
          <w:lang w:val="sq-AL"/>
        </w:rPr>
        <w:t>në lidhje me</w:t>
      </w:r>
      <w:r w:rsidR="00DD6739" w:rsidRPr="007B74E0">
        <w:rPr>
          <w:rFonts w:ascii="Times New Roman" w:hAnsi="Times New Roman"/>
          <w:bCs/>
          <w:sz w:val="24"/>
          <w:szCs w:val="24"/>
          <w:lang w:val="sq-AL"/>
        </w:rPr>
        <w:t xml:space="preserve"> parashikime</w:t>
      </w:r>
      <w:r w:rsidR="00F66CEA" w:rsidRPr="007B74E0">
        <w:rPr>
          <w:rFonts w:ascii="Times New Roman" w:hAnsi="Times New Roman"/>
          <w:bCs/>
          <w:sz w:val="24"/>
          <w:szCs w:val="24"/>
          <w:lang w:val="sq-AL"/>
        </w:rPr>
        <w:t>t e</w:t>
      </w:r>
      <w:r w:rsidR="00DD6739" w:rsidRPr="007B74E0">
        <w:rPr>
          <w:rFonts w:ascii="Times New Roman" w:hAnsi="Times New Roman"/>
          <w:bCs/>
          <w:sz w:val="24"/>
          <w:szCs w:val="24"/>
          <w:lang w:val="sq-AL"/>
        </w:rPr>
        <w:t xml:space="preserve"> pikave 3 dhe 5 të nenit 6 të ligjit nr.</w:t>
      </w:r>
      <w:r w:rsidR="00F66CEA" w:rsidRPr="007B74E0">
        <w:rPr>
          <w:rFonts w:ascii="Times New Roman" w:hAnsi="Times New Roman"/>
          <w:bCs/>
          <w:sz w:val="24"/>
          <w:szCs w:val="24"/>
          <w:lang w:val="sq-AL"/>
        </w:rPr>
        <w:t xml:space="preserve"> </w:t>
      </w:r>
      <w:r w:rsidR="00DD6739" w:rsidRPr="007B74E0">
        <w:rPr>
          <w:rFonts w:ascii="Times New Roman" w:hAnsi="Times New Roman"/>
          <w:bCs/>
          <w:sz w:val="24"/>
          <w:szCs w:val="24"/>
          <w:lang w:val="sq-AL"/>
        </w:rPr>
        <w:t>133/2015</w:t>
      </w:r>
      <w:r w:rsidR="00F66CEA" w:rsidRPr="007B74E0">
        <w:rPr>
          <w:rFonts w:ascii="Times New Roman" w:hAnsi="Times New Roman"/>
          <w:bCs/>
          <w:sz w:val="24"/>
          <w:szCs w:val="24"/>
          <w:lang w:val="sq-AL"/>
        </w:rPr>
        <w:t>, por që</w:t>
      </w:r>
      <w:r w:rsidR="00DD6739" w:rsidRPr="007B74E0">
        <w:rPr>
          <w:rFonts w:ascii="Times New Roman" w:hAnsi="Times New Roman"/>
          <w:bCs/>
          <w:sz w:val="24"/>
          <w:szCs w:val="24"/>
          <w:lang w:val="sq-AL"/>
        </w:rPr>
        <w:t xml:space="preserve"> shfaqet edhe në përmbajtjen e </w:t>
      </w:r>
      <w:r>
        <w:rPr>
          <w:rFonts w:ascii="Times New Roman" w:hAnsi="Times New Roman"/>
          <w:bCs/>
          <w:sz w:val="24"/>
          <w:szCs w:val="24"/>
          <w:lang w:val="sq-AL"/>
        </w:rPr>
        <w:t>tyre dhe që</w:t>
      </w:r>
      <w:r w:rsidR="00F66CEA" w:rsidRPr="007B74E0">
        <w:rPr>
          <w:rFonts w:ascii="Times New Roman" w:hAnsi="Times New Roman"/>
          <w:bCs/>
          <w:sz w:val="24"/>
          <w:szCs w:val="24"/>
          <w:lang w:val="sq-AL"/>
        </w:rPr>
        <w:t xml:space="preserve"> përbën një shpronësim të ri.</w:t>
      </w:r>
    </w:p>
    <w:p w:rsidR="00F66CEA" w:rsidRPr="007B74E0" w:rsidRDefault="00A52998" w:rsidP="00F66CEA">
      <w:pPr>
        <w:pStyle w:val="ListParagraph"/>
        <w:numPr>
          <w:ilvl w:val="1"/>
          <w:numId w:val="1"/>
        </w:numPr>
        <w:tabs>
          <w:tab w:val="left" w:pos="990"/>
          <w:tab w:val="left" w:pos="1080"/>
        </w:tabs>
        <w:spacing w:after="0" w:line="360" w:lineRule="auto"/>
        <w:jc w:val="both"/>
        <w:rPr>
          <w:rFonts w:ascii="Times New Roman" w:hAnsi="Times New Roman"/>
          <w:sz w:val="24"/>
          <w:szCs w:val="24"/>
          <w:lang w:val="sq-AL"/>
        </w:rPr>
      </w:pPr>
      <w:r>
        <w:rPr>
          <w:rFonts w:ascii="Times New Roman" w:hAnsi="Times New Roman"/>
          <w:bCs/>
          <w:sz w:val="24"/>
          <w:szCs w:val="24"/>
          <w:lang w:val="sq-AL"/>
        </w:rPr>
        <w:t xml:space="preserve"> </w:t>
      </w:r>
      <w:r w:rsidR="00DD6739" w:rsidRPr="007B74E0">
        <w:rPr>
          <w:rFonts w:ascii="Times New Roman" w:hAnsi="Times New Roman"/>
          <w:bCs/>
          <w:sz w:val="24"/>
          <w:szCs w:val="24"/>
          <w:lang w:val="sq-AL"/>
        </w:rPr>
        <w:t xml:space="preserve">Pas shpalljes antikushtetuese të </w:t>
      </w:r>
      <w:r w:rsidR="00F66CEA" w:rsidRPr="007B74E0">
        <w:rPr>
          <w:rFonts w:ascii="Times New Roman" w:hAnsi="Times New Roman"/>
          <w:bCs/>
          <w:sz w:val="24"/>
          <w:szCs w:val="24"/>
          <w:lang w:val="sq-AL"/>
        </w:rPr>
        <w:t>pikave 3 dhe 5</w:t>
      </w:r>
      <w:r>
        <w:rPr>
          <w:rFonts w:ascii="Times New Roman" w:hAnsi="Times New Roman"/>
          <w:bCs/>
          <w:sz w:val="24"/>
          <w:szCs w:val="24"/>
          <w:lang w:val="sq-AL"/>
        </w:rPr>
        <w:t>,</w:t>
      </w:r>
      <w:r w:rsidR="00F66CEA" w:rsidRPr="007B74E0">
        <w:rPr>
          <w:rFonts w:ascii="Times New Roman" w:hAnsi="Times New Roman"/>
          <w:bCs/>
          <w:sz w:val="24"/>
          <w:szCs w:val="24"/>
          <w:lang w:val="sq-AL"/>
        </w:rPr>
        <w:t xml:space="preserve"> të </w:t>
      </w:r>
      <w:r w:rsidR="00DD6739" w:rsidRPr="007B74E0">
        <w:rPr>
          <w:rFonts w:ascii="Times New Roman" w:hAnsi="Times New Roman"/>
          <w:bCs/>
          <w:sz w:val="24"/>
          <w:szCs w:val="24"/>
          <w:lang w:val="sq-AL"/>
        </w:rPr>
        <w:t>nen</w:t>
      </w:r>
      <w:r w:rsidR="00F66CEA" w:rsidRPr="007B74E0">
        <w:rPr>
          <w:rFonts w:ascii="Times New Roman" w:hAnsi="Times New Roman"/>
          <w:bCs/>
          <w:sz w:val="24"/>
          <w:szCs w:val="24"/>
          <w:lang w:val="sq-AL"/>
        </w:rPr>
        <w:t xml:space="preserve">it </w:t>
      </w:r>
      <w:r w:rsidR="00DD6739" w:rsidRPr="007B74E0">
        <w:rPr>
          <w:rFonts w:ascii="Times New Roman" w:hAnsi="Times New Roman"/>
          <w:bCs/>
          <w:sz w:val="24"/>
          <w:szCs w:val="24"/>
          <w:lang w:val="sq-AL"/>
        </w:rPr>
        <w:t>6 të ligjit nr.</w:t>
      </w:r>
      <w:r w:rsidR="007B74E0">
        <w:rPr>
          <w:rFonts w:ascii="Times New Roman" w:hAnsi="Times New Roman"/>
          <w:bCs/>
          <w:sz w:val="24"/>
          <w:szCs w:val="24"/>
          <w:lang w:val="sq-AL"/>
        </w:rPr>
        <w:t xml:space="preserve"> </w:t>
      </w:r>
      <w:r w:rsidR="00DD6739" w:rsidRPr="007B74E0">
        <w:rPr>
          <w:rFonts w:ascii="Times New Roman" w:hAnsi="Times New Roman"/>
          <w:bCs/>
          <w:sz w:val="24"/>
          <w:szCs w:val="24"/>
          <w:lang w:val="sq-AL"/>
        </w:rPr>
        <w:t>133/2015, përllogaritja e sipërfaqes së përfituar dhe asaj që d</w:t>
      </w:r>
      <w:r w:rsidR="00F66CEA" w:rsidRPr="007B74E0">
        <w:rPr>
          <w:rFonts w:ascii="Times New Roman" w:hAnsi="Times New Roman"/>
          <w:bCs/>
          <w:sz w:val="24"/>
          <w:szCs w:val="24"/>
          <w:lang w:val="sq-AL"/>
        </w:rPr>
        <w:t>o</w:t>
      </w:r>
      <w:r w:rsidR="00DD6739" w:rsidRPr="007B74E0">
        <w:rPr>
          <w:rFonts w:ascii="Times New Roman" w:hAnsi="Times New Roman"/>
          <w:bCs/>
          <w:sz w:val="24"/>
          <w:szCs w:val="24"/>
          <w:lang w:val="sq-AL"/>
        </w:rPr>
        <w:t xml:space="preserve"> të zbritet ose shtohet sipas formulës së parashikuar në nenin 6</w:t>
      </w:r>
      <w:r w:rsidR="00F66CEA" w:rsidRPr="007B74E0">
        <w:rPr>
          <w:rFonts w:ascii="Times New Roman" w:hAnsi="Times New Roman"/>
          <w:bCs/>
          <w:sz w:val="24"/>
          <w:szCs w:val="24"/>
          <w:lang w:val="sq-AL"/>
        </w:rPr>
        <w:t xml:space="preserve">, pika </w:t>
      </w:r>
      <w:r w:rsidR="00DD6739" w:rsidRPr="007B74E0">
        <w:rPr>
          <w:rFonts w:ascii="Times New Roman" w:hAnsi="Times New Roman"/>
          <w:bCs/>
          <w:sz w:val="24"/>
          <w:szCs w:val="24"/>
          <w:lang w:val="sq-AL"/>
        </w:rPr>
        <w:t>1</w:t>
      </w:r>
      <w:r w:rsidR="00F66CEA" w:rsidRPr="007B74E0">
        <w:rPr>
          <w:rFonts w:ascii="Times New Roman" w:hAnsi="Times New Roman"/>
          <w:bCs/>
          <w:sz w:val="24"/>
          <w:szCs w:val="24"/>
          <w:lang w:val="sq-AL"/>
        </w:rPr>
        <w:t>,</w:t>
      </w:r>
      <w:r w:rsidR="00DD6739" w:rsidRPr="007B74E0">
        <w:rPr>
          <w:rFonts w:ascii="Times New Roman" w:hAnsi="Times New Roman"/>
          <w:bCs/>
          <w:sz w:val="24"/>
          <w:szCs w:val="24"/>
          <w:lang w:val="sq-AL"/>
        </w:rPr>
        <w:t xml:space="preserve"> është e paqartë dhe krijon konfuzion </w:t>
      </w:r>
      <w:r>
        <w:rPr>
          <w:rFonts w:ascii="Times New Roman" w:hAnsi="Times New Roman"/>
          <w:bCs/>
          <w:sz w:val="24"/>
          <w:szCs w:val="24"/>
          <w:lang w:val="sq-AL"/>
        </w:rPr>
        <w:t xml:space="preserve">për </w:t>
      </w:r>
      <w:r w:rsidR="00DD6739" w:rsidRPr="007B74E0">
        <w:rPr>
          <w:rFonts w:ascii="Times New Roman" w:hAnsi="Times New Roman"/>
          <w:bCs/>
          <w:sz w:val="24"/>
          <w:szCs w:val="24"/>
          <w:lang w:val="sq-AL"/>
        </w:rPr>
        <w:t xml:space="preserve">sa u takon </w:t>
      </w:r>
      <w:proofErr w:type="spellStart"/>
      <w:r w:rsidR="00DD6739" w:rsidRPr="007B74E0">
        <w:rPr>
          <w:rFonts w:ascii="Times New Roman" w:hAnsi="Times New Roman"/>
          <w:bCs/>
          <w:sz w:val="24"/>
          <w:szCs w:val="24"/>
          <w:lang w:val="sq-AL"/>
        </w:rPr>
        <w:t>pritshmërive</w:t>
      </w:r>
      <w:proofErr w:type="spellEnd"/>
      <w:r w:rsidR="00DD6739" w:rsidRPr="007B74E0">
        <w:rPr>
          <w:rFonts w:ascii="Times New Roman" w:hAnsi="Times New Roman"/>
          <w:bCs/>
          <w:sz w:val="24"/>
          <w:szCs w:val="24"/>
          <w:lang w:val="sq-AL"/>
        </w:rPr>
        <w:t xml:space="preserve"> të ligjshme të kërkuesve, duke u cenuar të drejtën për t`u kompensuar për pj</w:t>
      </w:r>
      <w:r w:rsidR="00F66CEA" w:rsidRPr="007B74E0">
        <w:rPr>
          <w:rFonts w:ascii="Times New Roman" w:hAnsi="Times New Roman"/>
          <w:bCs/>
          <w:sz w:val="24"/>
          <w:szCs w:val="24"/>
          <w:lang w:val="sq-AL"/>
        </w:rPr>
        <w:t>esën e tyre takuese</w:t>
      </w:r>
      <w:r w:rsidR="00DD6739" w:rsidRPr="007B74E0">
        <w:rPr>
          <w:rFonts w:ascii="Times New Roman" w:hAnsi="Times New Roman"/>
          <w:bCs/>
          <w:sz w:val="24"/>
          <w:szCs w:val="24"/>
          <w:lang w:val="sq-AL"/>
        </w:rPr>
        <w:t xml:space="preserve">. </w:t>
      </w:r>
    </w:p>
    <w:p w:rsidR="00DD6739" w:rsidRPr="00A52998" w:rsidRDefault="00A52998" w:rsidP="00F66CEA">
      <w:pPr>
        <w:pStyle w:val="ListParagraph"/>
        <w:numPr>
          <w:ilvl w:val="1"/>
          <w:numId w:val="1"/>
        </w:numPr>
        <w:tabs>
          <w:tab w:val="left" w:pos="990"/>
          <w:tab w:val="left" w:pos="1080"/>
        </w:tabs>
        <w:spacing w:after="0" w:line="360" w:lineRule="auto"/>
        <w:jc w:val="both"/>
        <w:rPr>
          <w:rFonts w:ascii="Times New Roman" w:hAnsi="Times New Roman"/>
          <w:sz w:val="24"/>
          <w:szCs w:val="24"/>
          <w:lang w:val="sq-AL"/>
        </w:rPr>
      </w:pPr>
      <w:r>
        <w:rPr>
          <w:rFonts w:ascii="Times New Roman" w:hAnsi="Times New Roman"/>
          <w:bCs/>
          <w:sz w:val="24"/>
          <w:szCs w:val="24"/>
          <w:lang w:val="sq-AL"/>
        </w:rPr>
        <w:t xml:space="preserve"> </w:t>
      </w:r>
      <w:r w:rsidR="00DD6739" w:rsidRPr="007B74E0">
        <w:rPr>
          <w:rFonts w:ascii="Times New Roman" w:hAnsi="Times New Roman"/>
          <w:bCs/>
          <w:sz w:val="24"/>
          <w:szCs w:val="24"/>
          <w:lang w:val="sq-AL"/>
        </w:rPr>
        <w:t xml:space="preserve">Kërkuesve u është vënë një barrë e pajustifikuar, ajo për të pranuar përjashtimin nga </w:t>
      </w:r>
      <w:r w:rsidR="00B346E7" w:rsidRPr="007B74E0">
        <w:rPr>
          <w:rFonts w:ascii="Times New Roman" w:hAnsi="Times New Roman"/>
          <w:bCs/>
          <w:sz w:val="24"/>
          <w:szCs w:val="24"/>
          <w:lang w:val="sq-AL"/>
        </w:rPr>
        <w:t>e drejta e tyre për kompensimin</w:t>
      </w:r>
      <w:r w:rsidR="00F66CEA" w:rsidRPr="007B74E0">
        <w:rPr>
          <w:rFonts w:ascii="Times New Roman" w:hAnsi="Times New Roman"/>
          <w:bCs/>
          <w:sz w:val="24"/>
          <w:szCs w:val="24"/>
          <w:lang w:val="sq-AL"/>
        </w:rPr>
        <w:t xml:space="preserve">, e cila </w:t>
      </w:r>
      <w:r w:rsidR="00DD6739" w:rsidRPr="007B74E0">
        <w:rPr>
          <w:rFonts w:ascii="Times New Roman" w:hAnsi="Times New Roman"/>
          <w:bCs/>
          <w:sz w:val="24"/>
          <w:szCs w:val="24"/>
          <w:lang w:val="sq-AL"/>
        </w:rPr>
        <w:t xml:space="preserve">është në kundërshtim </w:t>
      </w:r>
      <w:r>
        <w:rPr>
          <w:rFonts w:ascii="Times New Roman" w:hAnsi="Times New Roman"/>
          <w:bCs/>
          <w:sz w:val="24"/>
          <w:szCs w:val="24"/>
          <w:lang w:val="sq-AL"/>
        </w:rPr>
        <w:t xml:space="preserve">edhe </w:t>
      </w:r>
      <w:r w:rsidR="00DD6739" w:rsidRPr="007B74E0">
        <w:rPr>
          <w:rFonts w:ascii="Times New Roman" w:hAnsi="Times New Roman"/>
          <w:bCs/>
          <w:sz w:val="24"/>
          <w:szCs w:val="24"/>
          <w:lang w:val="sq-AL"/>
        </w:rPr>
        <w:t xml:space="preserve">me masat e përgjithshme të sugjeruara nga GJEDNJ-ja në çështje Manushaqe </w:t>
      </w:r>
      <w:proofErr w:type="spellStart"/>
      <w:r w:rsidR="00DD6739" w:rsidRPr="007B74E0">
        <w:rPr>
          <w:rFonts w:ascii="Times New Roman" w:hAnsi="Times New Roman"/>
          <w:bCs/>
          <w:sz w:val="24"/>
          <w:szCs w:val="24"/>
          <w:lang w:val="sq-AL"/>
        </w:rPr>
        <w:t>Puto</w:t>
      </w:r>
      <w:proofErr w:type="spellEnd"/>
      <w:r w:rsidR="00DD6739" w:rsidRPr="007B74E0">
        <w:rPr>
          <w:rFonts w:ascii="Times New Roman" w:hAnsi="Times New Roman"/>
          <w:bCs/>
          <w:sz w:val="24"/>
          <w:szCs w:val="24"/>
          <w:lang w:val="sq-AL"/>
        </w:rPr>
        <w:t xml:space="preserve"> kundër Shqipërisë.</w:t>
      </w:r>
      <w:r w:rsidR="00F66CEA" w:rsidRPr="007B74E0">
        <w:rPr>
          <w:rFonts w:ascii="Times New Roman" w:hAnsi="Times New Roman"/>
          <w:bCs/>
          <w:sz w:val="24"/>
          <w:szCs w:val="24"/>
          <w:lang w:val="sq-AL"/>
        </w:rPr>
        <w:t xml:space="preserve"> P</w:t>
      </w:r>
      <w:r w:rsidR="00DD6739" w:rsidRPr="007B74E0">
        <w:rPr>
          <w:rFonts w:ascii="Times New Roman" w:hAnsi="Times New Roman"/>
          <w:bCs/>
          <w:sz w:val="24"/>
          <w:szCs w:val="24"/>
          <w:lang w:val="sq-AL"/>
        </w:rPr>
        <w:t>ërjashtimi i kërkuesve nga e drejta për kompensim</w:t>
      </w:r>
      <w:r>
        <w:rPr>
          <w:rFonts w:ascii="Times New Roman" w:hAnsi="Times New Roman"/>
          <w:bCs/>
          <w:sz w:val="24"/>
          <w:szCs w:val="24"/>
          <w:lang w:val="sq-AL"/>
        </w:rPr>
        <w:t>,</w:t>
      </w:r>
      <w:r w:rsidR="00DD6739" w:rsidRPr="007B74E0">
        <w:rPr>
          <w:rFonts w:ascii="Times New Roman" w:hAnsi="Times New Roman"/>
          <w:bCs/>
          <w:sz w:val="24"/>
          <w:szCs w:val="24"/>
          <w:lang w:val="sq-AL"/>
        </w:rPr>
        <w:t xml:space="preserve"> prej vitesh pritje që vendimi i KKKP-së të ekzekutohet, është një kufizim </w:t>
      </w:r>
      <w:proofErr w:type="spellStart"/>
      <w:r w:rsidR="00DD6739" w:rsidRPr="007B74E0">
        <w:rPr>
          <w:rFonts w:ascii="Times New Roman" w:hAnsi="Times New Roman"/>
          <w:bCs/>
          <w:sz w:val="24"/>
          <w:szCs w:val="24"/>
          <w:lang w:val="sq-AL"/>
        </w:rPr>
        <w:t>joproporcional</w:t>
      </w:r>
      <w:proofErr w:type="spellEnd"/>
      <w:r w:rsidR="00DD6739" w:rsidRPr="007B74E0">
        <w:rPr>
          <w:rFonts w:ascii="Times New Roman" w:hAnsi="Times New Roman"/>
          <w:bCs/>
          <w:sz w:val="24"/>
          <w:szCs w:val="24"/>
          <w:lang w:val="sq-AL"/>
        </w:rPr>
        <w:t xml:space="preserve"> në raport me interesin publik të </w:t>
      </w:r>
      <w:proofErr w:type="spellStart"/>
      <w:r w:rsidR="00DD6739" w:rsidRPr="007B74E0">
        <w:rPr>
          <w:rFonts w:ascii="Times New Roman" w:hAnsi="Times New Roman"/>
          <w:bCs/>
          <w:sz w:val="24"/>
          <w:szCs w:val="24"/>
          <w:lang w:val="sq-AL"/>
        </w:rPr>
        <w:t>prezumuar</w:t>
      </w:r>
      <w:proofErr w:type="spellEnd"/>
      <w:r w:rsidR="00DD6739" w:rsidRPr="007B74E0">
        <w:rPr>
          <w:rFonts w:ascii="Times New Roman" w:hAnsi="Times New Roman"/>
          <w:bCs/>
          <w:sz w:val="24"/>
          <w:szCs w:val="24"/>
          <w:lang w:val="sq-AL"/>
        </w:rPr>
        <w:t xml:space="preserve"> se i shërben.    </w:t>
      </w:r>
    </w:p>
    <w:p w:rsidR="00DD6739" w:rsidRPr="007B74E0" w:rsidRDefault="00DD6739" w:rsidP="004A2AF1">
      <w:pPr>
        <w:tabs>
          <w:tab w:val="left" w:pos="1260"/>
        </w:tabs>
        <w:spacing w:after="0" w:line="360" w:lineRule="auto"/>
        <w:ind w:left="1260" w:hanging="540"/>
        <w:jc w:val="both"/>
        <w:rPr>
          <w:rFonts w:ascii="Times New Roman" w:hAnsi="Times New Roman"/>
          <w:bCs/>
          <w:sz w:val="24"/>
          <w:szCs w:val="24"/>
          <w:lang w:val="sq-AL"/>
        </w:rPr>
      </w:pPr>
      <w:r w:rsidRPr="007B74E0">
        <w:rPr>
          <w:rFonts w:ascii="Times New Roman" w:hAnsi="Times New Roman"/>
          <w:bCs/>
          <w:sz w:val="24"/>
          <w:szCs w:val="24"/>
          <w:lang w:val="sq-AL"/>
        </w:rPr>
        <w:lastRenderedPageBreak/>
        <w:t xml:space="preserve">     </w:t>
      </w:r>
    </w:p>
    <w:p w:rsidR="00A52998" w:rsidRPr="006F2B17" w:rsidRDefault="00A52998" w:rsidP="00A52998">
      <w:pPr>
        <w:tabs>
          <w:tab w:val="left" w:pos="990"/>
        </w:tabs>
        <w:spacing w:after="0" w:line="360" w:lineRule="auto"/>
        <w:jc w:val="center"/>
        <w:rPr>
          <w:rFonts w:ascii="Times New Roman" w:hAnsi="Times New Roman"/>
          <w:b/>
          <w:sz w:val="24"/>
          <w:szCs w:val="24"/>
          <w:lang w:val="sq-AL"/>
        </w:rPr>
      </w:pPr>
      <w:r w:rsidRPr="006F2B17">
        <w:rPr>
          <w:rFonts w:ascii="Times New Roman" w:hAnsi="Times New Roman"/>
          <w:b/>
          <w:sz w:val="24"/>
          <w:szCs w:val="24"/>
          <w:lang w:val="sq-AL"/>
        </w:rPr>
        <w:t>III</w:t>
      </w:r>
    </w:p>
    <w:p w:rsidR="00A52998" w:rsidRPr="006F2B17" w:rsidRDefault="00A52998" w:rsidP="00A52998">
      <w:pPr>
        <w:tabs>
          <w:tab w:val="left" w:pos="990"/>
        </w:tabs>
        <w:spacing w:after="0" w:line="360" w:lineRule="auto"/>
        <w:jc w:val="center"/>
        <w:rPr>
          <w:rFonts w:ascii="Times New Roman" w:hAnsi="Times New Roman"/>
          <w:b/>
          <w:sz w:val="24"/>
          <w:szCs w:val="24"/>
          <w:lang w:val="sq-AL"/>
        </w:rPr>
      </w:pPr>
      <w:r w:rsidRPr="006F2B17">
        <w:rPr>
          <w:rFonts w:ascii="Times New Roman" w:hAnsi="Times New Roman"/>
          <w:b/>
          <w:sz w:val="24"/>
          <w:szCs w:val="24"/>
          <w:lang w:val="sq-AL"/>
        </w:rPr>
        <w:t>Vlerësimi i Mbledhjes së Gjyqtarëve</w:t>
      </w:r>
    </w:p>
    <w:p w:rsidR="00A52998" w:rsidRPr="006F2B17" w:rsidRDefault="00A52998" w:rsidP="00A52998">
      <w:pPr>
        <w:tabs>
          <w:tab w:val="left" w:pos="900"/>
        </w:tabs>
        <w:spacing w:after="0" w:line="360" w:lineRule="auto"/>
        <w:jc w:val="both"/>
        <w:rPr>
          <w:rFonts w:ascii="Times New Roman" w:hAnsi="Times New Roman"/>
          <w:sz w:val="24"/>
          <w:szCs w:val="24"/>
          <w:lang w:val="sq-AL"/>
        </w:rPr>
      </w:pPr>
      <w:r>
        <w:rPr>
          <w:rFonts w:ascii="Times New Roman" w:hAnsi="Times New Roman"/>
          <w:sz w:val="24"/>
          <w:szCs w:val="24"/>
          <w:lang w:val="sq-AL"/>
        </w:rPr>
        <w:tab/>
        <w:t xml:space="preserve">9. </w:t>
      </w:r>
      <w:r w:rsidRPr="006F2B17">
        <w:rPr>
          <w:rFonts w:ascii="Times New Roman" w:hAnsi="Times New Roman"/>
          <w:sz w:val="24"/>
          <w:szCs w:val="24"/>
          <w:lang w:val="sq-AL"/>
        </w:rPr>
        <w:t xml:space="preserve">Mbledhja e Gjyqtarëve vë në dukje se prej datës 23 mars </w:t>
      </w:r>
      <w:r>
        <w:rPr>
          <w:rFonts w:ascii="Times New Roman" w:hAnsi="Times New Roman"/>
          <w:sz w:val="24"/>
          <w:szCs w:val="24"/>
          <w:lang w:val="sq-AL"/>
        </w:rPr>
        <w:t xml:space="preserve">të vitit </w:t>
      </w:r>
      <w:r w:rsidRPr="006F2B17">
        <w:rPr>
          <w:rFonts w:ascii="Times New Roman" w:hAnsi="Times New Roman"/>
          <w:sz w:val="24"/>
          <w:szCs w:val="24"/>
          <w:lang w:val="sq-AL"/>
        </w:rPr>
        <w:t xml:space="preserve">2018 </w:t>
      </w:r>
      <w:r>
        <w:rPr>
          <w:rFonts w:ascii="Times New Roman" w:hAnsi="Times New Roman"/>
          <w:sz w:val="24"/>
          <w:szCs w:val="24"/>
          <w:lang w:val="sq-AL"/>
        </w:rPr>
        <w:t>ajo</w:t>
      </w:r>
      <w:r w:rsidRPr="006F2B17">
        <w:rPr>
          <w:rFonts w:ascii="Times New Roman" w:hAnsi="Times New Roman"/>
          <w:sz w:val="24"/>
          <w:szCs w:val="24"/>
          <w:lang w:val="sq-AL"/>
        </w:rPr>
        <w:t xml:space="preserve"> nuk ka pasur kuorumin e nevojshëm </w:t>
      </w:r>
      <w:r>
        <w:rPr>
          <w:rFonts w:ascii="Times New Roman" w:hAnsi="Times New Roman"/>
          <w:sz w:val="24"/>
          <w:szCs w:val="24"/>
          <w:lang w:val="sq-AL"/>
        </w:rPr>
        <w:t xml:space="preserve">të parashikuar nga neni 32, pika 1 e ligjit nr. 8577/2000 </w:t>
      </w:r>
      <w:r w:rsidRPr="006F2B17">
        <w:rPr>
          <w:rFonts w:ascii="Times New Roman" w:hAnsi="Times New Roman"/>
          <w:sz w:val="24"/>
          <w:szCs w:val="24"/>
          <w:lang w:val="sq-AL"/>
        </w:rPr>
        <w:t xml:space="preserve">për </w:t>
      </w:r>
      <w:r>
        <w:rPr>
          <w:rFonts w:ascii="Times New Roman" w:hAnsi="Times New Roman"/>
          <w:sz w:val="24"/>
          <w:szCs w:val="24"/>
          <w:lang w:val="sq-AL"/>
        </w:rPr>
        <w:t>shqyrtimin paraprak të çështjeve</w:t>
      </w:r>
      <w:r w:rsidRPr="006F2B17">
        <w:rPr>
          <w:rFonts w:ascii="Times New Roman" w:hAnsi="Times New Roman"/>
          <w:sz w:val="24"/>
          <w:szCs w:val="24"/>
          <w:lang w:val="sq-AL"/>
        </w:rPr>
        <w:t>. Pas plotësimit të këtij kuorumi, u bë</w:t>
      </w:r>
      <w:r>
        <w:rPr>
          <w:rFonts w:ascii="Times New Roman" w:hAnsi="Times New Roman"/>
          <w:sz w:val="24"/>
          <w:szCs w:val="24"/>
          <w:lang w:val="sq-AL"/>
        </w:rPr>
        <w:t xml:space="preserve"> e mundur marrja në shqyrtim e </w:t>
      </w:r>
      <w:r w:rsidRPr="006F2B17">
        <w:rPr>
          <w:rFonts w:ascii="Times New Roman" w:hAnsi="Times New Roman"/>
          <w:sz w:val="24"/>
          <w:szCs w:val="24"/>
          <w:lang w:val="sq-AL"/>
        </w:rPr>
        <w:t>çështje</w:t>
      </w:r>
      <w:r>
        <w:rPr>
          <w:rFonts w:ascii="Times New Roman" w:hAnsi="Times New Roman"/>
          <w:sz w:val="24"/>
          <w:szCs w:val="24"/>
          <w:lang w:val="sq-AL"/>
        </w:rPr>
        <w:t>s konkrete</w:t>
      </w:r>
      <w:r w:rsidRPr="006F2B17">
        <w:rPr>
          <w:rFonts w:ascii="Times New Roman" w:hAnsi="Times New Roman"/>
          <w:sz w:val="24"/>
          <w:szCs w:val="24"/>
          <w:lang w:val="sq-AL"/>
        </w:rPr>
        <w:t>.</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sidRPr="006F2B17">
        <w:rPr>
          <w:rFonts w:ascii="Times New Roman" w:hAnsi="Times New Roman"/>
          <w:sz w:val="24"/>
          <w:szCs w:val="24"/>
          <w:lang w:val="sq-AL" w:eastAsia="sq-AL"/>
        </w:rPr>
        <w:tab/>
        <w:t>1</w:t>
      </w:r>
      <w:r>
        <w:rPr>
          <w:rFonts w:ascii="Times New Roman" w:hAnsi="Times New Roman"/>
          <w:sz w:val="24"/>
          <w:szCs w:val="24"/>
          <w:lang w:val="sq-AL" w:eastAsia="sq-AL"/>
        </w:rPr>
        <w:t>0</w:t>
      </w:r>
      <w:r w:rsidRPr="006F2B17">
        <w:rPr>
          <w:rFonts w:ascii="Times New Roman" w:hAnsi="Times New Roman"/>
          <w:sz w:val="24"/>
          <w:szCs w:val="24"/>
          <w:lang w:val="sq-AL" w:eastAsia="sq-AL"/>
        </w:rPr>
        <w:t>. Sipas neneve 131, pika 1, shkronja “f”</w:t>
      </w:r>
      <w:r>
        <w:rPr>
          <w:rFonts w:ascii="Times New Roman" w:hAnsi="Times New Roman"/>
          <w:sz w:val="24"/>
          <w:szCs w:val="24"/>
          <w:lang w:val="sq-AL" w:eastAsia="sq-AL"/>
        </w:rPr>
        <w:t xml:space="preserve"> dhe </w:t>
      </w:r>
      <w:r w:rsidRPr="006F2B17">
        <w:rPr>
          <w:rFonts w:ascii="Times New Roman" w:hAnsi="Times New Roman"/>
          <w:sz w:val="24"/>
          <w:szCs w:val="24"/>
          <w:lang w:val="sq-AL" w:eastAsia="sq-AL"/>
        </w:rPr>
        <w:t>134</w:t>
      </w:r>
      <w:r>
        <w:rPr>
          <w:rFonts w:ascii="Times New Roman" w:hAnsi="Times New Roman"/>
          <w:sz w:val="24"/>
          <w:szCs w:val="24"/>
          <w:lang w:val="sq-AL" w:eastAsia="sq-AL"/>
        </w:rPr>
        <w:t>,</w:t>
      </w:r>
      <w:r w:rsidRPr="006F2B17">
        <w:rPr>
          <w:rFonts w:ascii="Times New Roman" w:hAnsi="Times New Roman"/>
          <w:sz w:val="24"/>
          <w:szCs w:val="24"/>
          <w:lang w:val="sq-AL" w:eastAsia="sq-AL"/>
        </w:rPr>
        <w:t xml:space="preserve"> pika</w:t>
      </w:r>
      <w:r>
        <w:rPr>
          <w:rFonts w:ascii="Times New Roman" w:hAnsi="Times New Roman"/>
          <w:sz w:val="24"/>
          <w:szCs w:val="24"/>
          <w:lang w:val="sq-AL" w:eastAsia="sq-AL"/>
        </w:rPr>
        <w:t>t</w:t>
      </w:r>
      <w:r w:rsidRPr="006F2B17">
        <w:rPr>
          <w:rFonts w:ascii="Times New Roman" w:hAnsi="Times New Roman"/>
          <w:sz w:val="24"/>
          <w:szCs w:val="24"/>
          <w:lang w:val="sq-AL" w:eastAsia="sq-AL"/>
        </w:rPr>
        <w:t xml:space="preserve"> 1, shkronja “i” dhe 2</w:t>
      </w:r>
      <w:r>
        <w:rPr>
          <w:rFonts w:ascii="Times New Roman" w:hAnsi="Times New Roman"/>
          <w:sz w:val="24"/>
          <w:szCs w:val="24"/>
          <w:lang w:val="sq-AL" w:eastAsia="sq-AL"/>
        </w:rPr>
        <w:t>,</w:t>
      </w:r>
      <w:r w:rsidRPr="006F2B17">
        <w:rPr>
          <w:rFonts w:ascii="Times New Roman" w:hAnsi="Times New Roman"/>
          <w:sz w:val="24"/>
          <w:szCs w:val="24"/>
          <w:lang w:val="sq-AL" w:eastAsia="sq-AL"/>
        </w:rPr>
        <w:t xml:space="preserve"> të Kushtetutës, si dhe nenit 71 të ligjit nr. 8577/2000, </w:t>
      </w:r>
      <w:r>
        <w:rPr>
          <w:rFonts w:ascii="Times New Roman" w:hAnsi="Times New Roman"/>
          <w:sz w:val="24"/>
          <w:szCs w:val="24"/>
          <w:lang w:val="sq-AL" w:eastAsia="sq-AL"/>
        </w:rPr>
        <w:t xml:space="preserve">Gjykata Kushtetuese mund të vihet në lëvizje nga </w:t>
      </w:r>
      <w:r w:rsidRPr="006F2B17">
        <w:rPr>
          <w:rFonts w:ascii="Times New Roman" w:hAnsi="Times New Roman"/>
          <w:sz w:val="24"/>
          <w:szCs w:val="24"/>
          <w:lang w:val="sq-AL" w:eastAsia="sq-AL"/>
        </w:rPr>
        <w:t>çdo individ për gjykimin përfundimtar të ankesave kundër çdo akti të pushtetit publik ose vendimi gjyqësor, që cenon të drejtat dhe liritë themelore të garantuara në Kushtetutë.</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 xml:space="preserve">11. </w:t>
      </w:r>
      <w:r>
        <w:rPr>
          <w:rFonts w:ascii="Times New Roman" w:eastAsia="Times New Roman" w:hAnsi="Times New Roman"/>
          <w:bCs/>
          <w:sz w:val="24"/>
          <w:szCs w:val="24"/>
          <w:lang w:val="sq-AL" w:eastAsia="x-none"/>
        </w:rPr>
        <w:t xml:space="preserve">Mbledhja e Gjyqtarëve vëren se koncepti kushtetues i aktit të pushtetit publik, që mund të jetë objekt i ankimit kushtetues individual, përfshin edhe ligjin, por kur plotësohet kriteri i veçantë për </w:t>
      </w:r>
      <w:proofErr w:type="spellStart"/>
      <w:r>
        <w:rPr>
          <w:rFonts w:ascii="Times New Roman" w:eastAsia="Times New Roman" w:hAnsi="Times New Roman"/>
          <w:bCs/>
          <w:sz w:val="24"/>
          <w:szCs w:val="24"/>
          <w:lang w:val="sq-AL" w:eastAsia="x-none"/>
        </w:rPr>
        <w:t>pranueshmërinë</w:t>
      </w:r>
      <w:proofErr w:type="spellEnd"/>
      <w:r>
        <w:rPr>
          <w:rFonts w:ascii="Times New Roman" w:eastAsia="Times New Roman" w:hAnsi="Times New Roman"/>
          <w:bCs/>
          <w:sz w:val="24"/>
          <w:szCs w:val="24"/>
          <w:lang w:val="sq-AL" w:eastAsia="x-none"/>
        </w:rPr>
        <w:t xml:space="preserve"> e ankimit, i parashikuar nga neni 49, pika 3, shkronja “e”, i ligjit nr. 8577/2000, ai i </w:t>
      </w:r>
      <w:proofErr w:type="spellStart"/>
      <w:r>
        <w:rPr>
          <w:rFonts w:ascii="Times New Roman" w:eastAsia="Times New Roman" w:hAnsi="Times New Roman"/>
          <w:bCs/>
          <w:sz w:val="24"/>
          <w:szCs w:val="24"/>
          <w:lang w:val="sq-AL" w:eastAsia="x-none"/>
        </w:rPr>
        <w:t>zbatueshmërisë</w:t>
      </w:r>
      <w:proofErr w:type="spellEnd"/>
      <w:r>
        <w:rPr>
          <w:rFonts w:ascii="Times New Roman" w:eastAsia="Times New Roman" w:hAnsi="Times New Roman"/>
          <w:bCs/>
          <w:sz w:val="24"/>
          <w:szCs w:val="24"/>
          <w:lang w:val="sq-AL" w:eastAsia="x-none"/>
        </w:rPr>
        <w:t xml:space="preserve"> së drejtpërdrejtë të ligjit të kundërshtuar. Karakteristika e zbatimit të drejtpërdrejtë të ligjit lidhet me aftësinë që ka ligji i kundërshtuar për të cenuar në mënyrë po të drejtpërdrejtë të drejtën themelore individuale dhe, për këtë arsye, bëhet fjalë për ato raste kur ligji nuk parashikon nxjerrjen e akteve nënligjore të nevojshme për zbatimin e tij. Kjo nënkupton se ligji i shkakton pasojat e tij ndaj të drejtave kushtetuese individuale pa pasur nevojën e </w:t>
      </w:r>
      <w:proofErr w:type="spellStart"/>
      <w:r>
        <w:rPr>
          <w:rFonts w:ascii="Times New Roman" w:eastAsia="Times New Roman" w:hAnsi="Times New Roman"/>
          <w:bCs/>
          <w:sz w:val="24"/>
          <w:szCs w:val="24"/>
          <w:lang w:val="sq-AL" w:eastAsia="x-none"/>
        </w:rPr>
        <w:t>detajimit</w:t>
      </w:r>
      <w:proofErr w:type="spellEnd"/>
      <w:r>
        <w:rPr>
          <w:rFonts w:ascii="Times New Roman" w:eastAsia="Times New Roman" w:hAnsi="Times New Roman"/>
          <w:bCs/>
          <w:sz w:val="24"/>
          <w:szCs w:val="24"/>
          <w:lang w:val="sq-AL" w:eastAsia="x-none"/>
        </w:rPr>
        <w:t xml:space="preserve"> të rregullave shtesë në formën e akteve nënligjore.</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12</w:t>
      </w:r>
      <w:r>
        <w:rPr>
          <w:rFonts w:ascii="Times New Roman" w:eastAsia="Times New Roman" w:hAnsi="Times New Roman"/>
          <w:bCs/>
          <w:sz w:val="24"/>
          <w:szCs w:val="24"/>
          <w:lang w:val="sq-AL" w:eastAsia="x-none"/>
        </w:rPr>
        <w:t xml:space="preserve">. </w:t>
      </w:r>
      <w:r>
        <w:rPr>
          <w:rFonts w:ascii="Times New Roman" w:eastAsia="Times New Roman" w:hAnsi="Times New Roman"/>
          <w:sz w:val="24"/>
          <w:szCs w:val="24"/>
          <w:lang w:val="sq-AL"/>
        </w:rPr>
        <w:t xml:space="preserve">Përveç këtij kriteri, ashtu si edhe në rastet e ankimeve të tjera kushtetuese individuale, duhen plotësuar edhe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Pr>
          <w:rFonts w:ascii="Times New Roman" w:hAnsi="Times New Roman"/>
          <w:sz w:val="24"/>
          <w:szCs w:val="24"/>
          <w:lang w:val="sq-AL"/>
        </w:rPr>
        <w:t xml:space="preserve">Rregullimet e veçanta përcaktohen nga neni 31/a, pika 2, i të njëjtit ligj dhe ato, në shtesë të kritereve të mësipërme, kanë të bëjnë me juridiksionin e Gjykatës Kushtetuese, </w:t>
      </w:r>
      <w:r>
        <w:rPr>
          <w:rFonts w:ascii="Times New Roman" w:eastAsia="Times New Roman" w:hAnsi="Times New Roman"/>
          <w:bCs/>
          <w:sz w:val="24"/>
          <w:szCs w:val="24"/>
          <w:lang w:val="sq-AL" w:eastAsia="x-none"/>
        </w:rPr>
        <w:t xml:space="preserve">legjitimimin formal të kërkuesit dhe të përfaqësuesit, si dhe me respektimin dhe vlerën e vendimmarrjeve të mëparshme të Gjykatës Kushtetuese. Ky kriter i fundit përcaktohet nga shkronja “dh”, e pikës 2 të nenit 31/a, sipas së cilës vendoset </w:t>
      </w:r>
      <w:proofErr w:type="spellStart"/>
      <w:r>
        <w:rPr>
          <w:rFonts w:ascii="Times New Roman" w:eastAsia="Times New Roman" w:hAnsi="Times New Roman"/>
          <w:bCs/>
          <w:sz w:val="24"/>
          <w:szCs w:val="24"/>
          <w:lang w:val="sq-AL" w:eastAsia="x-none"/>
        </w:rPr>
        <w:t>moskalimi</w:t>
      </w:r>
      <w:proofErr w:type="spellEnd"/>
      <w:r>
        <w:rPr>
          <w:rFonts w:ascii="Times New Roman" w:eastAsia="Times New Roman" w:hAnsi="Times New Roman"/>
          <w:bCs/>
          <w:sz w:val="24"/>
          <w:szCs w:val="24"/>
          <w:lang w:val="sq-AL" w:eastAsia="x-none"/>
        </w:rPr>
        <w:t xml:space="preserve"> i çështjes në seancë plenare kur kërkimet e paraqitura në kërkesë janë objekt i një vendimi të mëparshëm të kësaj Gjykate.</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lastRenderedPageBreak/>
        <w:tab/>
        <w:t xml:space="preserve">13. </w:t>
      </w:r>
      <w:r>
        <w:rPr>
          <w:rFonts w:ascii="Times New Roman" w:eastAsia="Times New Roman" w:hAnsi="Times New Roman"/>
          <w:sz w:val="24"/>
          <w:szCs w:val="24"/>
          <w:lang w:val="sq-AL"/>
        </w:rPr>
        <w:t xml:space="preserve">Mbledhja e Gjyqtarëve thekson se kriteret paraprake të </w:t>
      </w:r>
      <w:proofErr w:type="spellStart"/>
      <w:r>
        <w:rPr>
          <w:rFonts w:ascii="Times New Roman" w:eastAsia="Times New Roman" w:hAnsi="Times New Roman"/>
          <w:sz w:val="24"/>
          <w:szCs w:val="24"/>
          <w:lang w:val="sq-AL"/>
        </w:rPr>
        <w:t>pranueshmërisë</w:t>
      </w:r>
      <w:proofErr w:type="spellEnd"/>
      <w:r>
        <w:rPr>
          <w:rFonts w:ascii="Times New Roman" w:eastAsia="Times New Roman" w:hAnsi="Times New Roman"/>
          <w:sz w:val="24"/>
          <w:szCs w:val="24"/>
          <w:lang w:val="sq-AL"/>
        </w:rPr>
        <w:t xml:space="preserve"> së ankimit individual kushtetues janë të natyrës </w:t>
      </w:r>
      <w:proofErr w:type="spellStart"/>
      <w:r>
        <w:rPr>
          <w:rFonts w:ascii="Times New Roman" w:eastAsia="Times New Roman" w:hAnsi="Times New Roman"/>
          <w:sz w:val="24"/>
          <w:szCs w:val="24"/>
          <w:lang w:val="sq-AL"/>
        </w:rPr>
        <w:t>kumulative</w:t>
      </w:r>
      <w:proofErr w:type="spellEnd"/>
      <w:r>
        <w:rPr>
          <w:rFonts w:ascii="Times New Roman" w:eastAsia="Times New Roman" w:hAnsi="Times New Roman"/>
          <w:sz w:val="24"/>
          <w:szCs w:val="24"/>
          <w:lang w:val="sq-AL"/>
        </w:rPr>
        <w:t xml:space="preserve">, në kuptimin që ato duhet të plotësohen njëkohësisht. Në këtë vështrim, mjafton mosplotësimi i njërit prej tyre që të vendoset </w:t>
      </w:r>
      <w:proofErr w:type="spellStart"/>
      <w:r>
        <w:rPr>
          <w:rFonts w:ascii="Times New Roman" w:eastAsia="Times New Roman" w:hAnsi="Times New Roman"/>
          <w:sz w:val="24"/>
          <w:szCs w:val="24"/>
          <w:lang w:val="sq-AL"/>
        </w:rPr>
        <w:t>moskalimi</w:t>
      </w:r>
      <w:proofErr w:type="spellEnd"/>
      <w:r>
        <w:rPr>
          <w:rFonts w:ascii="Times New Roman" w:eastAsia="Times New Roman" w:hAnsi="Times New Roman"/>
          <w:sz w:val="24"/>
          <w:szCs w:val="24"/>
          <w:lang w:val="sq-AL"/>
        </w:rPr>
        <w:t xml:space="preserve"> i çështjes në seancë plenare.</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 xml:space="preserve">14. </w:t>
      </w:r>
      <w:r>
        <w:rPr>
          <w:rFonts w:ascii="Times New Roman" w:eastAsia="Times New Roman" w:hAnsi="Times New Roman"/>
          <w:bCs/>
          <w:sz w:val="24"/>
          <w:szCs w:val="24"/>
          <w:lang w:val="sq-AL" w:eastAsia="x-none"/>
        </w:rPr>
        <w:t xml:space="preserve">Në çështjen </w:t>
      </w:r>
      <w:r w:rsidRPr="00C77B23">
        <w:rPr>
          <w:rFonts w:ascii="Times New Roman" w:eastAsia="Times New Roman" w:hAnsi="Times New Roman"/>
          <w:bCs/>
          <w:sz w:val="24"/>
          <w:szCs w:val="24"/>
          <w:lang w:val="sq-AL" w:eastAsia="x-none"/>
        </w:rPr>
        <w:t>konkrete, kërkues</w:t>
      </w:r>
      <w:r>
        <w:rPr>
          <w:rFonts w:ascii="Times New Roman" w:eastAsia="Times New Roman" w:hAnsi="Times New Roman"/>
          <w:bCs/>
          <w:sz w:val="24"/>
          <w:szCs w:val="24"/>
          <w:lang w:val="sq-AL" w:eastAsia="x-none"/>
        </w:rPr>
        <w:t>i</w:t>
      </w:r>
      <w:r w:rsidRPr="00C77B23">
        <w:rPr>
          <w:rFonts w:ascii="Times New Roman" w:eastAsia="Times New Roman" w:hAnsi="Times New Roman"/>
          <w:bCs/>
          <w:sz w:val="24"/>
          <w:szCs w:val="24"/>
          <w:lang w:val="sq-AL" w:eastAsia="x-none"/>
        </w:rPr>
        <w:t xml:space="preserve">t kundërshtojnë </w:t>
      </w:r>
      <w:r w:rsidRPr="00C77B23">
        <w:rPr>
          <w:rFonts w:ascii="Times New Roman" w:hAnsi="Times New Roman"/>
          <w:sz w:val="24"/>
          <w:szCs w:val="24"/>
          <w:lang w:val="sq-AL"/>
        </w:rPr>
        <w:t>nenet 6, pika 1, shkronja “b” dhe 7, pika 2, shkronjat “a” dhe “b”</w:t>
      </w:r>
      <w:r>
        <w:rPr>
          <w:rFonts w:ascii="Times New Roman" w:hAnsi="Times New Roman"/>
          <w:sz w:val="24"/>
          <w:szCs w:val="24"/>
          <w:lang w:val="sq-AL"/>
        </w:rPr>
        <w:t>,</w:t>
      </w:r>
      <w:r w:rsidRPr="00C77B23">
        <w:rPr>
          <w:rFonts w:ascii="Times New Roman" w:hAnsi="Times New Roman"/>
          <w:sz w:val="24"/>
          <w:szCs w:val="24"/>
          <w:lang w:val="sq-AL"/>
        </w:rPr>
        <w:t xml:space="preserve"> të ligjit nr. 133/2015, me pretendimin se ato cenojnë sigurinë juridike dhe </w:t>
      </w:r>
      <w:proofErr w:type="spellStart"/>
      <w:r w:rsidRPr="00C77B23">
        <w:rPr>
          <w:rFonts w:ascii="Times New Roman" w:hAnsi="Times New Roman"/>
          <w:sz w:val="24"/>
          <w:szCs w:val="24"/>
          <w:lang w:val="sq-AL"/>
        </w:rPr>
        <w:t>pritshmëritë</w:t>
      </w:r>
      <w:proofErr w:type="spellEnd"/>
      <w:r w:rsidRPr="00C77B23">
        <w:rPr>
          <w:rFonts w:ascii="Times New Roman" w:hAnsi="Times New Roman"/>
          <w:sz w:val="24"/>
          <w:szCs w:val="24"/>
          <w:lang w:val="sq-AL"/>
        </w:rPr>
        <w:t xml:space="preserve"> legjitime të tyre, si dhe të drejtën e pronës të garantuar nga neni 41 i Kushtetutës dhe neni 1 i Protokollit 1 të KEDNJ-së.</w:t>
      </w:r>
      <w:r>
        <w:rPr>
          <w:rFonts w:ascii="Times New Roman" w:hAnsi="Times New Roman"/>
          <w:sz w:val="24"/>
          <w:szCs w:val="24"/>
          <w:lang w:val="sq-AL"/>
        </w:rPr>
        <w:t xml:space="preserve"> </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 xml:space="preserve">15. Mbledhja e Gjyqtarëve konstaton se </w:t>
      </w:r>
      <w:r>
        <w:rPr>
          <w:rFonts w:ascii="Times New Roman" w:eastAsia="Times New Roman" w:hAnsi="Times New Roman"/>
          <w:sz w:val="24"/>
          <w:szCs w:val="24"/>
          <w:lang w:val="sq-AL"/>
        </w:rPr>
        <w:t xml:space="preserve">Gjykata Kushtetuese, në seancën plenare të datës 04.02.2021, ka marrë në shqyrtim çështjen me kërkuese shoqatën kombëtare “Pronësi me drejtësi”, me objekt, ndër të tjera, shfuqizimin e </w:t>
      </w:r>
      <w:r>
        <w:rPr>
          <w:rFonts w:ascii="Times New Roman" w:hAnsi="Times New Roman"/>
          <w:sz w:val="24"/>
          <w:szCs w:val="24"/>
          <w:lang w:val="sq-AL"/>
        </w:rPr>
        <w:t>neneve 6, pika 1, shkronja “b” dhe 7, pika 2, shkronjat “a” dhe “b”, të ligjit nr. 133/2015</w:t>
      </w:r>
      <w:r>
        <w:rPr>
          <w:rFonts w:ascii="Times New Roman" w:eastAsia="Times New Roman" w:hAnsi="Times New Roman"/>
          <w:sz w:val="24"/>
          <w:szCs w:val="24"/>
          <w:lang w:val="sq-AL"/>
        </w:rPr>
        <w:t xml:space="preserve">. Në përfundim të shqyrtimit Gjykata Kushtetuese, me </w:t>
      </w:r>
      <w:r>
        <w:rPr>
          <w:rFonts w:ascii="Times New Roman" w:hAnsi="Times New Roman"/>
          <w:sz w:val="24"/>
          <w:szCs w:val="24"/>
          <w:lang w:val="sq-AL"/>
        </w:rPr>
        <w:t xml:space="preserve">vendimin nr. 4, datë 15.02.2021 </w:t>
      </w:r>
      <w:r>
        <w:rPr>
          <w:rFonts w:ascii="Times New Roman" w:eastAsia="Times New Roman" w:hAnsi="Times New Roman"/>
          <w:sz w:val="24"/>
          <w:szCs w:val="24"/>
          <w:lang w:val="sq-AL"/>
        </w:rPr>
        <w:t xml:space="preserve">ka vendosur pranimin pjesërisht të kërkesës, duke shfuqizuar nenin 7, pika 2, shkronjat “a” dhe “b”, si dhe ka rrëzuar kërkesën për </w:t>
      </w:r>
      <w:proofErr w:type="spellStart"/>
      <w:r>
        <w:rPr>
          <w:rFonts w:ascii="Times New Roman" w:eastAsia="Times New Roman" w:hAnsi="Times New Roman"/>
          <w:sz w:val="24"/>
          <w:szCs w:val="24"/>
          <w:lang w:val="sq-AL"/>
        </w:rPr>
        <w:t>antikushtetutshmërinë</w:t>
      </w:r>
      <w:proofErr w:type="spellEnd"/>
      <w:r>
        <w:rPr>
          <w:rFonts w:ascii="Times New Roman" w:eastAsia="Times New Roman" w:hAnsi="Times New Roman"/>
          <w:sz w:val="24"/>
          <w:szCs w:val="24"/>
          <w:lang w:val="sq-AL"/>
        </w:rPr>
        <w:t xml:space="preserve"> e nenit 6, pika 1, shkronja “b”, duke u dhënë përgjigje pretendimeve që lidheshin me sigurinë juridike dhe të drejtën e pronës së subjekteve të shpronësuara.</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16. Gjykata Kushtetuese ka theksuar se zbatimi i detyrueshëm i vendimeve të saj garantohet nga Kushtetuta, e cila në nenet 132 dhe 145 sanksionon shprehimisht këtë koncept kushtetues. Ndikimi i padiskutueshëm i vendimeve të Gjykatës Kushtetuese është i tillë që iu imponon të gjitha organeve shtetërore fuqinë detyruese të arsyetimit të vendimit të saj (</w:t>
      </w:r>
      <w:r>
        <w:rPr>
          <w:rFonts w:ascii="Times New Roman" w:hAnsi="Times New Roman"/>
          <w:i/>
          <w:sz w:val="24"/>
          <w:szCs w:val="24"/>
          <w:lang w:val="sq-AL"/>
        </w:rPr>
        <w:t>shih vendimin nr. 17, datë 10.04.2015 të Gjykatës Kushtetuese</w:t>
      </w:r>
      <w:r>
        <w:rPr>
          <w:rFonts w:ascii="Times New Roman" w:hAnsi="Times New Roman"/>
          <w:sz w:val="24"/>
          <w:szCs w:val="24"/>
          <w:lang w:val="sq-AL"/>
        </w:rPr>
        <w:t>). Arsyetimi që përdor Gjykata Kushtetuese në vendimet e saj ka forcën e ligjit, çka buron nga autoriteti i këtij organi për të thënë fjalën e fundit në çështjet për të cilat të tjerët tashmë janë shprehur. Çdo qëndrim i kundërt krijon një precedent të rrezikshëm në marrëdhëniet institucionale (</w:t>
      </w:r>
      <w:r>
        <w:rPr>
          <w:rFonts w:ascii="Times New Roman" w:hAnsi="Times New Roman"/>
          <w:i/>
          <w:sz w:val="24"/>
          <w:szCs w:val="24"/>
          <w:lang w:val="sq-AL"/>
        </w:rPr>
        <w:t>shih vendimin nr. 78, datë 12.12.2017 të Gjykatës Kushtetuese</w:t>
      </w:r>
      <w:r>
        <w:rPr>
          <w:rFonts w:ascii="Times New Roman" w:hAnsi="Times New Roman"/>
          <w:sz w:val="24"/>
          <w:szCs w:val="24"/>
          <w:lang w:val="sq-AL"/>
        </w:rPr>
        <w:t xml:space="preserve">). Në jurisprudencën kushtetuese është theksuar se nga standardi i </w:t>
      </w:r>
      <w:proofErr w:type="spellStart"/>
      <w:r>
        <w:rPr>
          <w:rFonts w:ascii="Times New Roman" w:hAnsi="Times New Roman"/>
          <w:sz w:val="24"/>
          <w:szCs w:val="24"/>
          <w:lang w:val="sq-AL"/>
        </w:rPr>
        <w:t>detyrueshmërisë</w:t>
      </w:r>
      <w:proofErr w:type="spellEnd"/>
      <w:r>
        <w:rPr>
          <w:rFonts w:ascii="Times New Roman" w:hAnsi="Times New Roman"/>
          <w:sz w:val="24"/>
          <w:szCs w:val="24"/>
          <w:lang w:val="sq-AL"/>
        </w:rPr>
        <w:t xml:space="preserve"> së zbatimit të vendimmarrjes kushtetuese nuk mund të bëjë përjashtim as vetë Gjykata Kushtetuese (</w:t>
      </w:r>
      <w:r>
        <w:rPr>
          <w:rFonts w:ascii="Times New Roman" w:hAnsi="Times New Roman"/>
          <w:i/>
          <w:sz w:val="24"/>
          <w:szCs w:val="24"/>
          <w:lang w:val="sq-AL"/>
        </w:rPr>
        <w:t>shih vendimet nr. 78, datë 12.12.2017; nr. 44, datë 29.06.2015; nr. 18, datë 14.04.2015; nr. 21, datë 29.04.2010 të Gjykatës Kushtetuese</w:t>
      </w:r>
      <w:r>
        <w:rPr>
          <w:rFonts w:ascii="Times New Roman" w:hAnsi="Times New Roman"/>
          <w:sz w:val="24"/>
          <w:szCs w:val="24"/>
          <w:lang w:val="sq-AL"/>
        </w:rPr>
        <w:t>).</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 xml:space="preserve">17. Në të drejtën kushtetuese parimi </w:t>
      </w:r>
      <w:proofErr w:type="spellStart"/>
      <w:r>
        <w:rPr>
          <w:rFonts w:ascii="Times New Roman" w:hAnsi="Times New Roman"/>
          <w:i/>
          <w:sz w:val="24"/>
          <w:szCs w:val="24"/>
          <w:lang w:val="sq-AL"/>
        </w:rPr>
        <w:t>res</w:t>
      </w:r>
      <w:proofErr w:type="spellEnd"/>
      <w:r>
        <w:rPr>
          <w:rFonts w:ascii="Times New Roman" w:hAnsi="Times New Roman"/>
          <w:i/>
          <w:sz w:val="24"/>
          <w:szCs w:val="24"/>
          <w:lang w:val="sq-AL"/>
        </w:rPr>
        <w:t xml:space="preserve"> </w:t>
      </w:r>
      <w:proofErr w:type="spellStart"/>
      <w:r>
        <w:rPr>
          <w:rFonts w:ascii="Times New Roman" w:hAnsi="Times New Roman"/>
          <w:i/>
          <w:sz w:val="24"/>
          <w:szCs w:val="24"/>
          <w:lang w:val="sq-AL"/>
        </w:rPr>
        <w:t>judicata</w:t>
      </w:r>
      <w:proofErr w:type="spellEnd"/>
      <w:r>
        <w:rPr>
          <w:rFonts w:ascii="Times New Roman" w:hAnsi="Times New Roman"/>
          <w:sz w:val="24"/>
          <w:szCs w:val="24"/>
          <w:lang w:val="sq-AL"/>
        </w:rPr>
        <w:t xml:space="preserve"> njihet si një nga tri format e efekteve që merr vendimi gjyqësor në procedurën abstrakte të kontrollit të kushtetutshmërisë së normave juridike. Në aspektin formal “gjë e gjykuar” nënkupton përfundimin në drejtim të </w:t>
      </w:r>
      <w:proofErr w:type="spellStart"/>
      <w:r>
        <w:rPr>
          <w:rFonts w:ascii="Times New Roman" w:hAnsi="Times New Roman"/>
          <w:sz w:val="24"/>
          <w:szCs w:val="24"/>
          <w:lang w:val="sq-AL"/>
        </w:rPr>
        <w:lastRenderedPageBreak/>
        <w:t>mosankueshmërisë</w:t>
      </w:r>
      <w:proofErr w:type="spellEnd"/>
      <w:r>
        <w:rPr>
          <w:rFonts w:ascii="Times New Roman" w:hAnsi="Times New Roman"/>
          <w:sz w:val="24"/>
          <w:szCs w:val="24"/>
          <w:lang w:val="sq-AL"/>
        </w:rPr>
        <w:t xml:space="preserve"> së vendimit, ndërsa në atë substancial nënkupton fuqinë detyruese të vendimit. Tipar karakteristik i gjësë së gjykuar është se kur në vendimin e parë çështja e ngritur është konsideruar e pabazuar në themel, ajo nuk mund të shqyrtohet më tej. Në rastet kur Gjykata nuk është shprehur në lidhje me pajtueshmërinë me Kushtetutën të normës juridike, kërkuesi nuk ndalohet të paraqesë përsëri të njëjtën kërkesë për kontrollin e pajtueshmërisë së kësaj norme me Kushtetutën (</w:t>
      </w:r>
      <w:r>
        <w:rPr>
          <w:rFonts w:ascii="Times New Roman" w:hAnsi="Times New Roman"/>
          <w:i/>
          <w:sz w:val="24"/>
          <w:szCs w:val="24"/>
          <w:lang w:val="sq-AL"/>
        </w:rPr>
        <w:t>shih vendimin nr. 78, datë 12.12.2017 të Gjykatës Kushtetuese</w:t>
      </w:r>
      <w:r>
        <w:rPr>
          <w:rFonts w:ascii="Times New Roman" w:hAnsi="Times New Roman"/>
          <w:sz w:val="24"/>
          <w:szCs w:val="24"/>
          <w:lang w:val="sq-AL"/>
        </w:rPr>
        <w:t>).</w:t>
      </w:r>
    </w:p>
    <w:p w:rsidR="00A52998" w:rsidRDefault="00A52998" w:rsidP="00A52998">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18. Në rastin në shqyrtim, n</w:t>
      </w:r>
      <w:r>
        <w:rPr>
          <w:rFonts w:ascii="Times New Roman" w:eastAsia="Times New Roman" w:hAnsi="Times New Roman"/>
          <w:sz w:val="24"/>
          <w:szCs w:val="24"/>
          <w:lang w:val="sq-AL"/>
        </w:rPr>
        <w:t>ë kushtet kur pretendimet e kërkuesve kanë të njëjtën natyrë me ato të trajtuara dhe të shqyrtuara nga Gjykata Kushtetuese në vendimin e lartpërmendur, Mbledhja e Gjyqtarëve vlerëson se çështja konkrete nuk mund të kalojë për shqyrtim në seancë plenare</w:t>
      </w:r>
      <w:r>
        <w:rPr>
          <w:rFonts w:ascii="Times New Roman" w:hAnsi="Times New Roman"/>
          <w:sz w:val="24"/>
          <w:szCs w:val="24"/>
          <w:lang w:val="sq-AL"/>
        </w:rPr>
        <w:t xml:space="preserve">. </w:t>
      </w:r>
    </w:p>
    <w:p w:rsidR="00A52998" w:rsidRPr="006F2B17" w:rsidRDefault="00A52998" w:rsidP="00A52998">
      <w:pPr>
        <w:tabs>
          <w:tab w:val="left" w:pos="900"/>
          <w:tab w:val="left" w:pos="1080"/>
        </w:tabs>
        <w:spacing w:after="0" w:line="360" w:lineRule="auto"/>
        <w:jc w:val="both"/>
        <w:rPr>
          <w:rFonts w:ascii="Times New Roman" w:hAnsi="Times New Roman"/>
          <w:sz w:val="24"/>
          <w:szCs w:val="24"/>
          <w:lang w:val="sq-AL"/>
        </w:rPr>
      </w:pPr>
    </w:p>
    <w:p w:rsidR="00A52998" w:rsidRPr="006F2B17" w:rsidRDefault="00A52998" w:rsidP="00A52998">
      <w:pPr>
        <w:suppressAutoHyphens/>
        <w:spacing w:after="0" w:line="360" w:lineRule="auto"/>
        <w:jc w:val="center"/>
        <w:rPr>
          <w:rFonts w:ascii="Times New Roman" w:hAnsi="Times New Roman"/>
          <w:b/>
          <w:bCs/>
          <w:sz w:val="24"/>
          <w:szCs w:val="24"/>
          <w:lang w:val="sq-AL" w:eastAsia="fr-FR"/>
        </w:rPr>
      </w:pPr>
      <w:r w:rsidRPr="006F2B17">
        <w:rPr>
          <w:rFonts w:ascii="Times New Roman" w:hAnsi="Times New Roman"/>
          <w:b/>
          <w:bCs/>
          <w:sz w:val="24"/>
          <w:szCs w:val="24"/>
          <w:lang w:val="sq-AL" w:eastAsia="fr-FR"/>
        </w:rPr>
        <w:t>PËR KËTO ARSYE,</w:t>
      </w:r>
    </w:p>
    <w:p w:rsidR="00A52998" w:rsidRPr="004D1D14" w:rsidRDefault="00A52998" w:rsidP="00A52998">
      <w:pPr>
        <w:suppressAutoHyphens/>
        <w:spacing w:after="0" w:line="360" w:lineRule="auto"/>
        <w:ind w:firstLine="720"/>
        <w:jc w:val="both"/>
        <w:rPr>
          <w:rFonts w:ascii="Times New Roman" w:hAnsi="Times New Roman"/>
          <w:sz w:val="24"/>
          <w:szCs w:val="24"/>
          <w:lang w:val="sq-AL" w:eastAsia="fr-FR"/>
        </w:rPr>
      </w:pPr>
      <w:r w:rsidRPr="004D1D14">
        <w:rPr>
          <w:rFonts w:ascii="Times New Roman" w:hAnsi="Times New Roman"/>
          <w:sz w:val="24"/>
          <w:szCs w:val="24"/>
          <w:lang w:val="sq-AL" w:eastAsia="fr-FR"/>
        </w:rPr>
        <w:t xml:space="preserve">Mbledhja e Gjyqtarëve të Gjykatës Kushtetuese të Republikës së Shqipërisë, në mbështetje të neneve 31 dhe 31/a, pika </w:t>
      </w:r>
      <w:r>
        <w:rPr>
          <w:rFonts w:ascii="Times New Roman" w:hAnsi="Times New Roman"/>
          <w:sz w:val="24"/>
          <w:szCs w:val="24"/>
          <w:lang w:val="sq-AL" w:eastAsia="fr-FR"/>
        </w:rPr>
        <w:t>2</w:t>
      </w:r>
      <w:r w:rsidRPr="004D1D14">
        <w:rPr>
          <w:rFonts w:ascii="Times New Roman" w:hAnsi="Times New Roman"/>
          <w:sz w:val="24"/>
          <w:szCs w:val="24"/>
          <w:lang w:val="sq-AL" w:eastAsia="fr-FR"/>
        </w:rPr>
        <w:t xml:space="preserve">, shkronja “dh”, të ligjit nr. 8577, datë 10.02.2000 “Për organizimin dhe funksionimin e Gjykatës Kushtetuese të Republikës së Shqipërisë”, të ndryshuar, </w:t>
      </w:r>
      <w:r>
        <w:rPr>
          <w:rFonts w:ascii="Times New Roman" w:hAnsi="Times New Roman"/>
          <w:sz w:val="24"/>
          <w:szCs w:val="24"/>
          <w:lang w:val="sq-AL" w:eastAsia="fr-FR"/>
        </w:rPr>
        <w:t xml:space="preserve">njëzëri, </w:t>
      </w:r>
    </w:p>
    <w:p w:rsidR="00A52998" w:rsidRPr="004D1D14" w:rsidRDefault="00A52998" w:rsidP="00A52998">
      <w:pPr>
        <w:suppressAutoHyphens/>
        <w:spacing w:after="0" w:line="360" w:lineRule="auto"/>
        <w:jc w:val="center"/>
        <w:rPr>
          <w:rFonts w:ascii="Times New Roman" w:hAnsi="Times New Roman"/>
          <w:sz w:val="24"/>
          <w:szCs w:val="24"/>
          <w:lang w:val="sq-AL" w:eastAsia="fr-FR"/>
        </w:rPr>
      </w:pPr>
      <w:r w:rsidRPr="004D1D14">
        <w:rPr>
          <w:rFonts w:ascii="Times New Roman" w:hAnsi="Times New Roman"/>
          <w:b/>
          <w:bCs/>
          <w:sz w:val="24"/>
          <w:szCs w:val="24"/>
          <w:lang w:val="sq-AL" w:eastAsia="fr-FR"/>
        </w:rPr>
        <w:t>V E N D O S I:</w:t>
      </w:r>
    </w:p>
    <w:p w:rsidR="00A52998" w:rsidRPr="004D1D14" w:rsidRDefault="00A52998" w:rsidP="00A52998">
      <w:pPr>
        <w:spacing w:after="0" w:line="360" w:lineRule="auto"/>
        <w:ind w:firstLine="720"/>
        <w:jc w:val="both"/>
        <w:rPr>
          <w:rFonts w:ascii="Times New Roman" w:hAnsi="Times New Roman"/>
          <w:sz w:val="24"/>
          <w:szCs w:val="24"/>
          <w:lang w:val="sq-AL"/>
        </w:rPr>
      </w:pPr>
      <w:r w:rsidRPr="004D1D14">
        <w:rPr>
          <w:rFonts w:ascii="Times New Roman" w:hAnsi="Times New Roman"/>
          <w:sz w:val="24"/>
          <w:szCs w:val="24"/>
          <w:lang w:val="sq-AL" w:eastAsia="fr-FR"/>
        </w:rPr>
        <w:t xml:space="preserve"> </w:t>
      </w:r>
      <w:proofErr w:type="spellStart"/>
      <w:r w:rsidRPr="004D1D14">
        <w:rPr>
          <w:rFonts w:ascii="Times New Roman" w:hAnsi="Times New Roman"/>
          <w:sz w:val="24"/>
          <w:szCs w:val="24"/>
          <w:lang w:val="sq-AL"/>
        </w:rPr>
        <w:t>Moskalimin</w:t>
      </w:r>
      <w:proofErr w:type="spellEnd"/>
      <w:r w:rsidRPr="004D1D14">
        <w:rPr>
          <w:rFonts w:ascii="Times New Roman" w:hAnsi="Times New Roman"/>
          <w:sz w:val="24"/>
          <w:szCs w:val="24"/>
          <w:lang w:val="sq-AL"/>
        </w:rPr>
        <w:t xml:space="preserve"> e çështjes për shqyrtim në seancë plenare.</w:t>
      </w:r>
    </w:p>
    <w:p w:rsidR="00386AD2" w:rsidRDefault="00386AD2" w:rsidP="004A2AF1">
      <w:pPr>
        <w:spacing w:after="0" w:line="360" w:lineRule="auto"/>
        <w:rPr>
          <w:rFonts w:ascii="Times New Roman" w:eastAsia="Times New Roman" w:hAnsi="Times New Roman"/>
          <w:b/>
          <w:bCs/>
          <w:color w:val="000000"/>
          <w:sz w:val="24"/>
          <w:szCs w:val="24"/>
          <w:lang w:val="sq-AL"/>
        </w:rPr>
      </w:pPr>
    </w:p>
    <w:p w:rsidR="00386AD2" w:rsidRPr="007B74E0" w:rsidRDefault="00386AD2" w:rsidP="004A2AF1">
      <w:pPr>
        <w:tabs>
          <w:tab w:val="left" w:pos="990"/>
        </w:tabs>
        <w:spacing w:after="0" w:line="360" w:lineRule="auto"/>
        <w:jc w:val="both"/>
        <w:rPr>
          <w:rFonts w:ascii="Times New Roman" w:hAnsi="Times New Roman"/>
          <w:sz w:val="24"/>
          <w:szCs w:val="24"/>
          <w:lang w:val="sq-AL"/>
        </w:rPr>
      </w:pPr>
    </w:p>
    <w:sectPr w:rsidR="00386AD2" w:rsidRPr="007B74E0" w:rsidSect="00F6243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FA" w:rsidRDefault="008440FA" w:rsidP="009508C7">
      <w:pPr>
        <w:spacing w:after="0" w:line="240" w:lineRule="auto"/>
      </w:pPr>
      <w:r>
        <w:separator/>
      </w:r>
    </w:p>
  </w:endnote>
  <w:endnote w:type="continuationSeparator" w:id="0">
    <w:p w:rsidR="008440FA" w:rsidRDefault="008440FA" w:rsidP="0095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95" w:rsidRDefault="006B6D95">
    <w:pPr>
      <w:pStyle w:val="Footer"/>
      <w:jc w:val="right"/>
    </w:pPr>
    <w:r>
      <w:fldChar w:fldCharType="begin"/>
    </w:r>
    <w:r>
      <w:instrText xml:space="preserve"> PAGE   \* MERGEFORMAT </w:instrText>
    </w:r>
    <w:r>
      <w:fldChar w:fldCharType="separate"/>
    </w:r>
    <w:r w:rsidR="00B26C2C">
      <w:rPr>
        <w:noProof/>
      </w:rPr>
      <w:t>6</w:t>
    </w:r>
    <w:r>
      <w:rPr>
        <w:noProof/>
      </w:rPr>
      <w:fldChar w:fldCharType="end"/>
    </w:r>
  </w:p>
  <w:p w:rsidR="009508C7" w:rsidRPr="006B6D95" w:rsidRDefault="009508C7" w:rsidP="006B6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FA" w:rsidRDefault="008440FA" w:rsidP="009508C7">
      <w:pPr>
        <w:spacing w:after="0" w:line="240" w:lineRule="auto"/>
      </w:pPr>
      <w:r>
        <w:separator/>
      </w:r>
    </w:p>
  </w:footnote>
  <w:footnote w:type="continuationSeparator" w:id="0">
    <w:p w:rsidR="008440FA" w:rsidRDefault="008440FA" w:rsidP="00950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135DB"/>
    <w:multiLevelType w:val="multilevel"/>
    <w:tmpl w:val="EDF0C88C"/>
    <w:lvl w:ilvl="0">
      <w:start w:val="1"/>
      <w:numFmt w:val="decimal"/>
      <w:lvlText w:val="%1."/>
      <w:lvlJc w:val="left"/>
      <w:pPr>
        <w:ind w:left="720" w:hanging="360"/>
      </w:pPr>
    </w:lvl>
    <w:lvl w:ilvl="1">
      <w:start w:val="1"/>
      <w:numFmt w:val="decimal"/>
      <w:isLgl/>
      <w:lvlText w:val="%1.%2"/>
      <w:lvlJc w:val="left"/>
      <w:pPr>
        <w:ind w:left="1245" w:hanging="52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8700C66"/>
    <w:multiLevelType w:val="hybridMultilevel"/>
    <w:tmpl w:val="1A523E96"/>
    <w:lvl w:ilvl="0" w:tplc="AA8E8D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860F9"/>
    <w:multiLevelType w:val="hybridMultilevel"/>
    <w:tmpl w:val="D6029508"/>
    <w:lvl w:ilvl="0" w:tplc="CD14087C">
      <w:start w:val="1"/>
      <w:numFmt w:val="upp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0F06E07"/>
    <w:multiLevelType w:val="hybridMultilevel"/>
    <w:tmpl w:val="172A231A"/>
    <w:lvl w:ilvl="0" w:tplc="20583DB4">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B5726E"/>
    <w:multiLevelType w:val="multilevel"/>
    <w:tmpl w:val="2980990C"/>
    <w:lvl w:ilvl="0">
      <w:start w:val="1"/>
      <w:numFmt w:val="decimal"/>
      <w:lvlText w:val="%1."/>
      <w:lvlJc w:val="left"/>
      <w:pPr>
        <w:ind w:left="1080" w:hanging="360"/>
      </w:pPr>
      <w:rPr>
        <w:rFonts w:ascii="Times New Roman" w:eastAsia="Calibri" w:hAnsi="Times New Roman" w:cs="Times New Roman"/>
        <w:b w:val="0"/>
      </w:rPr>
    </w:lvl>
    <w:lvl w:ilvl="1">
      <w:start w:val="1"/>
      <w:numFmt w:val="decimal"/>
      <w:isLgl/>
      <w:lvlText w:val="%1.%2."/>
      <w:lvlJc w:val="left"/>
      <w:pPr>
        <w:ind w:left="1080" w:hanging="360"/>
      </w:pPr>
      <w:rPr>
        <w:rFonts w:eastAsia="Times New Roman" w:hint="default"/>
        <w:b w:val="0"/>
      </w:rPr>
    </w:lvl>
    <w:lvl w:ilvl="2">
      <w:start w:val="1"/>
      <w:numFmt w:val="decimal"/>
      <w:isLgl/>
      <w:lvlText w:val="%1.%2.%3."/>
      <w:lvlJc w:val="left"/>
      <w:pPr>
        <w:ind w:left="1530" w:hanging="720"/>
      </w:pPr>
      <w:rPr>
        <w:rFonts w:eastAsia="Times New Roman" w:hint="default"/>
        <w:b/>
      </w:rPr>
    </w:lvl>
    <w:lvl w:ilvl="3">
      <w:start w:val="1"/>
      <w:numFmt w:val="decimal"/>
      <w:isLgl/>
      <w:lvlText w:val="%1.%2.%3.%4."/>
      <w:lvlJc w:val="left"/>
      <w:pPr>
        <w:ind w:left="1620" w:hanging="720"/>
      </w:pPr>
      <w:rPr>
        <w:rFonts w:eastAsia="Times New Roman" w:hint="default"/>
        <w:b/>
      </w:rPr>
    </w:lvl>
    <w:lvl w:ilvl="4">
      <w:start w:val="1"/>
      <w:numFmt w:val="decimal"/>
      <w:isLgl/>
      <w:lvlText w:val="%1.%2.%3.%4.%5."/>
      <w:lvlJc w:val="left"/>
      <w:pPr>
        <w:ind w:left="2070" w:hanging="1080"/>
      </w:pPr>
      <w:rPr>
        <w:rFonts w:eastAsia="Times New Roman" w:hint="default"/>
        <w:b/>
      </w:rPr>
    </w:lvl>
    <w:lvl w:ilvl="5">
      <w:start w:val="1"/>
      <w:numFmt w:val="decimal"/>
      <w:isLgl/>
      <w:lvlText w:val="%1.%2.%3.%4.%5.%6."/>
      <w:lvlJc w:val="left"/>
      <w:pPr>
        <w:ind w:left="2160" w:hanging="1080"/>
      </w:pPr>
      <w:rPr>
        <w:rFonts w:eastAsia="Times New Roman" w:hint="default"/>
        <w:b/>
      </w:rPr>
    </w:lvl>
    <w:lvl w:ilvl="6">
      <w:start w:val="1"/>
      <w:numFmt w:val="decimal"/>
      <w:isLgl/>
      <w:lvlText w:val="%1.%2.%3.%4.%5.%6.%7."/>
      <w:lvlJc w:val="left"/>
      <w:pPr>
        <w:ind w:left="2610" w:hanging="1440"/>
      </w:pPr>
      <w:rPr>
        <w:rFonts w:eastAsia="Times New Roman" w:hint="default"/>
        <w:b/>
      </w:rPr>
    </w:lvl>
    <w:lvl w:ilvl="7">
      <w:start w:val="1"/>
      <w:numFmt w:val="decimal"/>
      <w:isLgl/>
      <w:lvlText w:val="%1.%2.%3.%4.%5.%6.%7.%8."/>
      <w:lvlJc w:val="left"/>
      <w:pPr>
        <w:ind w:left="2700" w:hanging="1440"/>
      </w:pPr>
      <w:rPr>
        <w:rFonts w:eastAsia="Times New Roman" w:hint="default"/>
        <w:b/>
      </w:rPr>
    </w:lvl>
    <w:lvl w:ilvl="8">
      <w:start w:val="1"/>
      <w:numFmt w:val="decimal"/>
      <w:isLgl/>
      <w:lvlText w:val="%1.%2.%3.%4.%5.%6.%7.%8.%9."/>
      <w:lvlJc w:val="left"/>
      <w:pPr>
        <w:ind w:left="3150" w:hanging="1800"/>
      </w:pPr>
      <w:rPr>
        <w:rFonts w:eastAsia="Times New Roman" w:hint="default"/>
        <w:b/>
      </w:rPr>
    </w:lvl>
  </w:abstractNum>
  <w:abstractNum w:abstractNumId="5">
    <w:nsid w:val="720506E2"/>
    <w:multiLevelType w:val="hybridMultilevel"/>
    <w:tmpl w:val="F96C3AD0"/>
    <w:lvl w:ilvl="0" w:tplc="CF2A268E">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D47B68"/>
    <w:multiLevelType w:val="hybridMultilevel"/>
    <w:tmpl w:val="6C7676E8"/>
    <w:lvl w:ilvl="0" w:tplc="05446A06">
      <w:start w:val="15"/>
      <w:numFmt w:val="decimal"/>
      <w:lvlText w:val="%1."/>
      <w:lvlJc w:val="left"/>
      <w:pPr>
        <w:ind w:left="117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7">
    <w:nsid w:val="78860823"/>
    <w:multiLevelType w:val="hybridMultilevel"/>
    <w:tmpl w:val="0E7883E4"/>
    <w:lvl w:ilvl="0" w:tplc="EF2ADB0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6"/>
  </w:num>
  <w:num w:numId="9">
    <w:abstractNumId w:val="2"/>
  </w:num>
  <w:num w:numId="10">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43"/>
    <w:rsid w:val="00013B09"/>
    <w:rsid w:val="000252C0"/>
    <w:rsid w:val="00070E74"/>
    <w:rsid w:val="001002B9"/>
    <w:rsid w:val="00103FAE"/>
    <w:rsid w:val="001070D0"/>
    <w:rsid w:val="00126A4D"/>
    <w:rsid w:val="00132920"/>
    <w:rsid w:val="001439E2"/>
    <w:rsid w:val="00153BA1"/>
    <w:rsid w:val="00182FAA"/>
    <w:rsid w:val="00265534"/>
    <w:rsid w:val="00272900"/>
    <w:rsid w:val="0027392C"/>
    <w:rsid w:val="00273A17"/>
    <w:rsid w:val="002A0216"/>
    <w:rsid w:val="002D7610"/>
    <w:rsid w:val="00301192"/>
    <w:rsid w:val="003079B0"/>
    <w:rsid w:val="003153A5"/>
    <w:rsid w:val="00333A54"/>
    <w:rsid w:val="00333C39"/>
    <w:rsid w:val="00344CED"/>
    <w:rsid w:val="00347ECF"/>
    <w:rsid w:val="0038288E"/>
    <w:rsid w:val="00386AD2"/>
    <w:rsid w:val="004133A0"/>
    <w:rsid w:val="00414761"/>
    <w:rsid w:val="004911E5"/>
    <w:rsid w:val="004A2AF1"/>
    <w:rsid w:val="004A62DE"/>
    <w:rsid w:val="004C5BB3"/>
    <w:rsid w:val="004D00CC"/>
    <w:rsid w:val="004D1119"/>
    <w:rsid w:val="004D7B68"/>
    <w:rsid w:val="004F2A1B"/>
    <w:rsid w:val="005074B7"/>
    <w:rsid w:val="00556D96"/>
    <w:rsid w:val="00573CCB"/>
    <w:rsid w:val="00576B12"/>
    <w:rsid w:val="005B37B4"/>
    <w:rsid w:val="005E1777"/>
    <w:rsid w:val="0060388F"/>
    <w:rsid w:val="00621304"/>
    <w:rsid w:val="0065110D"/>
    <w:rsid w:val="006511D4"/>
    <w:rsid w:val="00660D65"/>
    <w:rsid w:val="00664AE7"/>
    <w:rsid w:val="006824DF"/>
    <w:rsid w:val="006B6D95"/>
    <w:rsid w:val="006D3C6E"/>
    <w:rsid w:val="006D4BDF"/>
    <w:rsid w:val="007231CD"/>
    <w:rsid w:val="0077485E"/>
    <w:rsid w:val="007B53C5"/>
    <w:rsid w:val="007B701E"/>
    <w:rsid w:val="007B74E0"/>
    <w:rsid w:val="007C3464"/>
    <w:rsid w:val="007E16D9"/>
    <w:rsid w:val="008157D8"/>
    <w:rsid w:val="0083259C"/>
    <w:rsid w:val="00840752"/>
    <w:rsid w:val="008440FA"/>
    <w:rsid w:val="00861838"/>
    <w:rsid w:val="008C63B4"/>
    <w:rsid w:val="008E0DED"/>
    <w:rsid w:val="008F044E"/>
    <w:rsid w:val="008F46D1"/>
    <w:rsid w:val="009300D1"/>
    <w:rsid w:val="00934461"/>
    <w:rsid w:val="009508C7"/>
    <w:rsid w:val="00955298"/>
    <w:rsid w:val="009578B0"/>
    <w:rsid w:val="009C44E8"/>
    <w:rsid w:val="009D168A"/>
    <w:rsid w:val="009E4D82"/>
    <w:rsid w:val="009F3824"/>
    <w:rsid w:val="009F7129"/>
    <w:rsid w:val="00A0184F"/>
    <w:rsid w:val="00A02F02"/>
    <w:rsid w:val="00A0786F"/>
    <w:rsid w:val="00A425CB"/>
    <w:rsid w:val="00A52998"/>
    <w:rsid w:val="00A56FB3"/>
    <w:rsid w:val="00A91131"/>
    <w:rsid w:val="00A9259C"/>
    <w:rsid w:val="00AA6389"/>
    <w:rsid w:val="00AB2D43"/>
    <w:rsid w:val="00AB6778"/>
    <w:rsid w:val="00AD3FF7"/>
    <w:rsid w:val="00AE2BFF"/>
    <w:rsid w:val="00AE4D4A"/>
    <w:rsid w:val="00AE6FEF"/>
    <w:rsid w:val="00AF529D"/>
    <w:rsid w:val="00B04AA3"/>
    <w:rsid w:val="00B04D52"/>
    <w:rsid w:val="00B07D9B"/>
    <w:rsid w:val="00B25847"/>
    <w:rsid w:val="00B26C2C"/>
    <w:rsid w:val="00B346E7"/>
    <w:rsid w:val="00B61343"/>
    <w:rsid w:val="00B63EA5"/>
    <w:rsid w:val="00B73AE6"/>
    <w:rsid w:val="00BC00C3"/>
    <w:rsid w:val="00BC649D"/>
    <w:rsid w:val="00BC6F25"/>
    <w:rsid w:val="00BD0C89"/>
    <w:rsid w:val="00C15539"/>
    <w:rsid w:val="00C369D5"/>
    <w:rsid w:val="00C4333D"/>
    <w:rsid w:val="00C52C38"/>
    <w:rsid w:val="00C67C4E"/>
    <w:rsid w:val="00C721C7"/>
    <w:rsid w:val="00C86831"/>
    <w:rsid w:val="00CB4250"/>
    <w:rsid w:val="00CB4E76"/>
    <w:rsid w:val="00CC0F73"/>
    <w:rsid w:val="00CC533D"/>
    <w:rsid w:val="00CE09B2"/>
    <w:rsid w:val="00CE3BF8"/>
    <w:rsid w:val="00CF58D6"/>
    <w:rsid w:val="00D02596"/>
    <w:rsid w:val="00D21A1E"/>
    <w:rsid w:val="00D26F88"/>
    <w:rsid w:val="00D443B9"/>
    <w:rsid w:val="00D522D7"/>
    <w:rsid w:val="00DA48EA"/>
    <w:rsid w:val="00DB613D"/>
    <w:rsid w:val="00DB6166"/>
    <w:rsid w:val="00DC4A4B"/>
    <w:rsid w:val="00DD6739"/>
    <w:rsid w:val="00E12878"/>
    <w:rsid w:val="00E12980"/>
    <w:rsid w:val="00E17EE6"/>
    <w:rsid w:val="00E27AFF"/>
    <w:rsid w:val="00E80BCA"/>
    <w:rsid w:val="00E83F0F"/>
    <w:rsid w:val="00EA1CAE"/>
    <w:rsid w:val="00EA7C29"/>
    <w:rsid w:val="00EC5CCC"/>
    <w:rsid w:val="00EE05B5"/>
    <w:rsid w:val="00EE27ED"/>
    <w:rsid w:val="00EE5683"/>
    <w:rsid w:val="00F01C70"/>
    <w:rsid w:val="00F07743"/>
    <w:rsid w:val="00F12990"/>
    <w:rsid w:val="00F4041F"/>
    <w:rsid w:val="00F44866"/>
    <w:rsid w:val="00F4595E"/>
    <w:rsid w:val="00F472C4"/>
    <w:rsid w:val="00F50D1B"/>
    <w:rsid w:val="00F6243A"/>
    <w:rsid w:val="00F66CEA"/>
    <w:rsid w:val="00F92955"/>
    <w:rsid w:val="00FB58E7"/>
    <w:rsid w:val="00FF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5E8B8-B2C1-47A2-B9D1-5287E479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52"/>
    <w:pPr>
      <w:ind w:left="720"/>
      <w:contextualSpacing/>
    </w:pPr>
  </w:style>
  <w:style w:type="paragraph" w:styleId="NormalWeb">
    <w:name w:val="Normal (Web)"/>
    <w:basedOn w:val="Normal"/>
    <w:uiPriority w:val="99"/>
    <w:unhideWhenUsed/>
    <w:rsid w:val="00B04AA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5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C7"/>
  </w:style>
  <w:style w:type="paragraph" w:styleId="Footer">
    <w:name w:val="footer"/>
    <w:basedOn w:val="Normal"/>
    <w:link w:val="FooterChar"/>
    <w:uiPriority w:val="99"/>
    <w:unhideWhenUsed/>
    <w:rsid w:val="0095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C7"/>
  </w:style>
  <w:style w:type="character" w:styleId="CommentReference">
    <w:name w:val="annotation reference"/>
    <w:uiPriority w:val="99"/>
    <w:semiHidden/>
    <w:unhideWhenUsed/>
    <w:rsid w:val="00D26F88"/>
    <w:rPr>
      <w:sz w:val="16"/>
      <w:szCs w:val="16"/>
    </w:rPr>
  </w:style>
  <w:style w:type="paragraph" w:styleId="CommentText">
    <w:name w:val="annotation text"/>
    <w:basedOn w:val="Normal"/>
    <w:link w:val="CommentTextChar"/>
    <w:uiPriority w:val="99"/>
    <w:semiHidden/>
    <w:unhideWhenUsed/>
    <w:rsid w:val="00D26F88"/>
    <w:pPr>
      <w:spacing w:line="240" w:lineRule="auto"/>
    </w:pPr>
    <w:rPr>
      <w:sz w:val="20"/>
      <w:szCs w:val="20"/>
      <w:lang w:val="x-none" w:eastAsia="x-none"/>
    </w:rPr>
  </w:style>
  <w:style w:type="character" w:customStyle="1" w:styleId="CommentTextChar">
    <w:name w:val="Comment Text Char"/>
    <w:link w:val="CommentText"/>
    <w:uiPriority w:val="99"/>
    <w:semiHidden/>
    <w:rsid w:val="00D26F88"/>
    <w:rPr>
      <w:sz w:val="20"/>
      <w:szCs w:val="20"/>
    </w:rPr>
  </w:style>
  <w:style w:type="paragraph" w:styleId="CommentSubject">
    <w:name w:val="annotation subject"/>
    <w:basedOn w:val="CommentText"/>
    <w:next w:val="CommentText"/>
    <w:link w:val="CommentSubjectChar"/>
    <w:uiPriority w:val="99"/>
    <w:semiHidden/>
    <w:unhideWhenUsed/>
    <w:rsid w:val="00D26F88"/>
    <w:rPr>
      <w:b/>
      <w:bCs/>
    </w:rPr>
  </w:style>
  <w:style w:type="character" w:customStyle="1" w:styleId="CommentSubjectChar">
    <w:name w:val="Comment Subject Char"/>
    <w:link w:val="CommentSubject"/>
    <w:uiPriority w:val="99"/>
    <w:semiHidden/>
    <w:rsid w:val="00D26F88"/>
    <w:rPr>
      <w:b/>
      <w:bCs/>
      <w:sz w:val="20"/>
      <w:szCs w:val="20"/>
    </w:rPr>
  </w:style>
  <w:style w:type="paragraph" w:styleId="BalloonText">
    <w:name w:val="Balloon Text"/>
    <w:basedOn w:val="Normal"/>
    <w:link w:val="BalloonTextChar"/>
    <w:uiPriority w:val="99"/>
    <w:semiHidden/>
    <w:unhideWhenUsed/>
    <w:rsid w:val="00D26F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26F88"/>
    <w:rPr>
      <w:rFonts w:ascii="Segoe UI" w:hAnsi="Segoe UI" w:cs="Segoe UI"/>
      <w:sz w:val="18"/>
      <w:szCs w:val="18"/>
    </w:rPr>
  </w:style>
  <w:style w:type="character" w:customStyle="1" w:styleId="ListParagraphChar">
    <w:name w:val="List Paragraph Char"/>
    <w:link w:val="ListParagraph"/>
    <w:uiPriority w:val="34"/>
    <w:locked/>
    <w:rsid w:val="00F44866"/>
  </w:style>
  <w:style w:type="character" w:customStyle="1" w:styleId="FootnoteTextChar1">
    <w:name w:val="Footnote Text Char1"/>
    <w:aliases w:val="Car Char,Char1 Char,Footnote Text Char1 Char Char Char Char,Footnote Text Char Char Char Char Char Char"/>
    <w:link w:val="FootnoteText"/>
    <w:uiPriority w:val="99"/>
    <w:semiHidden/>
    <w:locked/>
    <w:rsid w:val="009300D1"/>
    <w:rPr>
      <w:sz w:val="22"/>
      <w:szCs w:val="22"/>
      <w:lang w:val="sq-AL"/>
    </w:rPr>
  </w:style>
  <w:style w:type="paragraph" w:styleId="FootnoteText">
    <w:name w:val="footnote text"/>
    <w:aliases w:val="Car,Char1,Footnote Text Char1 Char Char Char,Footnote Text Char Char Char Char Char"/>
    <w:basedOn w:val="Normal"/>
    <w:link w:val="FootnoteTextChar1"/>
    <w:uiPriority w:val="99"/>
    <w:semiHidden/>
    <w:unhideWhenUsed/>
    <w:rsid w:val="009300D1"/>
    <w:pPr>
      <w:spacing w:after="200" w:line="276" w:lineRule="auto"/>
    </w:pPr>
    <w:rPr>
      <w:lang w:val="sq-AL" w:eastAsia="x-none"/>
    </w:rPr>
  </w:style>
  <w:style w:type="character" w:customStyle="1" w:styleId="FootnoteTextChar">
    <w:name w:val="Footnote Text Char"/>
    <w:basedOn w:val="DefaultParagraphFont"/>
    <w:uiPriority w:val="99"/>
    <w:semiHidden/>
    <w:rsid w:val="009300D1"/>
  </w:style>
  <w:style w:type="character" w:styleId="FootnoteReference">
    <w:name w:val="footnote reference"/>
    <w:uiPriority w:val="99"/>
    <w:semiHidden/>
    <w:unhideWhenUsed/>
    <w:rsid w:val="0093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672">
      <w:bodyDiv w:val="1"/>
      <w:marLeft w:val="0"/>
      <w:marRight w:val="0"/>
      <w:marTop w:val="0"/>
      <w:marBottom w:val="0"/>
      <w:divBdr>
        <w:top w:val="none" w:sz="0" w:space="0" w:color="auto"/>
        <w:left w:val="none" w:sz="0" w:space="0" w:color="auto"/>
        <w:bottom w:val="none" w:sz="0" w:space="0" w:color="auto"/>
        <w:right w:val="none" w:sz="0" w:space="0" w:color="auto"/>
      </w:divBdr>
    </w:div>
    <w:div w:id="480586034">
      <w:bodyDiv w:val="1"/>
      <w:marLeft w:val="0"/>
      <w:marRight w:val="0"/>
      <w:marTop w:val="0"/>
      <w:marBottom w:val="0"/>
      <w:divBdr>
        <w:top w:val="none" w:sz="0" w:space="0" w:color="auto"/>
        <w:left w:val="none" w:sz="0" w:space="0" w:color="auto"/>
        <w:bottom w:val="none" w:sz="0" w:space="0" w:color="auto"/>
        <w:right w:val="none" w:sz="0" w:space="0" w:color="auto"/>
      </w:divBdr>
    </w:div>
    <w:div w:id="1070154647">
      <w:bodyDiv w:val="1"/>
      <w:marLeft w:val="0"/>
      <w:marRight w:val="0"/>
      <w:marTop w:val="0"/>
      <w:marBottom w:val="0"/>
      <w:divBdr>
        <w:top w:val="none" w:sz="0" w:space="0" w:color="auto"/>
        <w:left w:val="none" w:sz="0" w:space="0" w:color="auto"/>
        <w:bottom w:val="none" w:sz="0" w:space="0" w:color="auto"/>
        <w:right w:val="none" w:sz="0" w:space="0" w:color="auto"/>
      </w:divBdr>
    </w:div>
    <w:div w:id="1116144891">
      <w:bodyDiv w:val="1"/>
      <w:marLeft w:val="0"/>
      <w:marRight w:val="0"/>
      <w:marTop w:val="0"/>
      <w:marBottom w:val="0"/>
      <w:divBdr>
        <w:top w:val="none" w:sz="0" w:space="0" w:color="auto"/>
        <w:left w:val="none" w:sz="0" w:space="0" w:color="auto"/>
        <w:bottom w:val="none" w:sz="0" w:space="0" w:color="auto"/>
        <w:right w:val="none" w:sz="0" w:space="0" w:color="auto"/>
      </w:divBdr>
    </w:div>
    <w:div w:id="1262109000">
      <w:bodyDiv w:val="1"/>
      <w:marLeft w:val="0"/>
      <w:marRight w:val="0"/>
      <w:marTop w:val="0"/>
      <w:marBottom w:val="0"/>
      <w:divBdr>
        <w:top w:val="none" w:sz="0" w:space="0" w:color="auto"/>
        <w:left w:val="none" w:sz="0" w:space="0" w:color="auto"/>
        <w:bottom w:val="none" w:sz="0" w:space="0" w:color="auto"/>
        <w:right w:val="none" w:sz="0" w:space="0" w:color="auto"/>
      </w:divBdr>
    </w:div>
    <w:div w:id="1416395416">
      <w:bodyDiv w:val="1"/>
      <w:marLeft w:val="0"/>
      <w:marRight w:val="0"/>
      <w:marTop w:val="0"/>
      <w:marBottom w:val="0"/>
      <w:divBdr>
        <w:top w:val="none" w:sz="0" w:space="0" w:color="auto"/>
        <w:left w:val="none" w:sz="0" w:space="0" w:color="auto"/>
        <w:bottom w:val="none" w:sz="0" w:space="0" w:color="auto"/>
        <w:right w:val="none" w:sz="0" w:space="0" w:color="auto"/>
      </w:divBdr>
    </w:div>
    <w:div w:id="1620909929">
      <w:bodyDiv w:val="1"/>
      <w:marLeft w:val="0"/>
      <w:marRight w:val="0"/>
      <w:marTop w:val="0"/>
      <w:marBottom w:val="0"/>
      <w:divBdr>
        <w:top w:val="none" w:sz="0" w:space="0" w:color="auto"/>
        <w:left w:val="none" w:sz="0" w:space="0" w:color="auto"/>
        <w:bottom w:val="none" w:sz="0" w:space="0" w:color="auto"/>
        <w:right w:val="none" w:sz="0" w:space="0" w:color="auto"/>
      </w:divBdr>
    </w:div>
    <w:div w:id="1668745541">
      <w:bodyDiv w:val="1"/>
      <w:marLeft w:val="0"/>
      <w:marRight w:val="0"/>
      <w:marTop w:val="0"/>
      <w:marBottom w:val="0"/>
      <w:divBdr>
        <w:top w:val="none" w:sz="0" w:space="0" w:color="auto"/>
        <w:left w:val="none" w:sz="0" w:space="0" w:color="auto"/>
        <w:bottom w:val="none" w:sz="0" w:space="0" w:color="auto"/>
        <w:right w:val="none" w:sz="0" w:space="0" w:color="auto"/>
      </w:divBdr>
    </w:div>
    <w:div w:id="1747417766">
      <w:bodyDiv w:val="1"/>
      <w:marLeft w:val="0"/>
      <w:marRight w:val="0"/>
      <w:marTop w:val="0"/>
      <w:marBottom w:val="0"/>
      <w:divBdr>
        <w:top w:val="none" w:sz="0" w:space="0" w:color="auto"/>
        <w:left w:val="none" w:sz="0" w:space="0" w:color="auto"/>
        <w:bottom w:val="none" w:sz="0" w:space="0" w:color="auto"/>
        <w:right w:val="none" w:sz="0" w:space="0" w:color="auto"/>
      </w:divBdr>
    </w:div>
    <w:div w:id="1894194827">
      <w:bodyDiv w:val="1"/>
      <w:marLeft w:val="0"/>
      <w:marRight w:val="0"/>
      <w:marTop w:val="0"/>
      <w:marBottom w:val="0"/>
      <w:divBdr>
        <w:top w:val="none" w:sz="0" w:space="0" w:color="auto"/>
        <w:left w:val="none" w:sz="0" w:space="0" w:color="auto"/>
        <w:bottom w:val="none" w:sz="0" w:space="0" w:color="auto"/>
        <w:right w:val="none" w:sz="0" w:space="0" w:color="auto"/>
      </w:divBdr>
    </w:div>
    <w:div w:id="20248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Siri Petrela etj.</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Dt.18.03.21</dc:subject>
  <dc:description/>
  <cp:lastModifiedBy>User</cp:lastModifiedBy>
  <cp:revision>3</cp:revision>
  <cp:lastPrinted>2021-03-29T09:49:00Z</cp:lastPrinted>
  <dcterms:created xsi:type="dcterms:W3CDTF">2021-03-31T13:33:00Z</dcterms:created>
  <dcterms:modified xsi:type="dcterms:W3CDTF">2021-03-31T14:04:00Z</dcterms:modified>
</cp:coreProperties>
</file>