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D2" w:rsidRPr="00D020A4" w:rsidRDefault="00F6412C" w:rsidP="00E956D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V</w:t>
      </w:r>
      <w:r w:rsidR="00E956D2">
        <w:rPr>
          <w:rFonts w:ascii="Times New Roman" w:hAnsi="Times New Roman" w:cs="Times New Roman"/>
          <w:b/>
          <w:bCs/>
          <w:sz w:val="24"/>
          <w:szCs w:val="24"/>
          <w:lang w:val="sq-AL"/>
        </w:rPr>
        <w:t>endim nr. 50 dat</w:t>
      </w:r>
      <w:r w:rsidR="00E956D2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ë</w:t>
      </w:r>
      <w:r w:rsidR="00E956D2" w:rsidRPr="00D020A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18.03.2021</w:t>
      </w:r>
    </w:p>
    <w:p w:rsidR="00B61343" w:rsidRPr="00D020A4" w:rsidRDefault="00B61343" w:rsidP="006F2B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B61343" w:rsidRPr="00D020A4" w:rsidRDefault="00B61343" w:rsidP="00034A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>Mbledhja e Gjyqtarëve të Gjykatës Kushtetuese të Republikës së Shqipërisë, e përbërë nga: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 w:rsidRPr="006F2B17">
        <w:rPr>
          <w:rFonts w:ascii="Times New Roman" w:hAnsi="Times New Roman" w:cs="Times New Roman"/>
          <w:sz w:val="24"/>
          <w:szCs w:val="24"/>
          <w:lang w:val="sq-AL"/>
        </w:rPr>
        <w:t>Vitore Tusha,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 w:rsidRPr="006F2B17">
        <w:rPr>
          <w:rFonts w:ascii="Times New Roman" w:hAnsi="Times New Roman" w:cs="Times New Roman"/>
          <w:sz w:val="24"/>
          <w:szCs w:val="24"/>
          <w:lang w:val="sq-AL"/>
        </w:rPr>
        <w:t>Kryetare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>Elsa Toska,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>Fiona Papajorgji,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 w:rsidRPr="006F2B17">
        <w:rPr>
          <w:rFonts w:ascii="Times New Roman" w:hAnsi="Times New Roman" w:cs="Times New Roman"/>
          <w:sz w:val="24"/>
          <w:szCs w:val="24"/>
          <w:lang w:val="sq-AL"/>
        </w:rPr>
        <w:t>Altin Binaj,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>Sonila Bejtja,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>Marsida Xhaferllari,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="00D9101A">
        <w:rPr>
          <w:rFonts w:ascii="Times New Roman" w:hAnsi="Times New Roman" w:cs="Times New Roman"/>
          <w:sz w:val="24"/>
          <w:szCs w:val="24"/>
          <w:lang w:val="sq-AL"/>
        </w:rPr>
        <w:t>nëtare</w:t>
      </w:r>
      <w:r w:rsidR="00E956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95ADB">
        <w:rPr>
          <w:rFonts w:ascii="Times New Roman" w:hAnsi="Times New Roman" w:cs="Times New Roman"/>
          <w:sz w:val="24"/>
          <w:szCs w:val="24"/>
          <w:lang w:val="sq-AL"/>
        </w:rPr>
        <w:t>në datën 1</w:t>
      </w:r>
      <w:r w:rsidR="00F6412C" w:rsidRPr="00D020A4">
        <w:rPr>
          <w:rFonts w:ascii="Times New Roman" w:hAnsi="Times New Roman" w:cs="Times New Roman"/>
          <w:sz w:val="24"/>
          <w:szCs w:val="24"/>
          <w:lang w:val="sq-AL"/>
        </w:rPr>
        <w:t>8.03.</w:t>
      </w:r>
      <w:r w:rsidR="00095ADB">
        <w:rPr>
          <w:rFonts w:ascii="Times New Roman" w:hAnsi="Times New Roman" w:cs="Times New Roman"/>
          <w:sz w:val="24"/>
          <w:szCs w:val="24"/>
          <w:lang w:val="sq-AL"/>
        </w:rPr>
        <w:t xml:space="preserve">2021 mori në shqyrtim paraprak 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çështjen me nr. </w:t>
      </w:r>
      <w:r w:rsidR="0034688A">
        <w:rPr>
          <w:rFonts w:ascii="Times New Roman" w:hAnsi="Times New Roman" w:cs="Times New Roman"/>
          <w:sz w:val="24"/>
          <w:szCs w:val="24"/>
          <w:lang w:val="sq-AL"/>
        </w:rPr>
        <w:t>1 (</w:t>
      </w:r>
      <w:r w:rsidR="00A802CA" w:rsidRPr="00D020A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4688A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95ADB">
        <w:rPr>
          <w:rFonts w:ascii="Times New Roman" w:hAnsi="Times New Roman" w:cs="Times New Roman"/>
          <w:sz w:val="24"/>
          <w:szCs w:val="24"/>
          <w:lang w:val="sq-AL"/>
        </w:rPr>
        <w:t xml:space="preserve">2020 Regj. 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Them., 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që u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përket:</w:t>
      </w:r>
    </w:p>
    <w:p w:rsidR="00B61343" w:rsidRPr="00D020A4" w:rsidRDefault="00B61343" w:rsidP="006F2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1343" w:rsidRPr="00D020A4" w:rsidRDefault="00B61343" w:rsidP="00034ADD">
      <w:pPr>
        <w:spacing w:after="0" w:line="360" w:lineRule="auto"/>
        <w:ind w:left="2970" w:hanging="2250"/>
        <w:jc w:val="both"/>
        <w:rPr>
          <w:rFonts w:ascii="Times New Roman" w:eastAsia="MS Mincho" w:hAnsi="Times New Roman"/>
          <w:b/>
          <w:cap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KËRKUES</w:t>
      </w:r>
      <w:r w:rsidR="00624A33"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E</w:t>
      </w: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624A33"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</w:t>
      </w:r>
      <w:r w:rsidR="00F6412C" w:rsidRPr="00D020A4">
        <w:rPr>
          <w:rFonts w:ascii="Times New Roman" w:eastAsia="MS Mincho" w:hAnsi="Times New Roman"/>
          <w:b/>
          <w:caps/>
          <w:sz w:val="24"/>
          <w:szCs w:val="24"/>
          <w:lang w:val="sq-AL"/>
        </w:rPr>
        <w:t>ROZETA XHAGJIKA</w:t>
      </w:r>
      <w:r w:rsidR="00034ADD">
        <w:rPr>
          <w:rFonts w:ascii="Times New Roman" w:eastAsia="MS Mincho" w:hAnsi="Times New Roman"/>
          <w:b/>
          <w:caps/>
          <w:sz w:val="24"/>
          <w:szCs w:val="24"/>
          <w:lang w:val="sq-AL"/>
        </w:rPr>
        <w:t xml:space="preserve">, </w:t>
      </w:r>
      <w:r w:rsidR="00F6412C" w:rsidRPr="00D020A4">
        <w:rPr>
          <w:rFonts w:ascii="Times New Roman" w:eastAsia="MS Mincho" w:hAnsi="Times New Roman"/>
          <w:b/>
          <w:caps/>
          <w:sz w:val="24"/>
          <w:szCs w:val="24"/>
          <w:lang w:val="sq-AL"/>
        </w:rPr>
        <w:t>MILENA NISHKU</w:t>
      </w:r>
      <w:r w:rsidR="00034ADD">
        <w:rPr>
          <w:rFonts w:ascii="Times New Roman" w:eastAsia="MS Mincho" w:hAnsi="Times New Roman"/>
          <w:b/>
          <w:caps/>
          <w:sz w:val="24"/>
          <w:szCs w:val="24"/>
          <w:lang w:val="sq-AL"/>
        </w:rPr>
        <w:t xml:space="preserve">, </w:t>
      </w:r>
      <w:r w:rsidR="00F6412C" w:rsidRPr="00D020A4">
        <w:rPr>
          <w:rFonts w:ascii="Times New Roman" w:eastAsia="MS Mincho" w:hAnsi="Times New Roman"/>
          <w:b/>
          <w:caps/>
          <w:sz w:val="24"/>
          <w:szCs w:val="24"/>
          <w:lang w:val="sq-AL"/>
        </w:rPr>
        <w:t>IRENA ÇELA</w:t>
      </w:r>
    </w:p>
    <w:p w:rsidR="008B0D8A" w:rsidRPr="00D020A4" w:rsidRDefault="008B0D8A" w:rsidP="006F2B17">
      <w:pPr>
        <w:spacing w:after="0" w:line="360" w:lineRule="auto"/>
        <w:ind w:left="2970" w:firstLine="630"/>
        <w:jc w:val="both"/>
        <w:rPr>
          <w:rFonts w:ascii="Times New Roman" w:eastAsia="MS Mincho" w:hAnsi="Times New Roman"/>
          <w:b/>
          <w:caps/>
          <w:sz w:val="24"/>
          <w:szCs w:val="24"/>
          <w:lang w:val="sq-AL"/>
        </w:rPr>
      </w:pPr>
    </w:p>
    <w:p w:rsidR="00840752" w:rsidRPr="00D020A4" w:rsidRDefault="00B61343" w:rsidP="006F2B17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OBJEKTI:</w:t>
      </w: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F94A60">
        <w:rPr>
          <w:rFonts w:ascii="Times New Roman" w:hAnsi="Times New Roman" w:cs="Times New Roman"/>
          <w:b/>
          <w:sz w:val="24"/>
          <w:szCs w:val="24"/>
          <w:lang w:val="sq-AL"/>
        </w:rPr>
        <w:t>Shfuqizimi</w:t>
      </w:r>
      <w:r w:rsidR="008165B7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si të papajtueshme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Kushtetutën dhe K</w:t>
      </w:r>
      <w:r w:rsidR="008165B7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onventën 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8165B7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vropiane për të 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D</w:t>
      </w:r>
      <w:r w:rsidR="008165B7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rejtat e 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8165B7" w:rsidRPr="00D020A4">
        <w:rPr>
          <w:rFonts w:ascii="Times New Roman" w:hAnsi="Times New Roman" w:cs="Times New Roman"/>
          <w:b/>
          <w:sz w:val="24"/>
          <w:szCs w:val="24"/>
          <w:lang w:val="sq-AL"/>
        </w:rPr>
        <w:t>jeriut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neneve 6</w:t>
      </w:r>
      <w:r w:rsidR="00F94A60">
        <w:rPr>
          <w:rFonts w:ascii="Times New Roman" w:hAnsi="Times New Roman" w:cs="Times New Roman"/>
          <w:b/>
          <w:sz w:val="24"/>
          <w:szCs w:val="24"/>
          <w:lang w:val="sq-AL"/>
        </w:rPr>
        <w:t>, pika 1, shkronja “b”, 7 dhe</w:t>
      </w:r>
      <w:r w:rsidR="00DB6166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pika 2, shkronjat “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DB6166" w:rsidRPr="00D020A4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r w:rsidR="00DB6166" w:rsidRPr="00D020A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DB6166" w:rsidRPr="00D020A4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ligjit nr.</w:t>
      </w:r>
      <w:r w:rsidR="00DB6166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>133/2015 “Për trajtimin e pronës dhe përfundimin e procesit të kompensimit të pronave”</w:t>
      </w:r>
      <w:r w:rsidR="00451E24" w:rsidRPr="00D020A4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40752"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B61343" w:rsidRPr="00D020A4" w:rsidRDefault="00840752" w:rsidP="006F2B17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FF7C98" w:rsidRPr="00D020A4" w:rsidRDefault="00840752" w:rsidP="00034ADD">
      <w:pPr>
        <w:spacing w:after="0" w:line="360" w:lineRule="auto"/>
        <w:ind w:left="2970" w:hanging="2250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>BAZA LIGJORE:</w:t>
      </w: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Nenet 4, 17, 1</w:t>
      </w:r>
      <w:r w:rsidR="00DB6166" w:rsidRPr="00D020A4">
        <w:rPr>
          <w:rFonts w:ascii="Times New Roman" w:hAnsi="Times New Roman" w:cs="Times New Roman"/>
          <w:sz w:val="24"/>
          <w:szCs w:val="24"/>
          <w:lang w:val="sq-AL"/>
        </w:rPr>
        <w:t>8, pika 1, 41, 42, 131, pika 1, shkronja “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DB6166" w:rsidRPr="00D020A4">
        <w:rPr>
          <w:rFonts w:ascii="Times New Roman" w:hAnsi="Times New Roman" w:cs="Times New Roman"/>
          <w:sz w:val="24"/>
          <w:szCs w:val="24"/>
          <w:lang w:val="sq-AL"/>
        </w:rPr>
        <w:t>”, 132, 134, pika 1, shkronja “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B6166" w:rsidRPr="00D020A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51E24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181 të Kushtetutës</w:t>
      </w:r>
      <w:r w:rsidR="00DB6166" w:rsidRPr="00D020A4">
        <w:rPr>
          <w:rFonts w:ascii="Times New Roman" w:hAnsi="Times New Roman" w:cs="Times New Roman"/>
          <w:sz w:val="24"/>
          <w:szCs w:val="24"/>
          <w:lang w:val="sq-AL"/>
        </w:rPr>
        <w:t>; nenet 6 dhe 13 të</w:t>
      </w:r>
      <w:r w:rsidR="00F94A60" w:rsidRPr="00F94A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F94A60" w:rsidRPr="00DA5F0D">
        <w:rPr>
          <w:rFonts w:ascii="Times New Roman" w:hAnsi="Times New Roman" w:cs="Times New Roman"/>
          <w:sz w:val="24"/>
          <w:szCs w:val="24"/>
          <w:lang w:val="sq-AL"/>
        </w:rPr>
        <w:t>Konventës Evropiane për të Drejtat e Njeriut</w:t>
      </w:r>
      <w:r w:rsidR="00DB6166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(</w:t>
      </w:r>
      <w:r w:rsidRPr="00F94A60">
        <w:rPr>
          <w:rFonts w:ascii="Times New Roman" w:hAnsi="Times New Roman" w:cs="Times New Roman"/>
          <w:i/>
          <w:sz w:val="24"/>
          <w:szCs w:val="24"/>
          <w:lang w:val="sq-AL"/>
        </w:rPr>
        <w:t>KEDNJ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84419D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dhe n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="0084419D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i 1 i Protokollit </w:t>
      </w:r>
      <w:r w:rsidR="00FF7C98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1 të </w:t>
      </w:r>
      <w:r w:rsidR="0084419D" w:rsidRPr="00D020A4">
        <w:rPr>
          <w:rFonts w:ascii="Times New Roman" w:hAnsi="Times New Roman" w:cs="Times New Roman"/>
          <w:sz w:val="24"/>
          <w:szCs w:val="24"/>
          <w:lang w:val="sq-AL"/>
        </w:rPr>
        <w:t>saj</w:t>
      </w:r>
      <w:r w:rsidR="00FF7C98" w:rsidRPr="00D020A4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FF7C98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 ligji nr. 8577, datë 10.02.2000 “Për organizimin dhe funksionimin e Gjykatës Kushtetuese</w:t>
      </w:r>
      <w:r w:rsidR="00095ADB">
        <w:rPr>
          <w:rFonts w:ascii="Times New Roman" w:eastAsia="MS Mincho" w:hAnsi="Times New Roman"/>
          <w:sz w:val="24"/>
          <w:szCs w:val="24"/>
          <w:lang w:val="sq-AL"/>
        </w:rPr>
        <w:t xml:space="preserve"> të Republikës së Shqipërisë”, i</w:t>
      </w:r>
      <w:r w:rsidR="00FF7C98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 ndryshuar (</w:t>
      </w:r>
      <w:r w:rsidR="00FF7C98" w:rsidRPr="00D020A4">
        <w:rPr>
          <w:rFonts w:ascii="Times New Roman" w:eastAsia="MS Mincho" w:hAnsi="Times New Roman"/>
          <w:i/>
          <w:sz w:val="24"/>
          <w:szCs w:val="24"/>
          <w:lang w:val="sq-AL"/>
        </w:rPr>
        <w:t>ligji nr. 8577/2000</w:t>
      </w:r>
      <w:r w:rsidR="00FF7C98" w:rsidRPr="00D020A4">
        <w:rPr>
          <w:rFonts w:ascii="Times New Roman" w:eastAsia="MS Mincho" w:hAnsi="Times New Roman"/>
          <w:sz w:val="24"/>
          <w:szCs w:val="24"/>
          <w:lang w:val="sq-AL"/>
        </w:rPr>
        <w:t>).</w:t>
      </w:r>
    </w:p>
    <w:p w:rsidR="00840752" w:rsidRPr="00D020A4" w:rsidRDefault="00840752" w:rsidP="006F2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0752" w:rsidRPr="00D020A4" w:rsidRDefault="00840752" w:rsidP="006F2B17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>Mbledhja e Gjyqtarëve të Gjykatës Kushtetuese (</w:t>
      </w:r>
      <w:r w:rsidRPr="00D020A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Mbledhja e Gjyqtarëve</w:t>
      </w:r>
      <w:r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>), pasi shqyrtoi kërkesën, dokumentet shoqëruese dhe diskutoi çështjen në tërësi,</w:t>
      </w:r>
    </w:p>
    <w:p w:rsidR="00840752" w:rsidRPr="00D020A4" w:rsidRDefault="00840752" w:rsidP="006F2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0752" w:rsidRPr="00D020A4" w:rsidRDefault="007418AF" w:rsidP="006F2B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VËRE</w:t>
      </w:r>
      <w:r w:rsidR="00840752"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N:</w:t>
      </w:r>
    </w:p>
    <w:p w:rsidR="00840752" w:rsidRPr="00D020A4" w:rsidRDefault="00840752" w:rsidP="006F2B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8B0D8A" w:rsidRPr="00D020A4" w:rsidRDefault="008B0D8A" w:rsidP="006F2B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bCs/>
          <w:sz w:val="24"/>
          <w:szCs w:val="24"/>
          <w:lang w:val="sq-AL"/>
        </w:rPr>
        <w:t>Rrethanat e çështjes</w:t>
      </w:r>
    </w:p>
    <w:p w:rsidR="00D96D74" w:rsidRPr="00D020A4" w:rsidRDefault="00FC584B" w:rsidP="00D96D74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/>
          <w:sz w:val="24"/>
          <w:szCs w:val="24"/>
          <w:lang w:val="sq-AL"/>
        </w:rPr>
        <w:t>K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rkueset jan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trash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gimtare ligjore t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subjektit t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shpron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suar K.B. </w:t>
      </w:r>
      <w:r w:rsidR="008B0D8A" w:rsidRPr="00D020A4">
        <w:rPr>
          <w:rFonts w:ascii="Times New Roman" w:eastAsia="Times New Roman" w:hAnsi="Times New Roman"/>
          <w:sz w:val="24"/>
          <w:szCs w:val="24"/>
          <w:lang w:val="sq-AL"/>
        </w:rPr>
        <w:t>Me vendimin nr. 469/2, datë 09.02.1995 të Komisionit të Kthimit dhe Kompensimit të Pronave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8B0D8A"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pranë Bashkisë Durrës, 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atyre u 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sht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njohur e drejta e pron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sis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r nj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truall prej </w:t>
      </w:r>
      <w:r w:rsidR="008B0D8A"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4.152 m², 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e drejta e 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kompensimit 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r sip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rfaqet 1.000 m², 304 m² dhe 648 m², e drejta e parablerjes 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r sip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rfaqen </w:t>
      </w:r>
      <w:r w:rsidR="008B0D8A"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2.048 m² 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dhe kthimi fizik i sip</w:t>
      </w:r>
      <w:r w:rsidR="00D96D74" w:rsidRPr="00D020A4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rfaqes </w:t>
      </w:r>
      <w:r w:rsidR="008B0D8A" w:rsidRPr="00D020A4">
        <w:rPr>
          <w:rFonts w:ascii="Times New Roman" w:eastAsia="Times New Roman" w:hAnsi="Times New Roman"/>
          <w:sz w:val="24"/>
          <w:szCs w:val="24"/>
          <w:lang w:val="sq-AL"/>
        </w:rPr>
        <w:t>152 m².</w:t>
      </w:r>
    </w:p>
    <w:p w:rsidR="00D96D74" w:rsidRPr="00D020A4" w:rsidRDefault="00D96D74" w:rsidP="00D96D74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/>
          <w:sz w:val="24"/>
          <w:szCs w:val="24"/>
          <w:lang w:val="sq-AL"/>
        </w:rPr>
        <w:t>Vendimi për kompensimin e pronave nuk është ekzekutuar ende dhe për këtë shkak kërkueset janë subjekte të ligjit nr. 133/2015 “Për trajtimin e pronës dhe përfundimin e procesit të kompensimit të pronave” (</w:t>
      </w:r>
      <w:r w:rsidRPr="00D020A4">
        <w:rPr>
          <w:rFonts w:ascii="Times New Roman" w:eastAsia="Times New Roman" w:hAnsi="Times New Roman"/>
          <w:i/>
          <w:sz w:val="24"/>
          <w:szCs w:val="24"/>
          <w:lang w:val="sq-AL"/>
        </w:rPr>
        <w:t>ligji nr. 133/2015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>), që përcakton, ndër të tjera, procedurën dhe metodologjinë e vlerësimit financiar të pronave që duhen kompensuar, që zbatohe</w:t>
      </w:r>
      <w:r w:rsidR="00F94A60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 nga Agjencia e Trajtimit të Pronës (</w:t>
      </w:r>
      <w:r w:rsidRPr="00D020A4">
        <w:rPr>
          <w:rFonts w:ascii="Times New Roman" w:eastAsia="Times New Roman" w:hAnsi="Times New Roman"/>
          <w:i/>
          <w:sz w:val="24"/>
          <w:szCs w:val="24"/>
          <w:lang w:val="sq-AL"/>
        </w:rPr>
        <w:t>ATP</w:t>
      </w: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). </w:t>
      </w:r>
    </w:p>
    <w:p w:rsidR="00D96D74" w:rsidRPr="00D020A4" w:rsidRDefault="00D96D74" w:rsidP="00D96D74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/>
          <w:sz w:val="24"/>
          <w:szCs w:val="24"/>
          <w:lang w:val="sq-AL"/>
        </w:rPr>
        <w:t xml:space="preserve">Ato i janë drejtuar ATP-së me </w:t>
      </w: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kërkesë për informacion për ecurinë e trajtimit të rast</w:t>
      </w:r>
      <w:r w:rsidR="00F94A60">
        <w:rPr>
          <w:rFonts w:ascii="Times New Roman" w:eastAsia="Times New Roman" w:hAnsi="Times New Roman" w:cs="Times New Roman"/>
          <w:sz w:val="24"/>
          <w:szCs w:val="24"/>
          <w:lang w:val="sq-AL"/>
        </w:rPr>
        <w:t>it të tyre. Në datën 16.06.2020</w:t>
      </w: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ATP-ja i ka njoftuar me shkrim kërkueset </w:t>
      </w:r>
      <w:r w:rsidRPr="00D020A4">
        <w:rPr>
          <w:rFonts w:ascii="Times New Roman" w:hAnsi="Times New Roman" w:cs="Times New Roman"/>
          <w:sz w:val="24"/>
          <w:lang w:val="sq-AL"/>
        </w:rPr>
        <w:t>se zëri kadastral i origjinës së pronave për t’u kompensuar ishte “</w:t>
      </w:r>
      <w:r w:rsidRPr="00D020A4">
        <w:rPr>
          <w:rFonts w:ascii="Times New Roman" w:hAnsi="Times New Roman" w:cs="Times New Roman"/>
          <w:i/>
          <w:sz w:val="24"/>
          <w:lang w:val="sq-AL"/>
        </w:rPr>
        <w:t>tokë bujqësore”</w:t>
      </w:r>
      <w:r w:rsidRPr="00D020A4">
        <w:rPr>
          <w:rFonts w:ascii="Times New Roman" w:hAnsi="Times New Roman" w:cs="Times New Roman"/>
          <w:sz w:val="24"/>
          <w:lang w:val="sq-AL"/>
        </w:rPr>
        <w:t xml:space="preserve"> dhe në zbatim të nenit 7, pika 2, shkronja “a”</w:t>
      </w:r>
      <w:r w:rsidR="00F94A60">
        <w:rPr>
          <w:rFonts w:ascii="Times New Roman" w:hAnsi="Times New Roman" w:cs="Times New Roman"/>
          <w:sz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lang w:val="sq-AL"/>
        </w:rPr>
        <w:t xml:space="preserve"> të ligjit nr.</w:t>
      </w:r>
      <w:r w:rsidR="0084419D" w:rsidRPr="00D020A4">
        <w:rPr>
          <w:rFonts w:ascii="Times New Roman" w:hAnsi="Times New Roman" w:cs="Times New Roman"/>
          <w:sz w:val="24"/>
          <w:lang w:val="sq-AL"/>
        </w:rPr>
        <w:t xml:space="preserve"> </w:t>
      </w:r>
      <w:r w:rsidRPr="00D020A4">
        <w:rPr>
          <w:rFonts w:ascii="Times New Roman" w:hAnsi="Times New Roman" w:cs="Times New Roman"/>
          <w:sz w:val="24"/>
          <w:lang w:val="sq-AL"/>
        </w:rPr>
        <w:t>133/2015, si dhe të akteve nënligjore respektive</w:t>
      </w:r>
      <w:r w:rsidRPr="00D020A4">
        <w:rPr>
          <w:rFonts w:ascii="Times New Roman" w:hAnsi="Times New Roman" w:cs="Times New Roman"/>
          <w:bCs/>
          <w:sz w:val="24"/>
          <w:lang w:val="sq-AL"/>
        </w:rPr>
        <w:t xml:space="preserve">, </w:t>
      </w:r>
      <w:r w:rsidRPr="00D020A4">
        <w:rPr>
          <w:rFonts w:ascii="Times New Roman" w:hAnsi="Times New Roman" w:cs="Times New Roman"/>
          <w:sz w:val="24"/>
          <w:lang w:val="sq-AL"/>
        </w:rPr>
        <w:t>kërkueset konsideroheshin të kompensuara</w:t>
      </w:r>
      <w:r w:rsidR="00F94A60">
        <w:rPr>
          <w:rFonts w:ascii="Times New Roman" w:hAnsi="Times New Roman" w:cs="Times New Roman"/>
          <w:sz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lang w:val="sq-AL"/>
        </w:rPr>
        <w:t xml:space="preserve"> pasi pronat për t’u kompensuar kishin vlerë më të ulët se ajo e pronës që u ishte kthyer atyre me të njëjtin vendim. </w:t>
      </w:r>
    </w:p>
    <w:p w:rsidR="00D96D74" w:rsidRPr="00D020A4" w:rsidRDefault="00823A0B" w:rsidP="00D96D74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Nga aktet që shoqërojnë kërkesën, si dhe nga informacioni i publikuar në faqet zyrtare të Gjykatës Administrative të Apelit dhe Gjykatës së Lartë nuk rezulton që kërkueset të kenë paraqitur ankim në </w:t>
      </w:r>
      <w:r w:rsidR="0084419D" w:rsidRPr="00D020A4">
        <w:rPr>
          <w:rFonts w:ascii="Times New Roman" w:hAnsi="Times New Roman" w:cs="Times New Roman"/>
          <w:sz w:val="24"/>
          <w:szCs w:val="24"/>
          <w:lang w:val="sq-AL"/>
        </w:rPr>
        <w:t>ato gjykata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ndaj vlerësimit financiar të ATP-së.</w:t>
      </w:r>
    </w:p>
    <w:p w:rsidR="0084419D" w:rsidRPr="00D020A4" w:rsidRDefault="00823A0B" w:rsidP="0084419D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>Në datën 13.08.2020 kërkueset i janë drejtuar Gjykatës Kushtetuese për shfuqizimin e neneve 6, pika 1, shkronja “b” dhe 7, pika 2, shkronjat “a” dhe “b” të ligjit nr. 133/2015. Neni  6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pika 1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shkronja “b” parashikon s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D020A4">
        <w:rPr>
          <w:rFonts w:ascii="Times New Roman" w:hAnsi="Times New Roman" w:cs="Times New Roman"/>
          <w:i/>
          <w:sz w:val="24"/>
          <w:szCs w:val="24"/>
          <w:lang w:val="sq-AL"/>
        </w:rPr>
        <w:t>për efekt të ekzekutimit, të gjitha vendimet përfundimtare për kthimin dhe kompensimin e pronës do t'i nënshtrohen vlerësimit financiar nga ATP-ja, si më poshtë: (...) prona e kthyer vlerësohet duke e përcaktuar atë nga diferenca, që do të rezultojë midis vlerës së saj, sipas zërit kadastral aktual, dhe vlerës së kësaj prone, sipas zërit kadastral në kohën e shpronësimit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 xml:space="preserve">”. Ndërsa neni 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pika 2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shkronjat “a” dhe “b”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parashikon se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020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“(...) </w:t>
      </w:r>
      <w:r w:rsidR="00DA5F0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Pr="00D020A4">
        <w:rPr>
          <w:rFonts w:ascii="Times New Roman" w:hAnsi="Times New Roman" w:cs="Times New Roman"/>
          <w:i/>
          <w:sz w:val="24"/>
          <w:szCs w:val="24"/>
          <w:lang w:val="sq-AL"/>
        </w:rPr>
        <w:t>lerësimi financiar i vendimeve përfundimtare për kompensim do të bëhet duke vlerësuar financiarisht pronën e njohur për kompensim, sipas nenit 6, të këtij ligji, në përputhje me procedurën e mëposhtme: a) nëse vlerësimi i pronës së kthyer me vendim përfundimtar rezulton se është më i madh sesa vlerësimi i tokës së njohur për kompensim, atëherë subjekti i shpronësuar konsiderohet i kompensuar; b) nëse vlerësimi i pronës që është njohur për kompensim është më i madh sesa vlerësimi i tokës së kthyer, atëherë subjektit i kompensohet diferenca, sipas përcaktimeve të këtij ligji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840752" w:rsidRPr="00D020A4" w:rsidRDefault="00F94A60" w:rsidP="0084419D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>Kolegji i Gjykatës Kushtetuese</w:t>
      </w:r>
      <w:r w:rsidR="00F44866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</w:t>
      </w:r>
      <w:r w:rsidR="00F44866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datën </w:t>
      </w:r>
      <w:r w:rsidR="008B0D8A" w:rsidRPr="00D020A4">
        <w:rPr>
          <w:rFonts w:ascii="Times New Roman" w:eastAsia="MS Mincho" w:hAnsi="Times New Roman"/>
          <w:sz w:val="24"/>
          <w:szCs w:val="24"/>
          <w:lang w:val="sq-AL"/>
        </w:rPr>
        <w:t>2</w:t>
      </w:r>
      <w:r w:rsidR="00A425CB" w:rsidRPr="00D020A4">
        <w:rPr>
          <w:rFonts w:ascii="Times New Roman" w:eastAsia="MS Mincho" w:hAnsi="Times New Roman"/>
          <w:sz w:val="24"/>
          <w:szCs w:val="24"/>
          <w:lang w:val="sq-AL"/>
        </w:rPr>
        <w:t>5.0</w:t>
      </w:r>
      <w:r w:rsidR="008B0D8A" w:rsidRPr="00D020A4">
        <w:rPr>
          <w:rFonts w:ascii="Times New Roman" w:eastAsia="MS Mincho" w:hAnsi="Times New Roman"/>
          <w:sz w:val="24"/>
          <w:szCs w:val="24"/>
          <w:lang w:val="sq-AL"/>
        </w:rPr>
        <w:t>9.202</w:t>
      </w:r>
      <w:r w:rsidR="002C677C" w:rsidRPr="00D020A4">
        <w:rPr>
          <w:rFonts w:ascii="Times New Roman" w:eastAsia="MS Mincho" w:hAnsi="Times New Roman"/>
          <w:sz w:val="24"/>
          <w:szCs w:val="24"/>
          <w:lang w:val="sq-AL"/>
        </w:rPr>
        <w:t>0</w:t>
      </w:r>
      <w:r w:rsidR="00F44866" w:rsidRPr="00D020A4">
        <w:rPr>
          <w:rFonts w:ascii="Times New Roman" w:eastAsia="MS Mincho" w:hAnsi="Times New Roman"/>
          <w:sz w:val="24"/>
          <w:szCs w:val="24"/>
          <w:lang w:val="sq-AL"/>
        </w:rPr>
        <w:t>, bazuar në nenin 31</w:t>
      </w:r>
      <w:r w:rsidR="00A425CB" w:rsidRPr="00D020A4">
        <w:rPr>
          <w:rFonts w:ascii="Times New Roman" w:eastAsia="MS Mincho" w:hAnsi="Times New Roman"/>
          <w:sz w:val="24"/>
          <w:szCs w:val="24"/>
          <w:lang w:val="sq-AL"/>
        </w:rPr>
        <w:t>,</w:t>
      </w:r>
      <w:r w:rsidR="00F44866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 pika 3</w:t>
      </w:r>
      <w:r w:rsidR="00A425CB" w:rsidRPr="00D020A4">
        <w:rPr>
          <w:rFonts w:ascii="Times New Roman" w:eastAsia="MS Mincho" w:hAnsi="Times New Roman"/>
          <w:sz w:val="24"/>
          <w:szCs w:val="24"/>
          <w:lang w:val="sq-AL"/>
        </w:rPr>
        <w:t>,</w:t>
      </w:r>
      <w:r w:rsidR="00F44866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 të ligjit nr. 8577/2000, ka vendosur kalimin e kësaj çështje</w:t>
      </w:r>
      <w:r w:rsidR="00A9259C" w:rsidRPr="00D020A4">
        <w:rPr>
          <w:rFonts w:ascii="Times New Roman" w:eastAsia="MS Mincho" w:hAnsi="Times New Roman"/>
          <w:sz w:val="24"/>
          <w:szCs w:val="24"/>
          <w:lang w:val="sq-AL"/>
        </w:rPr>
        <w:t>je</w:t>
      </w:r>
      <w:r w:rsidR="00F44866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 për shq</w:t>
      </w:r>
      <w:r w:rsidR="00CE09B2" w:rsidRPr="00D020A4">
        <w:rPr>
          <w:rFonts w:ascii="Times New Roman" w:eastAsia="MS Mincho" w:hAnsi="Times New Roman"/>
          <w:sz w:val="24"/>
          <w:szCs w:val="24"/>
          <w:lang w:val="sq-AL"/>
        </w:rPr>
        <w:t xml:space="preserve">yrtim në Mbledhjen e Gjyqtarëve. </w:t>
      </w:r>
    </w:p>
    <w:p w:rsidR="008B0D8A" w:rsidRPr="00D020A4" w:rsidRDefault="008B0D8A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C00C3" w:rsidRPr="00D020A4" w:rsidRDefault="00BC00C3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</w:p>
    <w:p w:rsidR="00BC00C3" w:rsidRPr="00D020A4" w:rsidRDefault="00BC00C3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Pretendimet në Gjykatën Kushtetuese </w:t>
      </w:r>
    </w:p>
    <w:p w:rsidR="00793EEE" w:rsidRPr="003F5F00" w:rsidRDefault="006B1E5E" w:rsidP="003F5F00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Kërkuese</w:t>
      </w:r>
      <w:r w:rsidR="00BC00C3" w:rsidRPr="00D020A4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t</w:t>
      </w:r>
      <w:r w:rsidR="00F94A60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,</w:t>
      </w:r>
      <w:r w:rsidR="00BC00C3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93EEE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>në mënyrë të përmbledhur, kan</w:t>
      </w:r>
      <w:r w:rsidR="00D01B1F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93EEE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parashtruar se dispozitat ligjore t</w:t>
      </w:r>
      <w:r w:rsidR="00D01B1F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93EEE" w:rsidRPr="00D020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kundërshtuara prej tyre cenojnë këto të drejta dhe parime kushtetuese:</w:t>
      </w:r>
    </w:p>
    <w:p w:rsidR="00793EEE" w:rsidRPr="00D020A4" w:rsidRDefault="00793EEE" w:rsidP="00793EEE">
      <w:pPr>
        <w:pStyle w:val="ListParagraph"/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/>
          <w:bCs/>
          <w:i/>
          <w:sz w:val="24"/>
          <w:szCs w:val="24"/>
          <w:lang w:val="sq-AL"/>
        </w:rPr>
        <w:t xml:space="preserve">Të drejtën e pronës private </w:t>
      </w:r>
      <w:r w:rsidRPr="00D020A4">
        <w:rPr>
          <w:rFonts w:ascii="Times New Roman" w:hAnsi="Times New Roman"/>
          <w:bCs/>
          <w:sz w:val="24"/>
          <w:szCs w:val="24"/>
          <w:lang w:val="sq-AL"/>
        </w:rPr>
        <w:t>dhe</w:t>
      </w:r>
      <w:r w:rsidRPr="00D020A4">
        <w:rPr>
          <w:rFonts w:ascii="Times New Roman" w:hAnsi="Times New Roman"/>
          <w:bCs/>
          <w:i/>
          <w:sz w:val="24"/>
          <w:szCs w:val="24"/>
          <w:lang w:val="sq-AL"/>
        </w:rPr>
        <w:t xml:space="preserve"> parimin e proporcionalitetit të ndërhyrjes</w:t>
      </w:r>
      <w:r w:rsidRPr="00D020A4">
        <w:rPr>
          <w:rFonts w:ascii="Times New Roman" w:hAnsi="Times New Roman"/>
          <w:bCs/>
          <w:sz w:val="24"/>
          <w:szCs w:val="24"/>
          <w:lang w:val="sq-AL"/>
        </w:rPr>
        <w:t xml:space="preserve">, </w:t>
      </w:r>
      <w:r w:rsidRPr="00D020A4">
        <w:rPr>
          <w:rFonts w:ascii="Times New Roman" w:hAnsi="Times New Roman"/>
          <w:iCs/>
          <w:sz w:val="24"/>
          <w:szCs w:val="24"/>
          <w:lang w:val="sq-AL" w:eastAsia="fr-FR"/>
        </w:rPr>
        <w:t>pasi ato prezantojn</w:t>
      </w:r>
      <w:r w:rsidR="00D01B1F" w:rsidRPr="00D020A4">
        <w:rPr>
          <w:rFonts w:ascii="Times New Roman" w:hAnsi="Times New Roman"/>
          <w:iCs/>
          <w:sz w:val="24"/>
          <w:szCs w:val="24"/>
          <w:lang w:val="sq-AL" w:eastAsia="fr-FR"/>
        </w:rPr>
        <w:t>ë</w:t>
      </w:r>
      <w:r w:rsidRPr="00D020A4">
        <w:rPr>
          <w:rFonts w:ascii="Times New Roman" w:hAnsi="Times New Roman"/>
          <w:iCs/>
          <w:sz w:val="24"/>
          <w:szCs w:val="24"/>
          <w:lang w:val="sq-AL" w:eastAsia="fr-FR"/>
        </w:rPr>
        <w:t xml:space="preserve"> konceptin e një “</w:t>
      </w:r>
      <w:r w:rsidRPr="00D020A4">
        <w:rPr>
          <w:rFonts w:ascii="Times New Roman" w:hAnsi="Times New Roman"/>
          <w:i/>
          <w:iCs/>
          <w:sz w:val="24"/>
          <w:szCs w:val="24"/>
          <w:lang w:val="sq-AL" w:eastAsia="fr-FR"/>
        </w:rPr>
        <w:t>shpronësimi të ri</w:t>
      </w:r>
      <w:r w:rsidRPr="00D020A4">
        <w:rPr>
          <w:rFonts w:ascii="Times New Roman" w:hAnsi="Times New Roman"/>
          <w:iCs/>
          <w:sz w:val="24"/>
          <w:szCs w:val="24"/>
          <w:lang w:val="sq-AL" w:eastAsia="fr-FR"/>
        </w:rPr>
        <w:t>”, q</w:t>
      </w:r>
      <w:r w:rsidR="00D01B1F" w:rsidRPr="00D020A4">
        <w:rPr>
          <w:rFonts w:ascii="Times New Roman" w:hAnsi="Times New Roman"/>
          <w:iCs/>
          <w:sz w:val="24"/>
          <w:szCs w:val="24"/>
          <w:lang w:val="sq-AL" w:eastAsia="fr-FR"/>
        </w:rPr>
        <w:t>ë</w:t>
      </w:r>
      <w:r w:rsidRPr="00D020A4">
        <w:rPr>
          <w:rFonts w:ascii="Times New Roman" w:hAnsi="Times New Roman"/>
          <w:iCs/>
          <w:sz w:val="24"/>
          <w:szCs w:val="24"/>
          <w:lang w:val="sq-AL" w:eastAsia="fr-FR"/>
        </w:rPr>
        <w:t xml:space="preserve"> k</w:t>
      </w:r>
      <w:r w:rsidR="00D01B1F" w:rsidRPr="00D020A4">
        <w:rPr>
          <w:rFonts w:ascii="Times New Roman" w:hAnsi="Times New Roman"/>
          <w:iCs/>
          <w:sz w:val="24"/>
          <w:szCs w:val="24"/>
          <w:lang w:val="sq-AL" w:eastAsia="fr-FR"/>
        </w:rPr>
        <w:t>ë</w:t>
      </w:r>
      <w:r w:rsidRPr="00D020A4">
        <w:rPr>
          <w:rFonts w:ascii="Times New Roman" w:hAnsi="Times New Roman"/>
          <w:iCs/>
          <w:sz w:val="24"/>
          <w:szCs w:val="24"/>
          <w:lang w:val="sq-AL" w:eastAsia="fr-FR"/>
        </w:rPr>
        <w:t xml:space="preserve">rkon 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rivlerësim të pronave të kthyera/kompensuara më parë dhe atyre u vendoset n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jë barrë e pajustifikuar dhe jo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proporcionale n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n e tyre për t’u kompensuar.  </w:t>
      </w:r>
    </w:p>
    <w:p w:rsidR="00793EEE" w:rsidRPr="00D020A4" w:rsidRDefault="00793EEE" w:rsidP="00793EEE">
      <w:pPr>
        <w:pStyle w:val="ListParagraph"/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/>
          <w:bCs/>
          <w:i/>
          <w:sz w:val="24"/>
          <w:szCs w:val="24"/>
          <w:lang w:val="sq-AL"/>
        </w:rPr>
        <w:t>Parimin e sigurisë juridike</w:t>
      </w:r>
      <w:r w:rsidRPr="00D020A4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pasi formulat e parashikuara në to krijojnë konfuzion dhe paqartësi për përllogaritjen e sipërfaqes së pron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fituar dhe asaj që do të zbritet apo shtohet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, si dhe prekin pritshmëritë e tyre të ligjshme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793EEE" w:rsidRPr="00D020A4" w:rsidRDefault="00793EEE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C00C3" w:rsidRPr="00D020A4" w:rsidRDefault="00BC00C3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F44866" w:rsidRPr="00D020A4" w:rsidRDefault="00BC00C3" w:rsidP="006F2B17">
      <w:pPr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b/>
          <w:sz w:val="24"/>
          <w:szCs w:val="24"/>
          <w:lang w:val="sq-AL"/>
        </w:rPr>
        <w:t>Vlerësimi i Mbledhjes së Gjyqtarëve</w:t>
      </w:r>
    </w:p>
    <w:p w:rsidR="008165B7" w:rsidRPr="00D020A4" w:rsidRDefault="008165B7" w:rsidP="00034AD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4419D" w:rsidRPr="00D020A4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. Mbledhja e Gjyqtarëve vë në dukje se prej datës 23 mars të vitit 2018 ajo nuk ka pasur kuorumin e nevojshëm </w:t>
      </w:r>
      <w:r w:rsidR="00995061" w:rsidRPr="00D020A4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parashikuar nga neni 32, pika 1</w:t>
      </w:r>
      <w:r w:rsidR="00DA5F0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ligjit nr. 8577/2000 për shqyrtimin paraprak të çështjeve. 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Pas plotësimit të këtij kuorumi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u bë e mundur marrja në shqyrtim e çështjes konkrete</w:t>
      </w:r>
      <w:r w:rsidR="00995061" w:rsidRPr="00D020A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5061" w:rsidRPr="00D020A4" w:rsidRDefault="0084419D" w:rsidP="00034AD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Calibri" w:hAnsi="Times New Roman" w:cs="Times New Roman"/>
          <w:sz w:val="24"/>
          <w:szCs w:val="24"/>
          <w:lang w:val="sq-AL" w:eastAsia="sq-AL"/>
        </w:rPr>
        <w:tab/>
        <w:t xml:space="preserve">9. </w:t>
      </w:r>
      <w:r w:rsidR="008165B7" w:rsidRPr="00D020A4">
        <w:rPr>
          <w:rFonts w:ascii="Times New Roman" w:eastAsia="Calibri" w:hAnsi="Times New Roman" w:cs="Times New Roman"/>
          <w:sz w:val="24"/>
          <w:szCs w:val="24"/>
          <w:lang w:val="sq-AL" w:eastAsia="sq-AL"/>
        </w:rPr>
        <w:t>Sipas neneve 131, pika 1, shkronja “f”, 134</w:t>
      </w:r>
      <w:r w:rsidR="00F94A60">
        <w:rPr>
          <w:rFonts w:ascii="Times New Roman" w:eastAsia="Calibri" w:hAnsi="Times New Roman" w:cs="Times New Roman"/>
          <w:sz w:val="24"/>
          <w:szCs w:val="24"/>
          <w:lang w:val="sq-AL" w:eastAsia="sq-AL"/>
        </w:rPr>
        <w:t>,</w:t>
      </w:r>
      <w:r w:rsidR="008165B7" w:rsidRPr="00D020A4">
        <w:rPr>
          <w:rFonts w:ascii="Times New Roman" w:eastAsia="Calibri" w:hAnsi="Times New Roman" w:cs="Times New Roman"/>
          <w:sz w:val="24"/>
          <w:szCs w:val="24"/>
          <w:lang w:val="sq-AL" w:eastAsia="sq-AL"/>
        </w:rPr>
        <w:t xml:space="preserve"> pika 1, shkronja “i” dhe </w:t>
      </w:r>
      <w:r w:rsidR="00F94A60">
        <w:rPr>
          <w:rFonts w:ascii="Times New Roman" w:eastAsia="Calibri" w:hAnsi="Times New Roman" w:cs="Times New Roman"/>
          <w:sz w:val="24"/>
          <w:szCs w:val="24"/>
          <w:lang w:val="sq-AL" w:eastAsia="sq-AL"/>
        </w:rPr>
        <w:t>134, pika 2</w:t>
      </w:r>
      <w:r w:rsidR="00DA5F0D">
        <w:rPr>
          <w:rFonts w:ascii="Times New Roman" w:eastAsia="Calibri" w:hAnsi="Times New Roman" w:cs="Times New Roman"/>
          <w:sz w:val="24"/>
          <w:szCs w:val="24"/>
          <w:lang w:val="sq-AL" w:eastAsia="sq-AL"/>
        </w:rPr>
        <w:t>,</w:t>
      </w:r>
      <w:r w:rsidR="00F94A60">
        <w:rPr>
          <w:rFonts w:ascii="Times New Roman" w:eastAsia="Calibri" w:hAnsi="Times New Roman" w:cs="Times New Roman"/>
          <w:sz w:val="24"/>
          <w:szCs w:val="24"/>
          <w:lang w:val="sq-AL" w:eastAsia="sq-AL"/>
        </w:rPr>
        <w:t xml:space="preserve"> të Kushtetutës, si dhe</w:t>
      </w:r>
      <w:r w:rsidR="008165B7" w:rsidRPr="00D020A4">
        <w:rPr>
          <w:rFonts w:ascii="Times New Roman" w:eastAsia="Calibri" w:hAnsi="Times New Roman" w:cs="Times New Roman"/>
          <w:sz w:val="24"/>
          <w:szCs w:val="24"/>
          <w:lang w:val="sq-AL" w:eastAsia="sq-AL"/>
        </w:rPr>
        <w:t xml:space="preserve"> nenit 71 të ligjit nr. 8577/2000, Gjykata Kushtetuese mund të v</w:t>
      </w:r>
      <w:r w:rsidR="00F94A60">
        <w:rPr>
          <w:rFonts w:ascii="Times New Roman" w:eastAsia="Calibri" w:hAnsi="Times New Roman" w:cs="Times New Roman"/>
          <w:sz w:val="24"/>
          <w:szCs w:val="24"/>
          <w:lang w:val="sq-AL" w:eastAsia="sq-AL"/>
        </w:rPr>
        <w:t>ihet në lëvizje nga çdo individ</w:t>
      </w:r>
      <w:r w:rsidR="008165B7" w:rsidRPr="00D020A4">
        <w:rPr>
          <w:rFonts w:ascii="Times New Roman" w:eastAsia="Calibri" w:hAnsi="Times New Roman" w:cs="Times New Roman"/>
          <w:sz w:val="24"/>
          <w:szCs w:val="24"/>
          <w:lang w:val="sq-AL" w:eastAsia="sq-AL"/>
        </w:rPr>
        <w:t xml:space="preserve"> për gjykimin përfundimtar të ankesave kundër çdo akti të pushtetit publik ose vendimi gjyqësor, që cenon të drejtat dhe liritë themelore të garantuara në Kushtetutë.</w:t>
      </w:r>
    </w:p>
    <w:p w:rsidR="00995061" w:rsidRPr="00D020A4" w:rsidRDefault="00995061" w:rsidP="00034AD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ab/>
        <w:t xml:space="preserve">10. 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Mbledhja e Gjyqtarëve vëren se koncepti kushtetues i aktit të pushtetit publik, që mund të jetë objekt i ankimit kushtetues individual, përfshin edhe ligjin, por kur plotësohet kriteri i veçantë p</w:t>
      </w:r>
      <w:r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pranueshmërinë e ankimit, i parashikuar nga neni 49, pik</w:t>
      </w:r>
      <w:r w:rsidR="00F94A6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a 3, shkronja “e”, i 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ligjit nr. 8577/2000, ai i zbatueshmërisë së drejtpërdrejtë të ligjit të kundërshtuar. Karakteristika e zbatimit të drejtpërdrejtë të ligjit lidhet me aftësinë që ka ligji i kundërshtuar për të cenuar në mënyrë po të drejtpërdrejtë të drejtën themelore individuale dhe</w:t>
      </w:r>
      <w:r w:rsidR="00F94A6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për këtë arsye, bëhet fjalë për 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>ato raste kur ligji nuk parashikon nxjerrjen e akteve nënligjore të nevojshme për</w:t>
      </w:r>
      <w:r w:rsidR="00F94A6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zbatimin e tij. Kjo nënkupton se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ligji i shkakton pasojat e tij ndaj të drejtave kushtetuese individuale pa pasur nevojën e detajimit të rregullave shtesë n</w:t>
      </w:r>
      <w:r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 formën e akteve nënligjore.</w:t>
      </w:r>
    </w:p>
    <w:p w:rsidR="008165B7" w:rsidRPr="00D020A4" w:rsidRDefault="00995061" w:rsidP="00034AD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11. 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Përveç këtij kriteri, ashtu si edhe në rastet e ankimeve të tjera kushtetuese individuale, duhen plotësuar edhe kriteret e nenit 71/a të ligjit nr. 8577/2000, që lidhen me shterimin e mjeteve juridike, afatin e paraqitjes së kërkesës, pasojat negative të pësuara në mënyrë të drejtpërdrejtë e reale, mundësinë për rivendosjen e së drejtës së shkelur, si dhe rregullimet e veçanta ligjore të shqyrtimit paraprak të kërkesës. 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>Rregullimet e veçanta për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caktohen nga neni 31/a, pika 2</w:t>
      </w:r>
      <w:r w:rsidR="00DA5F0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të njëjtit ligj dhe në s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htesë të kritereve të mësipërme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kanë të bëjnë me juridiksionin e Gjykatës Kushtetuese, 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legjitimimin formal të kërkuesit dhe të përfaqësuesit, si dhe me respektimin dhe vlerën e vendimmarrjeve të mëparshme të Gjykatës Kushtetuese. Ky kriter i fundit përcaktohet nga shkronja “dh” e pikës 2 të nenit 31/a, sipas </w:t>
      </w:r>
      <w:r w:rsidR="00F94A6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 cilës vendoset moskalimi i çështjes në seancë plenare kur kërkimet e paraqitura në kërkesë janë objekt i një vendimi të mëparshëm të Gjykatës Kushtetuese.</w:t>
      </w:r>
    </w:p>
    <w:p w:rsidR="008165B7" w:rsidRPr="00D020A4" w:rsidRDefault="00995061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12. 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Mbledhja e Gjyqtarëve thekson se kriteret paraprake të pranueshmërisë së ankimit individual kushtetues janë të natyrës kumulative, në kuptimin që ato duhet të plotësohen njëkohësisht. Në këtë vështrim, mjafton mosplotësimi i njërit prej tyre që të vendoset moskalimi i çështjes në seancë plenare.</w:t>
      </w:r>
    </w:p>
    <w:p w:rsidR="008165B7" w:rsidRPr="00D020A4" w:rsidRDefault="00995061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ab/>
        <w:t>13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8165B7" w:rsidRPr="00D020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Në çështjen konkrete, kërkueset kundërshtojnë 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>nenet 6, pika 1, shkronja “b” dhe 7, pika 2, shkronjat “a” dhe “b” të ligjit nr. 133/2015, me pretendimin se ato cenojnë sigurinë juridike dhe pritshmëritë legjitime të tyre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, si dhe të drejtën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1B1F" w:rsidRPr="00D020A4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pronës të garantuar nga n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>eni 41 i Kushtetutës dhe neni 1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i Protokollit</w:t>
      </w:r>
      <w:r w:rsidR="00F94A60">
        <w:rPr>
          <w:rFonts w:ascii="Times New Roman" w:hAnsi="Times New Roman" w:cs="Times New Roman"/>
          <w:sz w:val="24"/>
          <w:szCs w:val="24"/>
          <w:lang w:val="sq-AL"/>
        </w:rPr>
        <w:t xml:space="preserve"> nr.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 1 të KEDNJ-së. </w:t>
      </w:r>
    </w:p>
    <w:p w:rsidR="008165B7" w:rsidRPr="00D020A4" w:rsidRDefault="00995061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 w:cs="Times New Roman"/>
          <w:sz w:val="24"/>
          <w:szCs w:val="24"/>
          <w:lang w:val="sq-AL"/>
        </w:rPr>
        <w:tab/>
        <w:t>14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. Mbledhja e Gjyqtarëve konstaton se 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Gjykata Kushtetuese, në seancën plenare të datës 04.02.2021, ka marrë në shqyrtim</w:t>
      </w:r>
      <w:r w:rsidR="00F94A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çështjen me kërkues shoqatën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kombëtare “Pronësi me drejtësi”, me objekt, ndër të tjera, shfuqizimin e </w:t>
      </w:r>
      <w:r w:rsidR="008165B7" w:rsidRPr="00D020A4">
        <w:rPr>
          <w:rFonts w:ascii="Times New Roman" w:hAnsi="Times New Roman" w:cs="Times New Roman"/>
          <w:sz w:val="24"/>
          <w:szCs w:val="24"/>
          <w:lang w:val="sq-AL"/>
        </w:rPr>
        <w:t>neneve 6, pika 1, shkronja “b” dhe 7, pika 2, shkronjat “a” dhe “b” të ligjit nr. 133/2015</w:t>
      </w:r>
      <w:r w:rsidR="00F94A60">
        <w:rPr>
          <w:rFonts w:ascii="Times New Roman" w:eastAsia="Times New Roman" w:hAnsi="Times New Roman" w:cs="Times New Roman"/>
          <w:sz w:val="24"/>
          <w:szCs w:val="24"/>
          <w:lang w:val="sq-AL"/>
        </w:rPr>
        <w:t>. Në përfundim të shqyrtimit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Gjykata Kushtetuese, </w:t>
      </w: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>vendimin nr. 4, datë 15.02.2021</w:t>
      </w:r>
      <w:r w:rsidR="00F94A60">
        <w:rPr>
          <w:rFonts w:ascii="Times New Roman" w:hAnsi="Times New Roman"/>
          <w:sz w:val="24"/>
          <w:szCs w:val="24"/>
          <w:lang w:val="sq-AL"/>
        </w:rPr>
        <w:t>,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ka vendosur pra</w:t>
      </w:r>
      <w:r w:rsidR="00710F92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nimin pjesërisht të kërkesës, duke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shfuqizuar nenin 7, pika 2, shkronjat “a” dhe “b”, si dhe ka rrëzuar kërkesën për antikushtetutshmërinë e nenit</w:t>
      </w:r>
      <w:r w:rsidR="00F94A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6, pika 1, shkronja “b”, duke u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dhënë përgjigje pretendimeve që lidheshin me sigurinë juridike dhe të drejtën e pronës së subjekteve të shpronësuara.</w:t>
      </w:r>
    </w:p>
    <w:p w:rsidR="008165B7" w:rsidRPr="00D020A4" w:rsidRDefault="00710F92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15</w:t>
      </w:r>
      <w:r w:rsidR="008165B7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>Gjykata</w:t>
      </w:r>
      <w:r w:rsidRPr="00D020A4">
        <w:rPr>
          <w:rFonts w:ascii="Times New Roman" w:hAnsi="Times New Roman"/>
          <w:sz w:val="24"/>
          <w:szCs w:val="24"/>
          <w:lang w:val="sq-AL"/>
        </w:rPr>
        <w:t xml:space="preserve"> Kushtetuese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 ka theksuar se zbatimi i detyrueshëm i vendimeve të saj garantohet nga Kushtetuta, e cila në nenet 132 dhe 145 sanksionon shprehimisht këtë koncept 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lastRenderedPageBreak/>
        <w:t>kushtetues. Ndikimi i padiskutueshëm i vendimeve të Gjykatës Kushtetuese është i tillë që iu imponon të gjitha organeve shtetërore fuqinë detyruese të arsyetimit të vendimit të saj (</w:t>
      </w:r>
      <w:r w:rsidR="008165B7" w:rsidRPr="00D020A4">
        <w:rPr>
          <w:rFonts w:ascii="Times New Roman" w:hAnsi="Times New Roman"/>
          <w:i/>
          <w:sz w:val="24"/>
          <w:szCs w:val="24"/>
          <w:lang w:val="sq-AL"/>
        </w:rPr>
        <w:t>shih vendimin nr. 17, datë 10.04.2015 të Gjykatës Kushtetuese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>). Arsyetimi që përdor Gjykata Kushtetuese në vendimet e saj ka forcën e ligjit, çka buron nga autoriteti i këtij organi për të thënë fjalën e fundit në çështjet për të cilat të tjerët tashmë janë shprehur. Çdo qëndrim i kundërt krijon një precedent të rrezikshëm në marrëdhëniet institucionale (</w:t>
      </w:r>
      <w:r w:rsidR="008165B7" w:rsidRPr="00D020A4">
        <w:rPr>
          <w:rFonts w:ascii="Times New Roman" w:hAnsi="Times New Roman"/>
          <w:i/>
          <w:sz w:val="24"/>
          <w:szCs w:val="24"/>
          <w:lang w:val="sq-AL"/>
        </w:rPr>
        <w:t>shih vendimin nr. 78, datë 12.12.2017 të Gjykatës Kushtetuese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>). Në jurisprudencën kushtetuese është theksuar se nga standardi i detyrueshmërisë së zbatimit të vendimmarrjes kushtetuese nuk mund të bëjë përjashtim as vetë Gjykata Kushtetuese (</w:t>
      </w:r>
      <w:r w:rsidR="008165B7" w:rsidRPr="00D020A4">
        <w:rPr>
          <w:rFonts w:ascii="Times New Roman" w:hAnsi="Times New Roman"/>
          <w:i/>
          <w:sz w:val="24"/>
          <w:szCs w:val="24"/>
          <w:lang w:val="sq-AL"/>
        </w:rPr>
        <w:t>shih vendimet nr. 78, datë 12.12.2017; nr. 44, datë 29.06.2015; nr. 18, datë 14.04.2015; nr. 21, datë 29.04.2010 të Gjykatës Kushtetuese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8165B7" w:rsidRPr="00D020A4" w:rsidRDefault="00710F92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D020A4">
        <w:rPr>
          <w:rFonts w:ascii="Times New Roman" w:hAnsi="Times New Roman"/>
          <w:sz w:val="24"/>
          <w:szCs w:val="24"/>
          <w:lang w:val="sq-AL"/>
        </w:rPr>
        <w:t>16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. Në të drejtën kushtetuese parimi </w:t>
      </w:r>
      <w:r w:rsidR="008165B7" w:rsidRPr="00D020A4">
        <w:rPr>
          <w:rFonts w:ascii="Times New Roman" w:hAnsi="Times New Roman"/>
          <w:i/>
          <w:sz w:val="24"/>
          <w:szCs w:val="24"/>
          <w:lang w:val="sq-AL"/>
        </w:rPr>
        <w:t>res judicata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 njihet si një nga tri format e efekteve që merr vendimi gjyqësor në procedurën abstrakte të kontrollit të kushtetutshmërisë së normave juridike. Në aspektin formal “gjë e gjykuar” nënkupton përfundimin në drejtim të mosankueshmërisë së vendimit, ndërsa në atë substancial nënkupton fuqinë detyruese të vendimit. Tipar karakteristik i gjësë së gjykuar është se kur në vendimin e parë çështja e ngritur është konsideruar e pabazuar në themel, ajo nuk mund të shqyrtohet më tej. Në rastet kur Gjykata nuk është shprehur </w:t>
      </w:r>
      <w:r w:rsidR="00F94A60">
        <w:rPr>
          <w:rFonts w:ascii="Times New Roman" w:hAnsi="Times New Roman"/>
          <w:sz w:val="24"/>
          <w:szCs w:val="24"/>
          <w:lang w:val="sq-AL"/>
        </w:rPr>
        <w:t>për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 xml:space="preserve"> pajtueshmërinë me Kushtetutën të normës juridike, kërkuesi nuk ndalohet të paraqesë përsëri të njëjtën kërkesë për kontrollin e pajtueshmërisë së kësaj norme me Kushtetutën (</w:t>
      </w:r>
      <w:r w:rsidR="008165B7" w:rsidRPr="00D020A4">
        <w:rPr>
          <w:rFonts w:ascii="Times New Roman" w:hAnsi="Times New Roman"/>
          <w:i/>
          <w:sz w:val="24"/>
          <w:szCs w:val="24"/>
          <w:lang w:val="sq-AL"/>
        </w:rPr>
        <w:t>shih vendimin nr. 78, datë 12.12.2017 të Gjykatës Kushtetuese</w:t>
      </w:r>
      <w:r w:rsidR="008165B7" w:rsidRPr="00D020A4">
        <w:rPr>
          <w:rFonts w:ascii="Times New Roman" w:hAnsi="Times New Roman"/>
          <w:sz w:val="24"/>
          <w:szCs w:val="24"/>
          <w:lang w:val="sq-AL"/>
        </w:rPr>
        <w:t>).</w:t>
      </w:r>
    </w:p>
    <w:p w:rsidR="008165B7" w:rsidRPr="00D020A4" w:rsidRDefault="008165B7" w:rsidP="00034ADD">
      <w:pPr>
        <w:tabs>
          <w:tab w:val="left" w:pos="720"/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/>
          <w:sz w:val="24"/>
          <w:szCs w:val="24"/>
          <w:lang w:val="sq-AL"/>
        </w:rPr>
        <w:t>1</w:t>
      </w:r>
      <w:r w:rsidR="00710F92" w:rsidRPr="00D020A4">
        <w:rPr>
          <w:rFonts w:ascii="Times New Roman" w:hAnsi="Times New Roman"/>
          <w:sz w:val="24"/>
          <w:szCs w:val="24"/>
          <w:lang w:val="sq-AL"/>
        </w:rPr>
        <w:t>7</w:t>
      </w:r>
      <w:r w:rsidRPr="00D020A4">
        <w:rPr>
          <w:rFonts w:ascii="Times New Roman" w:hAnsi="Times New Roman"/>
          <w:sz w:val="24"/>
          <w:szCs w:val="24"/>
          <w:lang w:val="sq-AL"/>
        </w:rPr>
        <w:t>. N</w:t>
      </w:r>
      <w:r w:rsidR="00995061" w:rsidRPr="00D020A4">
        <w:rPr>
          <w:rFonts w:ascii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/>
          <w:sz w:val="24"/>
          <w:szCs w:val="24"/>
          <w:lang w:val="sq-AL"/>
        </w:rPr>
        <w:t xml:space="preserve"> rastin n</w:t>
      </w:r>
      <w:r w:rsidR="00995061" w:rsidRPr="00D020A4">
        <w:rPr>
          <w:rFonts w:ascii="Times New Roman" w:hAnsi="Times New Roman"/>
          <w:sz w:val="24"/>
          <w:szCs w:val="24"/>
          <w:lang w:val="sq-AL"/>
        </w:rPr>
        <w:t>ë</w:t>
      </w:r>
      <w:r w:rsidRPr="00D020A4">
        <w:rPr>
          <w:rFonts w:ascii="Times New Roman" w:hAnsi="Times New Roman"/>
          <w:sz w:val="24"/>
          <w:szCs w:val="24"/>
          <w:lang w:val="sq-AL"/>
        </w:rPr>
        <w:t xml:space="preserve"> shqyrtim, n</w:t>
      </w: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ë kushtet kur pretendimet e kërkueseve kanë të njëjtën natyrë me ato të trajtuara dhe të shqyrtuara nga Gjykata Kushtetuese në vendimin e lartp</w:t>
      </w:r>
      <w:r w:rsidR="00995061"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020A4">
        <w:rPr>
          <w:rFonts w:ascii="Times New Roman" w:eastAsia="Times New Roman" w:hAnsi="Times New Roman" w:cs="Times New Roman"/>
          <w:sz w:val="24"/>
          <w:szCs w:val="24"/>
          <w:lang w:val="sq-AL"/>
        </w:rPr>
        <w:t>rmendur, Mbledhja e Gjyqtarëve vlerëson se çështja konkrete nuk mund të kalojë për shqyrtim në seancë plenare</w:t>
      </w:r>
      <w:r w:rsidRPr="00D020A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8165B7" w:rsidRPr="00D020A4" w:rsidRDefault="008165B7" w:rsidP="008165B7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5B7" w:rsidRPr="00D020A4" w:rsidRDefault="008165B7" w:rsidP="008165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q-AL" w:eastAsia="fr-FR"/>
        </w:rPr>
      </w:pPr>
      <w:r w:rsidRPr="00D020A4">
        <w:rPr>
          <w:rFonts w:ascii="Times New Roman" w:eastAsia="Calibri" w:hAnsi="Times New Roman" w:cs="Times New Roman"/>
          <w:b/>
          <w:bCs/>
          <w:sz w:val="24"/>
          <w:szCs w:val="24"/>
          <w:lang w:val="sq-AL" w:eastAsia="fr-FR"/>
        </w:rPr>
        <w:t>PËR KËTO ARSYE,</w:t>
      </w:r>
    </w:p>
    <w:p w:rsidR="008165B7" w:rsidRPr="00D020A4" w:rsidRDefault="008165B7" w:rsidP="008165B7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 w:eastAsia="fr-FR"/>
        </w:rPr>
      </w:pPr>
      <w:r w:rsidRPr="00D020A4">
        <w:rPr>
          <w:rFonts w:ascii="Times New Roman" w:hAnsi="Times New Roman"/>
          <w:sz w:val="24"/>
          <w:szCs w:val="24"/>
          <w:lang w:val="sq-AL" w:eastAsia="fr-FR"/>
        </w:rPr>
        <w:t>Mbledhja e Gjyqtarëve të Gjykatës Kushtetuese të Republikës së Shqipërisë, në mbështetje të neneve 31 dhe 31/a, pika 2, shkronja “dh”, të ligjit nr. 8577, datë 10.02.2000 “Për organizimin dhe funksionimin e Gjykatës Kushtetuese të Republikës së Shqipërisë”, të ndryshuar, nj</w:t>
      </w:r>
      <w:r w:rsidR="00995061" w:rsidRPr="00D020A4">
        <w:rPr>
          <w:rFonts w:ascii="Times New Roman" w:hAnsi="Times New Roman"/>
          <w:sz w:val="24"/>
          <w:szCs w:val="24"/>
          <w:lang w:val="sq-AL" w:eastAsia="fr-FR"/>
        </w:rPr>
        <w:t>ë</w:t>
      </w:r>
      <w:r w:rsidRPr="00D020A4">
        <w:rPr>
          <w:rFonts w:ascii="Times New Roman" w:hAnsi="Times New Roman"/>
          <w:sz w:val="24"/>
          <w:szCs w:val="24"/>
          <w:lang w:val="sq-AL" w:eastAsia="fr-FR"/>
        </w:rPr>
        <w:t>z</w:t>
      </w:r>
      <w:r w:rsidR="00995061" w:rsidRPr="00D020A4">
        <w:rPr>
          <w:rFonts w:ascii="Times New Roman" w:hAnsi="Times New Roman"/>
          <w:sz w:val="24"/>
          <w:szCs w:val="24"/>
          <w:lang w:val="sq-AL" w:eastAsia="fr-FR"/>
        </w:rPr>
        <w:t>ë</w:t>
      </w:r>
      <w:r w:rsidRPr="00D020A4">
        <w:rPr>
          <w:rFonts w:ascii="Times New Roman" w:hAnsi="Times New Roman"/>
          <w:sz w:val="24"/>
          <w:szCs w:val="24"/>
          <w:lang w:val="sq-AL" w:eastAsia="fr-FR"/>
        </w:rPr>
        <w:t>ri</w:t>
      </w:r>
      <w:r w:rsidR="00034ADD">
        <w:rPr>
          <w:rFonts w:ascii="Times New Roman" w:hAnsi="Times New Roman"/>
          <w:sz w:val="24"/>
          <w:szCs w:val="24"/>
          <w:lang w:val="sq-AL" w:eastAsia="fr-FR"/>
        </w:rPr>
        <w:t>,</w:t>
      </w:r>
      <w:r w:rsidRPr="00D020A4">
        <w:rPr>
          <w:rFonts w:ascii="Times New Roman" w:hAnsi="Times New Roman"/>
          <w:sz w:val="24"/>
          <w:szCs w:val="24"/>
          <w:lang w:val="sq-AL" w:eastAsia="fr-FR"/>
        </w:rPr>
        <w:t xml:space="preserve"> </w:t>
      </w:r>
    </w:p>
    <w:p w:rsidR="008165B7" w:rsidRPr="00D020A4" w:rsidRDefault="008165B7" w:rsidP="008165B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sq-AL" w:eastAsia="fr-FR"/>
        </w:rPr>
      </w:pPr>
    </w:p>
    <w:p w:rsidR="008165B7" w:rsidRPr="00D020A4" w:rsidRDefault="008165B7" w:rsidP="008165B7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val="sq-AL" w:eastAsia="fr-FR"/>
        </w:rPr>
      </w:pPr>
      <w:r w:rsidRPr="00D020A4">
        <w:rPr>
          <w:rFonts w:ascii="Times New Roman" w:hAnsi="Times New Roman"/>
          <w:b/>
          <w:bCs/>
          <w:sz w:val="24"/>
          <w:szCs w:val="24"/>
          <w:lang w:val="sq-AL" w:eastAsia="fr-FR"/>
        </w:rPr>
        <w:t>V E N D O S I:</w:t>
      </w:r>
    </w:p>
    <w:p w:rsidR="006F2B17" w:rsidRPr="00D020A4" w:rsidRDefault="008165B7" w:rsidP="00E956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020A4">
        <w:rPr>
          <w:rFonts w:ascii="Times New Roman" w:hAnsi="Times New Roman"/>
          <w:sz w:val="24"/>
          <w:szCs w:val="24"/>
          <w:lang w:val="sq-AL" w:eastAsia="fr-FR"/>
        </w:rPr>
        <w:t xml:space="preserve"> </w:t>
      </w:r>
      <w:r w:rsidRPr="00D020A4">
        <w:rPr>
          <w:rFonts w:ascii="Times New Roman" w:hAnsi="Times New Roman"/>
          <w:sz w:val="24"/>
          <w:szCs w:val="24"/>
          <w:lang w:val="sq-AL"/>
        </w:rPr>
        <w:t>Moskalimin e çështjes për shqyrtim në seancë plenare.</w:t>
      </w:r>
    </w:p>
    <w:sectPr w:rsidR="006F2B17" w:rsidRPr="00D020A4" w:rsidSect="00034ADD">
      <w:footerReference w:type="default" r:id="rId7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08" w:rsidRDefault="009B7F08" w:rsidP="009508C7">
      <w:pPr>
        <w:spacing w:after="0" w:line="240" w:lineRule="auto"/>
      </w:pPr>
      <w:r>
        <w:separator/>
      </w:r>
    </w:p>
  </w:endnote>
  <w:endnote w:type="continuationSeparator" w:id="0">
    <w:p w:rsidR="009B7F08" w:rsidRDefault="009B7F08" w:rsidP="0095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38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09E" w:rsidRDefault="00240DB5">
        <w:pPr>
          <w:pStyle w:val="Footer"/>
          <w:jc w:val="right"/>
        </w:pPr>
        <w:r>
          <w:fldChar w:fldCharType="begin"/>
        </w:r>
        <w:r w:rsidR="00A7009E">
          <w:instrText xml:space="preserve"> PAGE   \* MERGEFORMAT </w:instrText>
        </w:r>
        <w:r>
          <w:fldChar w:fldCharType="separate"/>
        </w:r>
        <w:r w:rsidR="00F16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8C7" w:rsidRPr="006F2B17" w:rsidRDefault="009508C7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08" w:rsidRDefault="009B7F08" w:rsidP="009508C7">
      <w:pPr>
        <w:spacing w:after="0" w:line="240" w:lineRule="auto"/>
      </w:pPr>
      <w:r>
        <w:separator/>
      </w:r>
    </w:p>
  </w:footnote>
  <w:footnote w:type="continuationSeparator" w:id="0">
    <w:p w:rsidR="009B7F08" w:rsidRDefault="009B7F08" w:rsidP="0095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3A9"/>
    <w:multiLevelType w:val="multilevel"/>
    <w:tmpl w:val="972049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11135DB"/>
    <w:multiLevelType w:val="multilevel"/>
    <w:tmpl w:val="EDF0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8700C66"/>
    <w:multiLevelType w:val="hybridMultilevel"/>
    <w:tmpl w:val="1A523E96"/>
    <w:lvl w:ilvl="0" w:tplc="AA8E8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0EE"/>
    <w:multiLevelType w:val="hybridMultilevel"/>
    <w:tmpl w:val="B51A55C2"/>
    <w:lvl w:ilvl="0" w:tplc="3D0418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06E07"/>
    <w:multiLevelType w:val="hybridMultilevel"/>
    <w:tmpl w:val="172A231A"/>
    <w:lvl w:ilvl="0" w:tplc="20583DB4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76255"/>
    <w:multiLevelType w:val="multilevel"/>
    <w:tmpl w:val="88B4F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/>
      </w:rPr>
    </w:lvl>
  </w:abstractNum>
  <w:abstractNum w:abstractNumId="6">
    <w:nsid w:val="62B5726E"/>
    <w:multiLevelType w:val="hybridMultilevel"/>
    <w:tmpl w:val="C5920EAE"/>
    <w:lvl w:ilvl="0" w:tplc="CF2A268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506E2"/>
    <w:multiLevelType w:val="hybridMultilevel"/>
    <w:tmpl w:val="F96C3AD0"/>
    <w:lvl w:ilvl="0" w:tplc="CF2A26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60823"/>
    <w:multiLevelType w:val="hybridMultilevel"/>
    <w:tmpl w:val="0E7883E4"/>
    <w:lvl w:ilvl="0" w:tplc="EF2ADB0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3"/>
    <w:rsid w:val="000124C6"/>
    <w:rsid w:val="000252C0"/>
    <w:rsid w:val="00034ADD"/>
    <w:rsid w:val="00073EE1"/>
    <w:rsid w:val="00095ADB"/>
    <w:rsid w:val="000A08B7"/>
    <w:rsid w:val="000B67C7"/>
    <w:rsid w:val="00126A4D"/>
    <w:rsid w:val="00132920"/>
    <w:rsid w:val="001363C3"/>
    <w:rsid w:val="001439E2"/>
    <w:rsid w:val="00153BA1"/>
    <w:rsid w:val="0016233E"/>
    <w:rsid w:val="00240DB5"/>
    <w:rsid w:val="002C677C"/>
    <w:rsid w:val="002E3E97"/>
    <w:rsid w:val="00333A54"/>
    <w:rsid w:val="0034688A"/>
    <w:rsid w:val="00347ECF"/>
    <w:rsid w:val="00386AD2"/>
    <w:rsid w:val="003F5F00"/>
    <w:rsid w:val="00414761"/>
    <w:rsid w:val="00451E24"/>
    <w:rsid w:val="004A62DE"/>
    <w:rsid w:val="004F2A1B"/>
    <w:rsid w:val="005074B7"/>
    <w:rsid w:val="005351EE"/>
    <w:rsid w:val="00556D96"/>
    <w:rsid w:val="00573CCB"/>
    <w:rsid w:val="00576B12"/>
    <w:rsid w:val="005927A6"/>
    <w:rsid w:val="005B37B4"/>
    <w:rsid w:val="005B7967"/>
    <w:rsid w:val="00615EE3"/>
    <w:rsid w:val="00621304"/>
    <w:rsid w:val="00624A33"/>
    <w:rsid w:val="006511D4"/>
    <w:rsid w:val="00660D65"/>
    <w:rsid w:val="0067011F"/>
    <w:rsid w:val="006824DF"/>
    <w:rsid w:val="006B1E5E"/>
    <w:rsid w:val="006B416C"/>
    <w:rsid w:val="006B5008"/>
    <w:rsid w:val="006D2F9D"/>
    <w:rsid w:val="006D4BDF"/>
    <w:rsid w:val="006E3E99"/>
    <w:rsid w:val="006F2B17"/>
    <w:rsid w:val="00710F92"/>
    <w:rsid w:val="007231CD"/>
    <w:rsid w:val="00733F0E"/>
    <w:rsid w:val="0073458C"/>
    <w:rsid w:val="007418AF"/>
    <w:rsid w:val="0078059F"/>
    <w:rsid w:val="00781FFA"/>
    <w:rsid w:val="0079258A"/>
    <w:rsid w:val="00793EEE"/>
    <w:rsid w:val="007B28BD"/>
    <w:rsid w:val="007B53C5"/>
    <w:rsid w:val="007B701E"/>
    <w:rsid w:val="007E16D9"/>
    <w:rsid w:val="008165B7"/>
    <w:rsid w:val="00823A0B"/>
    <w:rsid w:val="0083259C"/>
    <w:rsid w:val="00840752"/>
    <w:rsid w:val="0084419D"/>
    <w:rsid w:val="0085160B"/>
    <w:rsid w:val="008B0D8A"/>
    <w:rsid w:val="008C5268"/>
    <w:rsid w:val="008C63B4"/>
    <w:rsid w:val="008D2ADF"/>
    <w:rsid w:val="008E0DED"/>
    <w:rsid w:val="008F044E"/>
    <w:rsid w:val="008F46D1"/>
    <w:rsid w:val="00934461"/>
    <w:rsid w:val="00942353"/>
    <w:rsid w:val="009508C7"/>
    <w:rsid w:val="00955298"/>
    <w:rsid w:val="00977BB6"/>
    <w:rsid w:val="00981E38"/>
    <w:rsid w:val="00995061"/>
    <w:rsid w:val="009B7F08"/>
    <w:rsid w:val="009D168A"/>
    <w:rsid w:val="009E4D82"/>
    <w:rsid w:val="009F3824"/>
    <w:rsid w:val="009F6D6F"/>
    <w:rsid w:val="00A0184F"/>
    <w:rsid w:val="00A0786F"/>
    <w:rsid w:val="00A425CB"/>
    <w:rsid w:val="00A520C7"/>
    <w:rsid w:val="00A5603C"/>
    <w:rsid w:val="00A56FB3"/>
    <w:rsid w:val="00A7009E"/>
    <w:rsid w:val="00A802CA"/>
    <w:rsid w:val="00A91131"/>
    <w:rsid w:val="00A9259C"/>
    <w:rsid w:val="00AA6389"/>
    <w:rsid w:val="00AB711A"/>
    <w:rsid w:val="00AD3FF7"/>
    <w:rsid w:val="00B04AA3"/>
    <w:rsid w:val="00B13B71"/>
    <w:rsid w:val="00B61343"/>
    <w:rsid w:val="00B7722B"/>
    <w:rsid w:val="00BC00C3"/>
    <w:rsid w:val="00BC649D"/>
    <w:rsid w:val="00BC6F25"/>
    <w:rsid w:val="00C15539"/>
    <w:rsid w:val="00C369D5"/>
    <w:rsid w:val="00C42DC6"/>
    <w:rsid w:val="00C4333D"/>
    <w:rsid w:val="00C52C38"/>
    <w:rsid w:val="00C54B43"/>
    <w:rsid w:val="00C60ECE"/>
    <w:rsid w:val="00CB4250"/>
    <w:rsid w:val="00CC0F73"/>
    <w:rsid w:val="00CE09B2"/>
    <w:rsid w:val="00CF58D6"/>
    <w:rsid w:val="00D01B1F"/>
    <w:rsid w:val="00D020A4"/>
    <w:rsid w:val="00D02596"/>
    <w:rsid w:val="00D26F88"/>
    <w:rsid w:val="00D43697"/>
    <w:rsid w:val="00D522D7"/>
    <w:rsid w:val="00D9101A"/>
    <w:rsid w:val="00D96D74"/>
    <w:rsid w:val="00DA48EA"/>
    <w:rsid w:val="00DA5F0D"/>
    <w:rsid w:val="00DB6166"/>
    <w:rsid w:val="00DD1D86"/>
    <w:rsid w:val="00DF782E"/>
    <w:rsid w:val="00E12878"/>
    <w:rsid w:val="00E12980"/>
    <w:rsid w:val="00E17EE6"/>
    <w:rsid w:val="00E27AFF"/>
    <w:rsid w:val="00E53A09"/>
    <w:rsid w:val="00E80BCA"/>
    <w:rsid w:val="00E83F0F"/>
    <w:rsid w:val="00E84F47"/>
    <w:rsid w:val="00E956D2"/>
    <w:rsid w:val="00EA1CAE"/>
    <w:rsid w:val="00EA7C29"/>
    <w:rsid w:val="00EC5CCC"/>
    <w:rsid w:val="00ED5A02"/>
    <w:rsid w:val="00EE3149"/>
    <w:rsid w:val="00EE5683"/>
    <w:rsid w:val="00F07743"/>
    <w:rsid w:val="00F12990"/>
    <w:rsid w:val="00F16287"/>
    <w:rsid w:val="00F24652"/>
    <w:rsid w:val="00F4041F"/>
    <w:rsid w:val="00F44866"/>
    <w:rsid w:val="00F472C4"/>
    <w:rsid w:val="00F50D1B"/>
    <w:rsid w:val="00F6412C"/>
    <w:rsid w:val="00F65DF7"/>
    <w:rsid w:val="00F92955"/>
    <w:rsid w:val="00F94A60"/>
    <w:rsid w:val="00F97451"/>
    <w:rsid w:val="00FA475D"/>
    <w:rsid w:val="00FB54D2"/>
    <w:rsid w:val="00FB58E7"/>
    <w:rsid w:val="00FC1636"/>
    <w:rsid w:val="00FC584B"/>
    <w:rsid w:val="00FE3EFD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3DC5C-55B3-420D-9FA1-FACBADD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07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C7"/>
  </w:style>
  <w:style w:type="paragraph" w:styleId="Footer">
    <w:name w:val="footer"/>
    <w:basedOn w:val="Normal"/>
    <w:link w:val="FooterChar"/>
    <w:uiPriority w:val="99"/>
    <w:unhideWhenUsed/>
    <w:rsid w:val="0095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C7"/>
  </w:style>
  <w:style w:type="character" w:styleId="CommentReference">
    <w:name w:val="annotation reference"/>
    <w:basedOn w:val="DefaultParagraphFont"/>
    <w:uiPriority w:val="99"/>
    <w:semiHidden/>
    <w:unhideWhenUsed/>
    <w:rsid w:val="00D26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8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F44866"/>
  </w:style>
  <w:style w:type="paragraph" w:styleId="FootnoteText">
    <w:name w:val="footnote text"/>
    <w:basedOn w:val="Normal"/>
    <w:link w:val="FootnoteTextChar"/>
    <w:uiPriority w:val="99"/>
    <w:semiHidden/>
    <w:unhideWhenUsed/>
    <w:rsid w:val="008B0D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D8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B0D8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FC584B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FC584B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Rozeta Xhagjika etj</vt:lpstr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Dt.18.03.21</dc:subject>
  <dc:description/>
  <cp:lastModifiedBy>User</cp:lastModifiedBy>
  <cp:revision>2</cp:revision>
  <cp:lastPrinted>2021-03-30T09:03:00Z</cp:lastPrinted>
  <dcterms:created xsi:type="dcterms:W3CDTF">2021-04-01T07:39:00Z</dcterms:created>
  <dcterms:modified xsi:type="dcterms:W3CDTF">2021-04-01T07:39:00Z</dcterms:modified>
</cp:coreProperties>
</file>