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5C" w:rsidRDefault="00F962AC" w:rsidP="0098115C">
      <w:pPr>
        <w:tabs>
          <w:tab w:val="left" w:pos="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  <w:bookmarkStart w:id="0" w:name="_GoBack"/>
      <w:bookmarkEnd w:id="0"/>
      <w:r w:rsidRPr="00F962AC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>V</w:t>
      </w:r>
      <w:r w:rsidR="0098115C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>endim nr. 83 datë 07.06.2021</w:t>
      </w: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</w:p>
    <w:p w:rsidR="00F962AC" w:rsidRPr="00F962AC" w:rsidRDefault="00F962AC" w:rsidP="00F962AC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sz w:val="24"/>
          <w:szCs w:val="24"/>
          <w:lang w:val="sq-AL"/>
        </w:rPr>
        <w:tab/>
        <w:t>Kolegji i Gjykatës Kushtetuese të Republikës së Shqipërisë, i përbërë nga:</w:t>
      </w:r>
    </w:p>
    <w:p w:rsidR="00F962AC" w:rsidRPr="00F962AC" w:rsidRDefault="00F962AC" w:rsidP="00F962AC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</w:p>
    <w:p w:rsidR="00F962AC" w:rsidRPr="00F962AC" w:rsidRDefault="00F962AC" w:rsidP="00F962AC">
      <w:pPr>
        <w:spacing w:after="0" w:line="36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Vitore Tusha, </w:t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ab/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ab/>
        <w:t>Kryetare e  Gjykatës Kushtetuese</w:t>
      </w:r>
    </w:p>
    <w:p w:rsidR="001A1D4F" w:rsidRPr="00F962AC" w:rsidRDefault="001A1D4F" w:rsidP="001A1D4F">
      <w:pPr>
        <w:spacing w:after="0" w:line="36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Fiona Papajorgji,</w:t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ab/>
        <w:t xml:space="preserve">Anëtare </w:t>
      </w:r>
      <w:r w:rsidR="008A743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e     “</w:t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ab/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ab/>
        <w:t>“</w:t>
      </w:r>
    </w:p>
    <w:p w:rsidR="00F962AC" w:rsidRPr="00F962AC" w:rsidRDefault="00F962AC" w:rsidP="00F962AC">
      <w:pPr>
        <w:spacing w:after="0" w:line="360" w:lineRule="auto"/>
        <w:ind w:firstLine="720"/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Sonila Bejtja,</w:t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ab/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ab/>
        <w:t xml:space="preserve">Anëtare </w:t>
      </w:r>
      <w:r w:rsidR="008A743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e     “              “</w:t>
      </w:r>
    </w:p>
    <w:p w:rsidR="00F962AC" w:rsidRPr="00F962AC" w:rsidRDefault="00F962AC" w:rsidP="00F962A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sq-AL"/>
        </w:rPr>
      </w:pPr>
    </w:p>
    <w:p w:rsidR="00F962AC" w:rsidRPr="00F962AC" w:rsidRDefault="00F962AC" w:rsidP="008A743E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>në datën</w:t>
      </w:r>
      <w:r w:rsidR="00D036EE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07.06.2021 </w:t>
      </w:r>
      <w:r w:rsidRP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>mori në</w:t>
      </w:r>
      <w:r w:rsidRPr="00F962A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shqyrtim paraprak kërkesën </w:t>
      </w:r>
      <w:r w:rsidRPr="00AB495D">
        <w:rPr>
          <w:rFonts w:ascii="Times New Roman" w:eastAsiaTheme="minorEastAsia" w:hAnsi="Times New Roman" w:cs="Times New Roman"/>
          <w:sz w:val="24"/>
          <w:szCs w:val="24"/>
          <w:lang w:val="sq-AL"/>
        </w:rPr>
        <w:t>nr.</w:t>
      </w:r>
      <w:r w:rsidR="009E7300" w:rsidRPr="00AB495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652473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5</w:t>
      </w:r>
      <w:r w:rsidR="009E7300" w:rsidRPr="00AB495D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(E)</w:t>
      </w:r>
      <w:r w:rsidR="008A743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="00CF62E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2021</w:t>
      </w:r>
      <w:r w:rsidR="009E7300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të </w:t>
      </w:r>
      <w:r w:rsidR="009E7300" w:rsidRPr="009E7300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Regjistrit Themeltar</w:t>
      </w:r>
      <w:r w:rsidRPr="00D53ECF">
        <w:rPr>
          <w:rFonts w:ascii="Times New Roman" w:eastAsiaTheme="minorEastAsia" w:hAnsi="Times New Roman" w:cs="Times New Roman"/>
          <w:sz w:val="24"/>
          <w:szCs w:val="24"/>
          <w:lang w:val="sq-AL"/>
        </w:rPr>
        <w:t>, që i përket:</w:t>
      </w:r>
    </w:p>
    <w:p w:rsidR="00F962AC" w:rsidRPr="00F962AC" w:rsidRDefault="00F962AC" w:rsidP="008A743E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</w:p>
    <w:p w:rsidR="00F962AC" w:rsidRPr="00F962AC" w:rsidRDefault="00F962AC" w:rsidP="008A743E">
      <w:pPr>
        <w:tabs>
          <w:tab w:val="left" w:pos="1710"/>
          <w:tab w:val="left" w:pos="1800"/>
        </w:tabs>
        <w:spacing w:after="0" w:line="36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KËRKUES</w:t>
      </w:r>
      <w:r w:rsidR="001A1D4F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E</w:t>
      </w:r>
      <w:r w:rsidRPr="00F962A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:</w:t>
      </w:r>
      <w:r w:rsidR="00AB495D">
        <w:rPr>
          <w:rFonts w:ascii="Times New Roman" w:eastAsiaTheme="minorEastAsia" w:hAnsi="Times New Roman" w:cs="Times New Roman"/>
          <w:sz w:val="24"/>
          <w:szCs w:val="24"/>
          <w:lang w:val="sq-AL"/>
        </w:rPr>
        <w:tab/>
      </w:r>
      <w:r w:rsidRPr="00F962AC">
        <w:rPr>
          <w:rFonts w:ascii="Times New Roman" w:eastAsiaTheme="minorEastAsia" w:hAnsi="Times New Roman" w:cs="Times New Roman"/>
          <w:sz w:val="24"/>
          <w:szCs w:val="24"/>
          <w:lang w:val="sq-AL"/>
        </w:rPr>
        <w:tab/>
      </w:r>
      <w:r w:rsidR="001A1D4F" w:rsidRPr="001A1D4F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ENKELE</w:t>
      </w:r>
      <w:r w:rsidR="00AB495D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I</w:t>
      </w:r>
      <w:r w:rsidR="001A1D4F" w:rsidRPr="001A1D4F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DA HOXHA</w:t>
      </w:r>
    </w:p>
    <w:p w:rsidR="00F962AC" w:rsidRPr="00F962AC" w:rsidRDefault="00F962AC" w:rsidP="00F962AC">
      <w:pPr>
        <w:tabs>
          <w:tab w:val="left" w:pos="0"/>
          <w:tab w:val="left" w:pos="1620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</w:p>
    <w:p w:rsidR="008A743E" w:rsidRDefault="00F962AC" w:rsidP="008A743E">
      <w:pPr>
        <w:tabs>
          <w:tab w:val="left" w:pos="288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</w:pPr>
      <w:r w:rsidRPr="00F962A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OBJEKTI:</w:t>
      </w:r>
      <w:r w:rsidRPr="00F962A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ab/>
        <w:t xml:space="preserve">Shfuqizimi </w:t>
      </w:r>
      <w:r w:rsidRPr="00F962AC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 xml:space="preserve">i vendimit nr. </w:t>
      </w:r>
      <w:r w:rsidR="001A1D4F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92, dat</w:t>
      </w:r>
      <w:r w:rsidR="006E6C85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 w:rsidR="001A1D4F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 xml:space="preserve"> </w:t>
      </w:r>
      <w:r w:rsidR="00BB05A0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17.03.2021 t</w:t>
      </w:r>
      <w:r w:rsidR="006E6C85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 w:rsidR="00BB05A0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 xml:space="preserve"> K</w:t>
      </w:r>
      <w:r w:rsidR="006E6C85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 w:rsidR="00BB05A0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shillit t</w:t>
      </w:r>
      <w:r w:rsidR="006E6C85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 w:rsidR="00BB05A0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 xml:space="preserve"> </w:t>
      </w:r>
      <w:r w:rsidR="008A743E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 xml:space="preserve"> </w:t>
      </w:r>
    </w:p>
    <w:p w:rsidR="00F962AC" w:rsidRPr="00F962AC" w:rsidRDefault="00BB05A0" w:rsidP="008A743E">
      <w:pPr>
        <w:tabs>
          <w:tab w:val="left" w:pos="2880"/>
        </w:tabs>
        <w:spacing w:after="0" w:line="360" w:lineRule="auto"/>
        <w:ind w:left="28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Lart</w:t>
      </w:r>
      <w:r w:rsidR="006E6C85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 xml:space="preserve"> Gjyq</w:t>
      </w:r>
      <w:r w:rsidR="006E6C85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 w:rsidR="009E7300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 xml:space="preserve">sor, si i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papajtuesh</w:t>
      </w:r>
      <w:r w:rsidR="006E6C85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m me Kushtetut</w:t>
      </w:r>
      <w:r w:rsidR="006E6C85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n</w:t>
      </w:r>
      <w:r w:rsidR="009E7300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 xml:space="preserve"> e Republik</w:t>
      </w:r>
      <w:r w:rsidR="00AB495D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 w:rsidR="009E7300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s s</w:t>
      </w:r>
      <w:r w:rsidR="00AB495D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 w:rsidR="009E7300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 xml:space="preserve"> Shqip</w:t>
      </w:r>
      <w:r w:rsidR="00AB495D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 w:rsidR="009E7300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ris</w:t>
      </w:r>
      <w:r w:rsidR="00AB495D"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ë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q-AL" w:eastAsia="fr-FR"/>
        </w:rPr>
        <w:t>.</w:t>
      </w:r>
    </w:p>
    <w:p w:rsidR="00F962AC" w:rsidRPr="00F962AC" w:rsidRDefault="00F962AC" w:rsidP="00F962AC">
      <w:pPr>
        <w:tabs>
          <w:tab w:val="left" w:pos="0"/>
          <w:tab w:val="left" w:pos="1800"/>
          <w:tab w:val="left" w:pos="8550"/>
          <w:tab w:val="left" w:pos="9360"/>
        </w:tabs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</w:p>
    <w:p w:rsidR="00F962AC" w:rsidRPr="00F962AC" w:rsidRDefault="00F962AC" w:rsidP="008A743E">
      <w:pPr>
        <w:spacing w:after="0" w:line="360" w:lineRule="auto"/>
        <w:ind w:left="2880" w:hanging="216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BAZA LIGJORE:</w:t>
      </w:r>
      <w:r w:rsidRPr="00F962A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ab/>
      </w:r>
      <w:r w:rsidRPr="00F962A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Nenet </w:t>
      </w:r>
      <w:r w:rsidR="008C2D1C">
        <w:rPr>
          <w:rFonts w:ascii="Times New Roman" w:eastAsiaTheme="minorEastAsia" w:hAnsi="Times New Roman" w:cs="Times New Roman"/>
          <w:sz w:val="24"/>
          <w:szCs w:val="24"/>
          <w:lang w:val="sq-AL"/>
        </w:rPr>
        <w:t>131, pika 1, shkronja “f”, 134, pika 1, shkronja “i”, 134, pika 2, 137, 179, pika 7</w:t>
      </w:r>
      <w:r w:rsidR="009E38FE">
        <w:rPr>
          <w:rFonts w:ascii="Times New Roman" w:eastAsiaTheme="minorEastAsia" w:hAnsi="Times New Roman" w:cs="Times New Roman"/>
          <w:sz w:val="24"/>
          <w:szCs w:val="24"/>
          <w:lang w:val="sq-AL"/>
        </w:rPr>
        <w:t>,</w:t>
      </w:r>
      <w:r w:rsidR="008C2D1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Pr="00F962A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të Kushtetutës së Republikës së Shqipërisë; </w:t>
      </w:r>
      <w:r w:rsidRPr="00F962AC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ligji </w:t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nr. 8577, datë 10.02.2000 “Për organizimin dhe funksionimin e Gjykatës Kushtetuese </w:t>
      </w:r>
      <w:r w:rsidR="009E38F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të Republikës së Shqipërisë”, i</w:t>
      </w: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ndryshuar </w:t>
      </w:r>
      <w:r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(ligji nr. 8577/2000</w:t>
      </w:r>
      <w:r w:rsidR="008C2D1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)</w:t>
      </w:r>
      <w:r w:rsidR="008C2D1C">
        <w:rPr>
          <w:rFonts w:ascii="Times New Roman" w:eastAsiaTheme="minorEastAsia" w:hAnsi="Times New Roman" w:cs="Times New Roman"/>
          <w:sz w:val="24"/>
          <w:szCs w:val="24"/>
          <w:lang w:val="sq-AL"/>
        </w:rPr>
        <w:t>.</w:t>
      </w:r>
    </w:p>
    <w:p w:rsidR="00F962AC" w:rsidRPr="00F962AC" w:rsidRDefault="00F962AC" w:rsidP="00F962AC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</w:pPr>
    </w:p>
    <w:p w:rsidR="00F962AC" w:rsidRPr="00F962AC" w:rsidRDefault="00F962AC" w:rsidP="00F962AC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</w:pPr>
      <w:r w:rsidRPr="00F962AC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Kolegji i Gjykatës Kushtetuese </w:t>
      </w:r>
      <w:r w:rsidRPr="00F962AC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(Kolegji)</w:t>
      </w:r>
      <w:r w:rsidRPr="00F962AC">
        <w:rPr>
          <w:rFonts w:ascii="Times New Roman" w:eastAsiaTheme="minorEastAsia" w:hAnsi="Times New Roman" w:cs="Times New Roman"/>
          <w:i/>
          <w:sz w:val="24"/>
          <w:szCs w:val="24"/>
          <w:lang w:val="sq-AL" w:eastAsia="fr-FR"/>
        </w:rPr>
        <w:t>,</w:t>
      </w:r>
      <w:r w:rsidRPr="00F962AC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pasi shqyrtoi kërkesën, dokumentet shoqëruese dhe diskutoi çështjen në tërësi,</w:t>
      </w:r>
    </w:p>
    <w:p w:rsidR="00F962AC" w:rsidRDefault="00F962AC" w:rsidP="00F962AC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</w:pPr>
    </w:p>
    <w:p w:rsidR="008A743E" w:rsidRDefault="008A743E" w:rsidP="00F962AC">
      <w:pPr>
        <w:suppressAutoHyphens/>
        <w:spacing w:after="0" w:line="36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</w:pP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F962A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 Ë R E N:</w:t>
      </w: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F962A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</w:t>
      </w: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F962A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Rrethanat e çështjes</w:t>
      </w:r>
    </w:p>
    <w:p w:rsidR="00F962AC" w:rsidRDefault="00F962AC" w:rsidP="008C2D1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Kërkues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ja</w:t>
      </w:r>
      <w:r w:rsidR="009E38F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,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="00D04683" w:rsidRPr="00D0468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Enkeleida Hoxha 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p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r periudh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n nga viti 2004 deri n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vitin 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2021 ka ushtruar detyr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n</w:t>
      </w:r>
      <w:r w:rsidR="00610DF9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e gjyqtares</w:t>
      </w:r>
      <w:r w:rsidR="009E38F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n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Gjykat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9E38F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n e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Rrethit Gjyq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sor Kruj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180667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.</w:t>
      </w:r>
    </w:p>
    <w:p w:rsidR="00180667" w:rsidRPr="00D53ECF" w:rsidRDefault="00180667" w:rsidP="008C2D1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val="sq-AL" w:eastAsia="fr-FR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Inspektori i Lart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i Drejt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sis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Pr="00180667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(ILD)</w:t>
      </w:r>
      <w:r w:rsidR="00D53ECF" w:rsidRPr="006066F1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,</w:t>
      </w:r>
      <w:r w:rsidR="00083A9C" w:rsidRPr="006066F1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="00083A9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n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083A9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dat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083A9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n 10.12.2020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,</w:t>
      </w:r>
      <w:r w:rsidR="00083A9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ka 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depozituar kërkesën për </w:t>
      </w:r>
      <w:r w:rsidR="00083A9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fill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imin e</w:t>
      </w:r>
      <w:r w:rsidR="00083A9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procedimin disiplinor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ndaj kërkueses, duke propozuar </w:t>
      </w:r>
      <w:r w:rsidR="009E38F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caktimin e masës </w:t>
      </w:r>
      <w:r w:rsidR="009E38F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lastRenderedPageBreak/>
        <w:t>disiplinore “S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hkarkim nga detyra”, </w:t>
      </w:r>
      <w:r w:rsidR="00250A7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p</w:t>
      </w:r>
      <w:r w:rsidR="00406942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250A7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r shkelje t</w:t>
      </w:r>
      <w:r w:rsidR="00406942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250A7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r</w:t>
      </w:r>
      <w:r w:rsidR="00406942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250A7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nda disiplinore</w:t>
      </w:r>
      <w:r w:rsidR="00C33E76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, bazuar n</w:t>
      </w:r>
      <w:r w:rsidR="00927451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C33E76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neni</w:t>
      </w:r>
      <w:r w:rsidR="00C33E76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n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140, pik</w:t>
      </w:r>
      <w:r w:rsidR="00C33E76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a 2, shkronja “a”</w:t>
      </w:r>
      <w:r w:rsidR="009E38F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, t</w:t>
      </w:r>
      <w:r w:rsidR="002C4B36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C33E76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Kushtetutës dhe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nene</w:t>
      </w:r>
      <w:r w:rsidR="00C33E76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t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105, pika 1,</w:t>
      </w:r>
      <w:r w:rsidR="00BC199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shkronja “dh” dhe 111, pika 1</w:t>
      </w:r>
      <w:r w:rsidR="009E38FE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,</w:t>
      </w:r>
      <w:r w:rsidR="00BC199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të</w:t>
      </w:r>
      <w:r w:rsidR="00D53ECF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ligjit nr. 96/2016 </w:t>
      </w:r>
      <w:r w:rsidR="00D53ECF" w:rsidRPr="00782E78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“Për statusin e gjyqtarëve dhe prokurorëve në Republikën e Shqipërisë</w:t>
      </w:r>
      <w:r w:rsidR="00824C69" w:rsidRPr="00782E78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”</w:t>
      </w:r>
      <w:r w:rsidR="00824C69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 xml:space="preserve"> (ligji nr. 96/2016)</w:t>
      </w:r>
      <w:r w:rsidR="009E38FE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.</w:t>
      </w:r>
    </w:p>
    <w:p w:rsidR="00F962AC" w:rsidRPr="00F962AC" w:rsidRDefault="009E5D22" w:rsidP="0077275A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 w:eastAsia="fr-FR"/>
        </w:rPr>
      </w:pPr>
      <w:r w:rsidRPr="0012075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Pas shqyrtimit, K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Pr="0012075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shi</w:t>
      </w:r>
      <w:r w:rsidR="002C05BB" w:rsidRPr="0012075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lli i Lart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2C05BB" w:rsidRPr="0012075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Gjyq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2C05BB" w:rsidRPr="0012075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sor </w:t>
      </w:r>
      <w:r w:rsidR="002C05BB"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(KLGJ)</w:t>
      </w:r>
      <w:r w:rsidR="00826FBA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,</w:t>
      </w:r>
      <w:r w:rsidR="00BC0341" w:rsidRPr="0012075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me vendimin nr. 92, dat</w:t>
      </w:r>
      <w:r w:rsidR="006E6C85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ë</w:t>
      </w:r>
      <w:r w:rsidR="00BC0341" w:rsidRPr="0012075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17.03.2021</w:t>
      </w:r>
      <w:r w:rsidR="00826FBA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,</w:t>
      </w:r>
      <w:r w:rsidR="00BC0341" w:rsidRPr="0012075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ka vendosur:</w:t>
      </w:r>
      <w:r w:rsidR="00F962AC" w:rsidRPr="00F962AC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“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1-Pranimin e kërkesës së Inspektorit të Lartë të Drejtësisë; 2-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S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hkarkimin nga detyra të magjistrat</w:t>
      </w:r>
      <w:r w:rsidR="00BC0341"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es Enkeleida Hoxha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, me detyrë gjyqtar</w:t>
      </w:r>
      <w:r w:rsidR="00BC0341"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e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 xml:space="preserve"> në Gjykatën e Rrethit Gjyqësor K</w:t>
      </w:r>
      <w:r w:rsidR="00BC0341"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ruj</w:t>
      </w:r>
      <w:r w:rsidR="006E6C85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ë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; 3-P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ezullimin e përfitimit të pagës në masën 50%, si dhe për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fitimet e tjera të magjistrates Enkeleida Hoxha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, deri kur ky vendim të mar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rë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 xml:space="preserve"> formë të prerë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; 4- K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 xml:space="preserve">undër këtij vendimi lejohet ankim sipas ligjit në 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 xml:space="preserve">Kolegjin e </w:t>
      </w:r>
      <w:r w:rsidR="00D45033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 xml:space="preserve">Posaçëm të 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Apelimit, pran</w:t>
      </w:r>
      <w:r w:rsidR="006E6C85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ë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 xml:space="preserve"> 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Gjykatë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s</w:t>
      </w:r>
      <w:r w:rsidR="00F962AC" w:rsidRPr="00F962A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 xml:space="preserve"> Kushtetuese, afati i të cilit fillon nga e nesërmja e njoftimi të arsyetimit të këtij vendimi</w:t>
      </w:r>
      <w:r w:rsidR="00D45033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.”</w:t>
      </w:r>
      <w:r w:rsidRPr="0012075C">
        <w:rPr>
          <w:rFonts w:ascii="Times New Roman" w:eastAsiaTheme="minorEastAsia" w:hAnsi="Times New Roman" w:cs="Times New Roman"/>
          <w:bCs/>
          <w:i/>
          <w:sz w:val="24"/>
          <w:szCs w:val="24"/>
          <w:lang w:val="sq-AL"/>
        </w:rPr>
        <w:t>.</w:t>
      </w:r>
    </w:p>
    <w:p w:rsidR="00F962AC" w:rsidRPr="00610DF9" w:rsidRDefault="002C6183" w:rsidP="008C2D1C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</w:pPr>
      <w:r w:rsidRPr="00610DF9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Kërkuesja</w:t>
      </w:r>
      <w:r w:rsidR="00F962AC" w:rsidRPr="00610DF9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, në datën</w:t>
      </w:r>
      <w:r w:rsidR="006E6C85" w:rsidRPr="00610DF9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</w:t>
      </w:r>
      <w:r w:rsidR="00610DF9" w:rsidRPr="00610DF9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10.05.2021, </w:t>
      </w:r>
      <w:r w:rsidR="00F962AC" w:rsidRPr="00610DF9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i është drejtuar me kërkesë </w:t>
      </w:r>
      <w:r w:rsidR="00F962AC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Gjykatës Kushtetuese</w:t>
      </w:r>
      <w:r w:rsidR="008253D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</w:t>
      </w:r>
      <w:r w:rsidR="008253D9" w:rsidRPr="008253D9">
        <w:rPr>
          <w:rFonts w:ascii="Times New Roman" w:eastAsiaTheme="minorEastAsia" w:hAnsi="Times New Roman" w:cs="Times New Roman"/>
          <w:i/>
          <w:sz w:val="24"/>
          <w:szCs w:val="24"/>
          <w:lang w:val="sq-AL" w:eastAsia="fr-FR"/>
        </w:rPr>
        <w:t>(Gjykata)</w:t>
      </w:r>
      <w:r w:rsidR="00F962AC" w:rsidRPr="008253D9">
        <w:rPr>
          <w:rFonts w:ascii="Times New Roman" w:eastAsiaTheme="minorEastAsia" w:hAnsi="Times New Roman" w:cs="Times New Roman"/>
          <w:i/>
          <w:sz w:val="24"/>
          <w:szCs w:val="24"/>
          <w:lang w:val="sq-AL" w:eastAsia="fr-FR"/>
        </w:rPr>
        <w:t>,</w:t>
      </w:r>
      <w:r w:rsidR="00F962AC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duke kërkuar shfuqizimin e vendimit </w:t>
      </w:r>
      <w:r w:rsidR="006E6C85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nr. 92, dat</w:t>
      </w:r>
      <w:r w:rsidR="00DD26D4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E6C85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17.03.2021 </w:t>
      </w:r>
      <w:r w:rsidR="00F962AC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të KLGJ-së. 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Nga p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rmbajtja e k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rkes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s rezulton se k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rkuesja ka paraqitur t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nj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jt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n k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rkes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edhe n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826FBA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Kolegjin e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Posaç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m t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Apelimit pran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Gjykat</w:t>
      </w:r>
      <w:r w:rsidR="00404C1D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ë</w:t>
      </w:r>
      <w:r w:rsidR="00610DF9" w:rsidRPr="00610DF9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>s Kushtetuese</w:t>
      </w:r>
      <w:r w:rsidR="00826FBA">
        <w:rPr>
          <w:rFonts w:ascii="Times New Roman" w:eastAsiaTheme="minorEastAsia" w:hAnsi="Times New Roman" w:cs="Times New Roman"/>
          <w:sz w:val="24"/>
          <w:szCs w:val="24"/>
          <w:lang w:val="sq-AL" w:eastAsia="fr-FR"/>
        </w:rPr>
        <w:t xml:space="preserve"> </w:t>
      </w:r>
      <w:r w:rsidR="00826FBA" w:rsidRPr="00826FBA">
        <w:rPr>
          <w:rFonts w:ascii="Times New Roman" w:eastAsiaTheme="minorEastAsia" w:hAnsi="Times New Roman" w:cs="Times New Roman"/>
          <w:i/>
          <w:sz w:val="24"/>
          <w:szCs w:val="24"/>
          <w:lang w:val="sq-AL" w:eastAsia="fr-FR"/>
        </w:rPr>
        <w:t>(KPA)</w:t>
      </w:r>
      <w:r w:rsidR="00610DF9" w:rsidRPr="00826FBA">
        <w:rPr>
          <w:rFonts w:ascii="Times New Roman" w:eastAsiaTheme="minorEastAsia" w:hAnsi="Times New Roman" w:cs="Times New Roman"/>
          <w:i/>
          <w:sz w:val="24"/>
          <w:szCs w:val="24"/>
          <w:lang w:val="sq-AL" w:eastAsia="fr-FR"/>
        </w:rPr>
        <w:t>.</w:t>
      </w:r>
    </w:p>
    <w:p w:rsidR="00610DF9" w:rsidRPr="00F962AC" w:rsidRDefault="00610DF9" w:rsidP="00610DF9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  <w:highlight w:val="yellow"/>
          <w:lang w:val="sq-AL"/>
        </w:rPr>
      </w:pPr>
    </w:p>
    <w:p w:rsidR="00F962AC" w:rsidRPr="00F962AC" w:rsidRDefault="00F962AC" w:rsidP="00F962AC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>II</w:t>
      </w:r>
    </w:p>
    <w:p w:rsidR="00F962AC" w:rsidRPr="00F962AC" w:rsidRDefault="00F962AC" w:rsidP="00F962AC">
      <w:pPr>
        <w:tabs>
          <w:tab w:val="left" w:pos="108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 xml:space="preserve">Pretendimet </w:t>
      </w:r>
      <w:r w:rsidR="00D04683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>e kërkueses</w:t>
      </w:r>
    </w:p>
    <w:p w:rsidR="00F962AC" w:rsidRPr="00F962AC" w:rsidRDefault="00F962AC" w:rsidP="007E78A5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F962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>Kërkues</w:t>
      </w:r>
      <w:r w:rsidR="001A1D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>ja</w:t>
      </w:r>
      <w:r w:rsidR="00826F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q-AL"/>
        </w:rPr>
        <w:t>,</w:t>
      </w:r>
      <w:r w:rsidR="001A1D4F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AB2BB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në </w:t>
      </w:r>
      <w:r w:rsidRPr="00F962A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kërkesë</w:t>
      </w:r>
      <w:r w:rsidR="00AB2BB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n drejtuar </w:t>
      </w:r>
      <w:r w:rsidR="00826FBA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Gjykatës</w:t>
      </w:r>
      <w:r w:rsidR="00AB2BB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 ka</w:t>
      </w:r>
      <w:r w:rsidR="00826FBA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Pr="00F962A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</w:t>
      </w:r>
      <w:r w:rsidR="007E78A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arashtruar</w:t>
      </w:r>
      <w:r w:rsidRPr="00F962AC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në mënyrë të përmbledhur:</w:t>
      </w:r>
    </w:p>
    <w:p w:rsidR="00F962AC" w:rsidRPr="00E77A49" w:rsidRDefault="00C238AD" w:rsidP="008A743E">
      <w:pPr>
        <w:pStyle w:val="ListParagraph"/>
        <w:numPr>
          <w:ilvl w:val="1"/>
          <w:numId w:val="3"/>
        </w:numPr>
        <w:tabs>
          <w:tab w:val="left" w:pos="450"/>
          <w:tab w:val="left" w:pos="1350"/>
        </w:tabs>
        <w:spacing w:after="0" w:line="360" w:lineRule="auto"/>
        <w:ind w:left="1440" w:hanging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KLGJ-ja ka vendosur shkarkimin bazuar 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shkeljet e pretenduara vet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BC199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 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BC199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rastin e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nuarit H.B., pasi i ka gjetur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pabazuara pretendimet e inspektorit 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rastin e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782E7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nuarit I.P. KLGJ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-ja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="00F962AC" w:rsidRPr="00C238A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BC199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BC199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rastin e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nuarit H.B.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ka shqyrtuar m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nyr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 e zbatimit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ligjit procedural dhe material nga ana e gjyqtares edhe pse k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tag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 ia 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rjashtoi vetes 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rastin e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nuarit I.P. KLGJ-ja ka trajtuar m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nyr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 e zbatimit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ligjit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por 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normat e cituara nga 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ajo 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nuk 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rb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jn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shkelje disiplinore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gjyqtares ose sjellje </w:t>
      </w:r>
      <w:r w:rsidR="00C2481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diskredituese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figur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 dhe statusit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gjyqtarit. Sjellja dhe atributet 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 KLGJ-s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si nj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gjykat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 lart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jan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pamerituara ligj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ri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sht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 nj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organ 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kolegjial 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q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siguron pavar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sin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A273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rgjegjshm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rin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dhe mbar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vajtjen e pushtetit gjyq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sor 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Republik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 e Shqip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ris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E77A4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E77A49" w:rsidRPr="00E77A49" w:rsidRDefault="00E77A49" w:rsidP="008A743E">
      <w:pPr>
        <w:pStyle w:val="ListParagraph"/>
        <w:numPr>
          <w:ilvl w:val="1"/>
          <w:numId w:val="3"/>
        </w:numPr>
        <w:tabs>
          <w:tab w:val="left" w:pos="450"/>
          <w:tab w:val="left" w:pos="1350"/>
        </w:tabs>
        <w:spacing w:after="0" w:line="360" w:lineRule="auto"/>
        <w:ind w:left="1440" w:hanging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dyja rastet e referuara nga ILD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-ja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vendimmarrja nuk 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ankimuar dhe </w:t>
      </w:r>
      <w:r w:rsidR="00F358B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</w:t>
      </w:r>
      <w:r w:rsidR="004C59C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F358B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 t</w:t>
      </w:r>
      <w:r w:rsidR="004C59C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F358B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nuk 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shprehur nj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gjykat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 lart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n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se 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shkelur li</w:t>
      </w:r>
      <w:r w:rsidR="00BC199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gji material ose procedural nga k</w:t>
      </w:r>
      <w:r w:rsidR="000A34D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BC199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rkuesja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E77A49" w:rsidRPr="00277EF9" w:rsidRDefault="00E77A49" w:rsidP="008A743E">
      <w:pPr>
        <w:pStyle w:val="ListParagraph"/>
        <w:numPr>
          <w:ilvl w:val="1"/>
          <w:numId w:val="3"/>
        </w:numPr>
        <w:tabs>
          <w:tab w:val="left" w:pos="450"/>
          <w:tab w:val="left" w:pos="1350"/>
        </w:tabs>
        <w:spacing w:after="0" w:line="360" w:lineRule="auto"/>
        <w:ind w:left="1440" w:hanging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lastRenderedPageBreak/>
        <w:t xml:space="preserve"> Gjat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gjykimit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zhvilluar nga KLGJ-ja 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cenuar e drejta 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 nj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proces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rregullt ligjor, pasi k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rkueses i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2C4B3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sht</w:t>
      </w:r>
      <w:r w:rsidR="002C4B3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mohua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mund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sia 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 t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kund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rshtuar raportin e ILD-s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277EF9" w:rsidRPr="00406FC6" w:rsidRDefault="00C2481D" w:rsidP="008A743E">
      <w:pPr>
        <w:pStyle w:val="ListParagraph"/>
        <w:numPr>
          <w:ilvl w:val="1"/>
          <w:numId w:val="3"/>
        </w:numPr>
        <w:tabs>
          <w:tab w:val="left" w:pos="450"/>
          <w:tab w:val="left" w:pos="1350"/>
        </w:tabs>
        <w:spacing w:after="0" w:line="360" w:lineRule="auto"/>
        <w:ind w:left="1440" w:hanging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277EF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K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277EF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rkueses i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2C4B3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sht</w:t>
      </w:r>
      <w:r w:rsidR="002C4B3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277EF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mohua</w:t>
      </w:r>
      <w:r w:rsidR="008253D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</w:t>
      </w:r>
      <w:r w:rsidR="00277EF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edhe </w:t>
      </w:r>
      <w:r w:rsidR="00277EF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mund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277EF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sia p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277EF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 marr</w:t>
      </w:r>
      <w:r w:rsidR="006E6C8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veshjen e p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rbashk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 t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pranimit</w:t>
      </w:r>
      <w:r w:rsidR="003C7A19" w:rsidRP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mes saj dhe ILD-në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si nj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mundësi 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e parashikuar nga 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ligj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i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406FC6" w:rsidRPr="00C238AD" w:rsidRDefault="008253D9" w:rsidP="008A743E">
      <w:pPr>
        <w:pStyle w:val="ListParagraph"/>
        <w:numPr>
          <w:ilvl w:val="1"/>
          <w:numId w:val="3"/>
        </w:numPr>
        <w:tabs>
          <w:tab w:val="left" w:pos="450"/>
          <w:tab w:val="left" w:pos="1350"/>
        </w:tabs>
        <w:spacing w:after="0" w:line="360" w:lineRule="auto"/>
        <w:ind w:left="1440" w:hanging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Masa disiplinore “S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hkarkim nga detyra” 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sht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 vendosur pa ligj, pasi nenet 101-104 t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ligjit nr. 96/2016 jan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shfuqizuar nga Gjykata Kushtetuese me vendimin nr. 34, dat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10.04.2017. V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eprimet dhe mosveprimet e magjistratit q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rb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jn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shkelje disiplinore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parashikuara </w:t>
      </w:r>
      <w:r w:rsidR="00406FC6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nga neni 102 i ligjit nr. 96/2016</w:t>
      </w:r>
      <w:r w:rsidR="0092014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cilin 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sht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bazuar edhe ILD-ja, në kohën e kryerjes së shkeljeve disiplinore të pretenduara ishte nj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dispozit</w:t>
      </w:r>
      <w:r w:rsidR="00927451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 shfuqizuar </w:t>
      </w:r>
      <w:r w:rsidR="0092014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dhe nuk mund t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92014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p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92014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rb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nte</w:t>
      </w:r>
      <w:r w:rsidR="0092014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baz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92014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ligjore </w:t>
      </w:r>
      <w:r w:rsidR="0092014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</w:t>
      </w:r>
      <w:r w:rsidR="00DD26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="003C7A19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r vendimmarrje</w:t>
      </w:r>
      <w:r w:rsidR="00F358B0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</w:t>
      </w:r>
      <w:r w:rsidR="0092014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III</w:t>
      </w: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/>
          <w:sz w:val="24"/>
          <w:szCs w:val="24"/>
          <w:lang w:val="sq-AL"/>
        </w:rPr>
        <w:t>Vlerësimi i Kolegjit</w:t>
      </w:r>
    </w:p>
    <w:p w:rsidR="00F962AC" w:rsidRPr="00F962AC" w:rsidRDefault="008F4C81" w:rsidP="0022514D">
      <w:pPr>
        <w:tabs>
          <w:tab w:val="left" w:pos="1080"/>
        </w:tabs>
        <w:spacing w:after="0" w:line="360" w:lineRule="auto"/>
        <w:ind w:firstLine="720"/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A. Për juridiksionin e Gjykatës</w:t>
      </w:r>
    </w:p>
    <w:p w:rsidR="00C2481D" w:rsidRPr="00782E78" w:rsidRDefault="00782E78" w:rsidP="00242B1F">
      <w:pPr>
        <w:pStyle w:val="ListParagraph"/>
        <w:numPr>
          <w:ilvl w:val="0"/>
          <w:numId w:val="1"/>
        </w:numPr>
        <w:tabs>
          <w:tab w:val="left" w:pos="1080"/>
        </w:tabs>
        <w:spacing w:after="20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782E78">
        <w:rPr>
          <w:rFonts w:ascii="Times New Roman" w:hAnsi="Times New Roman"/>
          <w:sz w:val="24"/>
          <w:szCs w:val="24"/>
          <w:lang w:val="sq-AL"/>
        </w:rPr>
        <w:t>Kolegji vëren se s</w:t>
      </w:r>
      <w:r w:rsidRPr="00782E78">
        <w:rPr>
          <w:rFonts w:ascii="Times New Roman" w:eastAsia="Times New Roman" w:hAnsi="Times New Roman" w:cs="Times New Roman"/>
          <w:sz w:val="24"/>
          <w:szCs w:val="24"/>
          <w:lang w:val="sq-AL"/>
        </w:rPr>
        <w:t>ipas neneve 131, pika 1, shkronja “f”, 134 pika 1, shkronja “i”, dhe 134, pika 2</w:t>
      </w:r>
      <w:r w:rsidR="008253D9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782E7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Kushtetutës, </w:t>
      </w:r>
      <w:r w:rsidRPr="00782E78">
        <w:rPr>
          <w:rFonts w:ascii="Times New Roman" w:hAnsi="Times New Roman"/>
          <w:sz w:val="24"/>
          <w:szCs w:val="24"/>
          <w:lang w:val="sq-AL"/>
        </w:rPr>
        <w:t xml:space="preserve">si dhe nenit 71, pika 1, </w:t>
      </w:r>
      <w:r w:rsidR="008253D9">
        <w:rPr>
          <w:rFonts w:ascii="Times New Roman" w:hAnsi="Times New Roman"/>
          <w:sz w:val="24"/>
          <w:szCs w:val="24"/>
          <w:lang w:val="sq-AL"/>
        </w:rPr>
        <w:t>t</w:t>
      </w:r>
      <w:r w:rsidR="002C4B36">
        <w:rPr>
          <w:rFonts w:ascii="Times New Roman" w:hAnsi="Times New Roman"/>
          <w:sz w:val="24"/>
          <w:szCs w:val="24"/>
          <w:lang w:val="sq-AL"/>
        </w:rPr>
        <w:t>ë</w:t>
      </w:r>
      <w:r w:rsidR="008253D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782E78">
        <w:rPr>
          <w:rFonts w:ascii="Times New Roman" w:hAnsi="Times New Roman"/>
          <w:sz w:val="24"/>
          <w:szCs w:val="24"/>
          <w:lang w:val="sq-AL"/>
        </w:rPr>
        <w:t>ligjit nr. 8577/2000</w:t>
      </w:r>
      <w:r>
        <w:rPr>
          <w:rFonts w:ascii="Times New Roman" w:hAnsi="Times New Roman"/>
          <w:sz w:val="24"/>
          <w:szCs w:val="24"/>
          <w:lang w:val="sq-AL"/>
        </w:rPr>
        <w:t xml:space="preserve">, çdo individ, </w:t>
      </w:r>
      <w:r w:rsidR="00F962AC" w:rsidRP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>person fizik ose juridik, subjekt i së drejtës private dhe publike, kur është palë në një proces ligjor ose kur është bartës i të drejtave dhe lirive themelore të parashikuara nga Kushtetuta, mund t</w:t>
      </w:r>
      <w:r w:rsidR="004C59C4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’i drejtohet </w:t>
      </w:r>
      <w:r w:rsidR="00F962AC" w:rsidRP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>Gjykatë</w:t>
      </w:r>
      <w:r w:rsidR="004C59C4">
        <w:rPr>
          <w:rFonts w:ascii="Times New Roman" w:eastAsiaTheme="minorEastAsia" w:hAnsi="Times New Roman" w:cs="Times New Roman"/>
          <w:sz w:val="24"/>
          <w:szCs w:val="24"/>
          <w:lang w:val="sq-AL"/>
        </w:rPr>
        <w:t>s Kushtetuese.</w:t>
      </w:r>
    </w:p>
    <w:p w:rsidR="00C2481D" w:rsidRDefault="00F962AC" w:rsidP="00C2481D">
      <w:pPr>
        <w:pStyle w:val="ListParagraph"/>
        <w:numPr>
          <w:ilvl w:val="0"/>
          <w:numId w:val="1"/>
        </w:numPr>
        <w:tabs>
          <w:tab w:val="left" w:pos="1080"/>
        </w:tabs>
        <w:spacing w:after="20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Ankimi kushtetues individual, në çdo rast, duhet të plotësojë kriteret e nenit 71/a të ligjit nr. 8577/2000, që lidhen me shterimin e mjeteve juridike, afatin e paraqitjes së kërkesës, llojin e pasojave negative të pësuara, mundësinë për rivendosjen e së drejtës së shkelur dhe rregullimet e veçanta ligjore të shqyrtimit paraprak të kërkesës. Megjithatë, përmbajtja e nenit 131, pika 1, shkronja “f”, të Kushtetutës ka bërë një përjashtim nga rregulli i mësipërm, për rastet kur parashikohet ndryshe në Kushtetut</w:t>
      </w:r>
      <w:r w:rsid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ë.</w:t>
      </w:r>
    </w:p>
    <w:p w:rsidR="00C2481D" w:rsidRDefault="00F962AC" w:rsidP="00C2481D">
      <w:pPr>
        <w:pStyle w:val="ListParagraph"/>
        <w:numPr>
          <w:ilvl w:val="0"/>
          <w:numId w:val="1"/>
        </w:numPr>
        <w:tabs>
          <w:tab w:val="left" w:pos="1080"/>
        </w:tabs>
        <w:spacing w:after="20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Në rastin konkret, Kolegji vëren se kërkesa është paraqitur në G</w:t>
      </w:r>
      <w:r w:rsidR="00C238AD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jykatën Kushtetuese </w:t>
      </w:r>
      <w:r w:rsidR="00893176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dhe në </w:t>
      </w:r>
      <w:r w:rsidR="00893176" w:rsidRPr="008253D9">
        <w:rPr>
          <w:rFonts w:ascii="Times New Roman" w:eastAsiaTheme="minorEastAsia" w:hAnsi="Times New Roman"/>
          <w:iCs/>
          <w:sz w:val="24"/>
          <w:szCs w:val="24"/>
          <w:lang w:val="sq-AL"/>
        </w:rPr>
        <w:t>KPA</w:t>
      </w:r>
      <w:r w:rsidR="00893176" w:rsidRPr="008253D9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C238AD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nga kërkuesja, </w:t>
      </w:r>
      <w:r w:rsidR="008F4C81">
        <w:rPr>
          <w:rFonts w:ascii="Times New Roman" w:eastAsiaTheme="minorEastAsia" w:hAnsi="Times New Roman" w:cs="Times New Roman"/>
          <w:sz w:val="24"/>
          <w:szCs w:val="24"/>
          <w:lang w:val="sq-AL"/>
        </w:rPr>
        <w:t>ish</w:t>
      </w:r>
      <w:r w:rsidR="00D81059">
        <w:rPr>
          <w:rFonts w:ascii="Times New Roman" w:eastAsiaTheme="minorEastAsia" w:hAnsi="Times New Roman" w:cs="Times New Roman"/>
          <w:sz w:val="24"/>
          <w:szCs w:val="24"/>
          <w:lang w:val="sq-AL"/>
        </w:rPr>
        <w:t>-</w:t>
      </w:r>
      <w:r w:rsidR="008F4C81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magjistrate, </w:t>
      </w:r>
      <w:r w:rsidR="008253D9">
        <w:rPr>
          <w:rFonts w:ascii="Times New Roman" w:eastAsiaTheme="minorEastAsia" w:hAnsi="Times New Roman" w:cs="Times New Roman"/>
          <w:sz w:val="24"/>
          <w:szCs w:val="24"/>
          <w:lang w:val="sq-AL"/>
        </w:rPr>
        <w:t>ndaj s</w:t>
      </w:r>
      <w:r w:rsidR="00C238AD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ë cil</w:t>
      </w:r>
      <w:r w:rsidR="006E6C85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C238AD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s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është dhënë masa disiplinore “</w:t>
      </w:r>
      <w:r w:rsidR="008253D9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S</w:t>
      </w:r>
      <w:r w:rsidRPr="00C2481D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h</w:t>
      </w:r>
      <w:r w:rsidR="00C238AD" w:rsidRPr="00C2481D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karkim nga detyra</w:t>
      </w:r>
      <w:r w:rsidRPr="00C2481D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”</w:t>
      </w:r>
      <w:r w:rsidR="00782E78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 xml:space="preserve"> nga KLGJ-ja</w:t>
      </w:r>
      <w:r w:rsidRPr="00C2481D">
        <w:rPr>
          <w:rFonts w:ascii="Times New Roman" w:eastAsiaTheme="minorEastAsia" w:hAnsi="Times New Roman" w:cs="Times New Roman"/>
          <w:bCs/>
          <w:sz w:val="24"/>
          <w:szCs w:val="24"/>
          <w:lang w:val="sq-AL"/>
        </w:rPr>
        <w:t>. Prandaj, n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ë kushtet kur objekt i ankimit kushtetues individual është shfuqizimi si i papajtueshëm me Kushtetutën i vendimit</w:t>
      </w:r>
      <w:r w:rsidRPr="00C2481D">
        <w:rPr>
          <w:rFonts w:ascii="Times New Roman" w:eastAsiaTheme="minorEastAsia" w:hAnsi="Times New Roman" w:cs="Times New Roman"/>
          <w:iCs/>
          <w:sz w:val="24"/>
          <w:szCs w:val="24"/>
          <w:lang w:val="sq-AL"/>
        </w:rPr>
        <w:t xml:space="preserve"> të KLGJ-s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ë, që </w:t>
      </w:r>
      <w:r w:rsid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e 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k</w:t>
      </w:r>
      <w:r w:rsidR="00D81059">
        <w:rPr>
          <w:rFonts w:ascii="Times New Roman" w:eastAsiaTheme="minorEastAsia" w:hAnsi="Times New Roman" w:cs="Times New Roman"/>
          <w:sz w:val="24"/>
          <w:szCs w:val="24"/>
          <w:lang w:val="sq-AL"/>
        </w:rPr>
        <w:t>a shkarkuar nga detyra kërkuesen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, Kolegji vlerëson se fillimisht duhet të ana</w:t>
      </w:r>
      <w:r w:rsidR="008253D9">
        <w:rPr>
          <w:rFonts w:ascii="Times New Roman" w:eastAsiaTheme="minorEastAsia" w:hAnsi="Times New Roman" w:cs="Times New Roman"/>
          <w:sz w:val="24"/>
          <w:szCs w:val="24"/>
          <w:lang w:val="sq-AL"/>
        </w:rPr>
        <w:t>lizohet juridiksioni i Gjykatës.</w:t>
      </w:r>
    </w:p>
    <w:p w:rsidR="00C2481D" w:rsidRDefault="00F962AC" w:rsidP="00C2481D">
      <w:pPr>
        <w:pStyle w:val="ListParagraph"/>
        <w:numPr>
          <w:ilvl w:val="0"/>
          <w:numId w:val="1"/>
        </w:numPr>
        <w:tabs>
          <w:tab w:val="left" w:pos="1080"/>
        </w:tabs>
        <w:spacing w:after="20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C2481D">
        <w:rPr>
          <w:rFonts w:ascii="Times New Roman" w:eastAsiaTheme="minorEastAsia" w:hAnsi="Times New Roman"/>
          <w:sz w:val="24"/>
          <w:szCs w:val="24"/>
          <w:lang w:val="sq-AL"/>
        </w:rPr>
        <w:lastRenderedPageBreak/>
        <w:t>Kolegji çmon se neni 140 i Kushtetutës, që parashikon përgjegjësinë disiplinore të gjyqtarëve dhe rastet e shkarkimit ose pezullimit nga detyra të tyre, në paragrafin 4</w:t>
      </w:r>
      <w:r w:rsidR="00C238AD" w:rsidRPr="00C2481D">
        <w:rPr>
          <w:rFonts w:ascii="Times New Roman" w:eastAsiaTheme="minorEastAsia" w:hAnsi="Times New Roman"/>
          <w:sz w:val="24"/>
          <w:szCs w:val="24"/>
          <w:lang w:val="sq-AL"/>
        </w:rPr>
        <w:t xml:space="preserve"> t</w:t>
      </w:r>
      <w:r w:rsidR="006E6C85" w:rsidRPr="00C2481D">
        <w:rPr>
          <w:rFonts w:ascii="Times New Roman" w:eastAsiaTheme="minorEastAsia" w:hAnsi="Times New Roman"/>
          <w:sz w:val="24"/>
          <w:szCs w:val="24"/>
          <w:lang w:val="sq-AL"/>
        </w:rPr>
        <w:t>ë</w:t>
      </w:r>
      <w:r w:rsidR="00C238AD" w:rsidRPr="00C2481D">
        <w:rPr>
          <w:rFonts w:ascii="Times New Roman" w:eastAsiaTheme="minorEastAsia" w:hAnsi="Times New Roman"/>
          <w:sz w:val="24"/>
          <w:szCs w:val="24"/>
          <w:lang w:val="sq-AL"/>
        </w:rPr>
        <w:t xml:space="preserve"> tij</w:t>
      </w:r>
      <w:r w:rsidRPr="00C2481D">
        <w:rPr>
          <w:rFonts w:ascii="Times New Roman" w:eastAsiaTheme="minorEastAsia" w:hAnsi="Times New Roman"/>
          <w:sz w:val="24"/>
          <w:szCs w:val="24"/>
          <w:lang w:val="sq-AL"/>
        </w:rPr>
        <w:t xml:space="preserve"> përcakton se “</w:t>
      </w:r>
      <w:r w:rsidRPr="00C2481D">
        <w:rPr>
          <w:rFonts w:ascii="Times New Roman" w:eastAsia="Times New Roman" w:hAnsi="Times New Roman"/>
          <w:i/>
          <w:sz w:val="24"/>
          <w:szCs w:val="24"/>
          <w:lang w:val="sq-AL"/>
        </w:rPr>
        <w:t>kundër vendimit të shkarkimit mund të bëhet ankim në Gjykatën Kushtetuese</w:t>
      </w:r>
      <w:r w:rsidRPr="00C2481D">
        <w:rPr>
          <w:rFonts w:ascii="Times New Roman" w:eastAsia="Times New Roman" w:hAnsi="Times New Roman"/>
          <w:sz w:val="24"/>
          <w:szCs w:val="24"/>
          <w:lang w:val="sq-AL"/>
        </w:rPr>
        <w:t xml:space="preserve">”. 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Ky rregullim kushtetues është reflektuar edhe në ne</w:t>
      </w:r>
      <w:r w:rsidR="00CF62E7">
        <w:rPr>
          <w:rFonts w:ascii="Times New Roman" w:eastAsiaTheme="minorEastAsia" w:hAnsi="Times New Roman" w:cs="Times New Roman"/>
          <w:sz w:val="24"/>
          <w:szCs w:val="24"/>
          <w:lang w:val="sq-AL"/>
        </w:rPr>
        <w:t>nin 71, pika 3, të ligjit nr. 85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77/2000, sipas të cilit Gjykata Kushtetuese shqyrton përfundimisht ankimet kundër vendimeve të Këshillit të Lartë Gjyqësor dhe Këshillit të Lartë të Prokurorisë, sipas neneve 140, pika 4 dhe</w:t>
      </w:r>
      <w:r w:rsid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148/d, pika 3, të Kushtetutës.</w:t>
      </w:r>
    </w:p>
    <w:p w:rsidR="00C2481D" w:rsidRPr="00C2481D" w:rsidRDefault="00F962AC" w:rsidP="00C2481D">
      <w:pPr>
        <w:pStyle w:val="ListParagraph"/>
        <w:numPr>
          <w:ilvl w:val="0"/>
          <w:numId w:val="1"/>
        </w:numPr>
        <w:tabs>
          <w:tab w:val="left" w:pos="1080"/>
        </w:tabs>
        <w:spacing w:after="20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C2481D">
        <w:rPr>
          <w:rFonts w:ascii="Times New Roman" w:eastAsiaTheme="minorEastAsia" w:hAnsi="Times New Roman"/>
          <w:sz w:val="24"/>
          <w:szCs w:val="24"/>
          <w:lang w:val="sq-AL"/>
        </w:rPr>
        <w:t xml:space="preserve">Ndërkohë, sipas dispozitave kalimtare të Kushtetutës, në nenin 179, pika 7, fjalia e dytë, parashikohet se është </w:t>
      </w:r>
      <w:r w:rsidR="0065135F" w:rsidRPr="00893176">
        <w:rPr>
          <w:rFonts w:ascii="Times New Roman" w:eastAsiaTheme="minorEastAsia" w:hAnsi="Times New Roman"/>
          <w:iCs/>
          <w:sz w:val="24"/>
          <w:szCs w:val="24"/>
          <w:lang w:val="sq-AL"/>
        </w:rPr>
        <w:t>KPA</w:t>
      </w:r>
      <w:r w:rsidR="00893176" w:rsidRPr="00893176">
        <w:rPr>
          <w:rFonts w:ascii="Times New Roman" w:eastAsiaTheme="minorEastAsia" w:hAnsi="Times New Roman"/>
          <w:iCs/>
          <w:sz w:val="24"/>
          <w:szCs w:val="24"/>
          <w:lang w:val="sq-AL"/>
        </w:rPr>
        <w:t>-ja</w:t>
      </w:r>
      <w:r w:rsidR="0065135F" w:rsidRPr="00893176">
        <w:rPr>
          <w:rFonts w:ascii="Times New Roman" w:eastAsiaTheme="minorEastAsia" w:hAnsi="Times New Roman"/>
          <w:iCs/>
          <w:sz w:val="24"/>
          <w:szCs w:val="24"/>
          <w:lang w:val="sq-AL"/>
        </w:rPr>
        <w:t>,</w:t>
      </w:r>
      <w:r w:rsidR="00D81059" w:rsidRPr="0065135F">
        <w:rPr>
          <w:rFonts w:ascii="Times New Roman" w:eastAsiaTheme="minorEastAsia" w:hAnsi="Times New Roman"/>
          <w:iCs/>
          <w:sz w:val="24"/>
          <w:szCs w:val="24"/>
          <w:lang w:val="sq-AL"/>
        </w:rPr>
        <w:t xml:space="preserve"> </w:t>
      </w:r>
      <w:r w:rsidR="00D036EE">
        <w:rPr>
          <w:rFonts w:ascii="Times New Roman" w:eastAsiaTheme="minorEastAsia" w:hAnsi="Times New Roman"/>
          <w:iCs/>
          <w:sz w:val="24"/>
          <w:szCs w:val="24"/>
          <w:lang w:val="sq-AL"/>
        </w:rPr>
        <w:t>që</w:t>
      </w:r>
      <w:r w:rsidRPr="00C2481D">
        <w:rPr>
          <w:rFonts w:ascii="Times New Roman" w:eastAsiaTheme="minorEastAsia" w:hAnsi="Times New Roman"/>
          <w:iCs/>
          <w:sz w:val="24"/>
          <w:szCs w:val="24"/>
          <w:lang w:val="sq-AL"/>
        </w:rPr>
        <w:t xml:space="preserve"> ka mandat 9-vjeçar, </w:t>
      </w:r>
      <w:r w:rsidR="004C59C4">
        <w:rPr>
          <w:rFonts w:ascii="Times New Roman" w:eastAsiaTheme="minorEastAsia" w:hAnsi="Times New Roman"/>
          <w:iCs/>
          <w:sz w:val="24"/>
          <w:szCs w:val="24"/>
          <w:lang w:val="sq-AL"/>
        </w:rPr>
        <w:t xml:space="preserve">që </w:t>
      </w:r>
      <w:r w:rsidRPr="00C2481D">
        <w:rPr>
          <w:rFonts w:ascii="Times New Roman" w:eastAsiaTheme="minorEastAsia" w:hAnsi="Times New Roman"/>
          <w:iCs/>
          <w:sz w:val="24"/>
          <w:szCs w:val="24"/>
          <w:lang w:val="sq-AL"/>
        </w:rPr>
        <w:t xml:space="preserve">shqyrton ankimet ndaj vendimeve të </w:t>
      </w:r>
      <w:r w:rsidR="00782E78">
        <w:rPr>
          <w:rFonts w:ascii="Times New Roman" w:eastAsiaTheme="minorEastAsia" w:hAnsi="Times New Roman"/>
          <w:iCs/>
          <w:sz w:val="24"/>
          <w:szCs w:val="24"/>
          <w:lang w:val="sq-AL"/>
        </w:rPr>
        <w:t>KLGJ-s</w:t>
      </w:r>
      <w:r w:rsidR="00263A11">
        <w:rPr>
          <w:rFonts w:ascii="Times New Roman" w:eastAsiaTheme="minorEastAsia" w:hAnsi="Times New Roman"/>
          <w:iCs/>
          <w:sz w:val="24"/>
          <w:szCs w:val="24"/>
          <w:lang w:val="sq-AL"/>
        </w:rPr>
        <w:t>ë</w:t>
      </w:r>
      <w:r w:rsidRPr="00C2481D">
        <w:rPr>
          <w:rFonts w:ascii="Times New Roman" w:eastAsiaTheme="minorEastAsia" w:hAnsi="Times New Roman"/>
          <w:iCs/>
          <w:sz w:val="24"/>
          <w:szCs w:val="24"/>
          <w:lang w:val="sq-AL"/>
        </w:rPr>
        <w:t>, Këshillit të Lartë të Prokurorisë</w:t>
      </w:r>
      <w:r w:rsidR="00782E78">
        <w:rPr>
          <w:rFonts w:ascii="Times New Roman" w:eastAsiaTheme="minorEastAsia" w:hAnsi="Times New Roman"/>
          <w:iCs/>
          <w:sz w:val="24"/>
          <w:szCs w:val="24"/>
          <w:lang w:val="sq-AL"/>
        </w:rPr>
        <w:t xml:space="preserve"> </w:t>
      </w:r>
      <w:r w:rsidR="00782E78" w:rsidRPr="00782E78">
        <w:rPr>
          <w:rFonts w:ascii="Times New Roman" w:eastAsiaTheme="minorEastAsia" w:hAnsi="Times New Roman"/>
          <w:i/>
          <w:iCs/>
          <w:sz w:val="24"/>
          <w:szCs w:val="24"/>
          <w:lang w:val="sq-AL"/>
        </w:rPr>
        <w:t>(KLP)</w:t>
      </w:r>
      <w:r w:rsidRPr="00C2481D">
        <w:rPr>
          <w:rFonts w:ascii="Times New Roman" w:eastAsiaTheme="minorEastAsia" w:hAnsi="Times New Roman"/>
          <w:iCs/>
          <w:sz w:val="24"/>
          <w:szCs w:val="24"/>
          <w:lang w:val="sq-AL"/>
        </w:rPr>
        <w:t xml:space="preserve"> dhe Inspektorit të Lartë të Drejtësisë, për </w:t>
      </w:r>
      <w:r w:rsidR="000A34D3">
        <w:rPr>
          <w:rFonts w:ascii="Times New Roman" w:eastAsiaTheme="minorEastAsia" w:hAnsi="Times New Roman"/>
          <w:iCs/>
          <w:sz w:val="24"/>
          <w:szCs w:val="24"/>
          <w:lang w:val="sq-AL"/>
        </w:rPr>
        <w:t xml:space="preserve">vendosjen e masave disiplinore </w:t>
      </w:r>
      <w:r w:rsidRPr="00C2481D">
        <w:rPr>
          <w:rFonts w:ascii="Times New Roman" w:eastAsiaTheme="minorEastAsia" w:hAnsi="Times New Roman"/>
          <w:iCs/>
          <w:sz w:val="24"/>
          <w:szCs w:val="24"/>
          <w:lang w:val="sq-AL"/>
        </w:rPr>
        <w:t>ndaj gjyqtarëve, prokur</w:t>
      </w:r>
      <w:r w:rsidR="00C2481D">
        <w:rPr>
          <w:rFonts w:ascii="Times New Roman" w:eastAsiaTheme="minorEastAsia" w:hAnsi="Times New Roman"/>
          <w:iCs/>
          <w:sz w:val="24"/>
          <w:szCs w:val="24"/>
          <w:lang w:val="sq-AL"/>
        </w:rPr>
        <w:t>orëve dhe inspektorëve të tjerë.</w:t>
      </w:r>
    </w:p>
    <w:p w:rsidR="00C2481D" w:rsidRPr="0022514D" w:rsidRDefault="00F962AC" w:rsidP="00C2481D">
      <w:pPr>
        <w:pStyle w:val="ListParagraph"/>
        <w:numPr>
          <w:ilvl w:val="0"/>
          <w:numId w:val="1"/>
        </w:numPr>
        <w:tabs>
          <w:tab w:val="left" w:pos="1080"/>
        </w:tabs>
        <w:spacing w:after="200" w:line="360" w:lineRule="auto"/>
        <w:ind w:left="0"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</w:pPr>
      <w:r w:rsidRPr="00C2481D">
        <w:rPr>
          <w:rFonts w:ascii="Times New Roman" w:eastAsiaTheme="minorEastAsia" w:hAnsi="Times New Roman"/>
          <w:sz w:val="24"/>
          <w:szCs w:val="24"/>
          <w:lang w:val="sq-AL"/>
        </w:rPr>
        <w:t xml:space="preserve">Duke iu referuar dispozitave kushtetuese të lartpërmendura, Kolegji vlerëson se kompetenca për të marrë 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në shqyrtim ankimet ndaj vendimeve disiplinore të KLG</w:t>
      </w:r>
      <w:r w:rsid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>J-s</w:t>
      </w:r>
      <w:r w:rsidR="00263A11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për vendosjen e masave disiplinore ndaj gjyqtarëve, për periudhën e mandatit 9-vjeçar të funksionimit të KPA-së, i është dhënë kësaj të fundit. Vetëm në përfundim të</w:t>
      </w:r>
      <w:r w:rsidR="00D036EE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mandatit  të këtij organi tjetër </w:t>
      </w:r>
      <w:r w:rsidR="00893176">
        <w:rPr>
          <w:rFonts w:ascii="Times New Roman" w:eastAsiaTheme="minorEastAsia" w:hAnsi="Times New Roman" w:cs="Times New Roman"/>
          <w:sz w:val="24"/>
          <w:szCs w:val="24"/>
          <w:lang w:val="sq-AL"/>
        </w:rPr>
        <w:t>kushtetues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, kjo kompetencë do të ush</w:t>
      </w:r>
      <w:r w:rsid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trohet nga Gjykata Kushtetuese</w:t>
      </w:r>
      <w:r w:rsidR="00C2481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.</w:t>
      </w:r>
      <w:r w:rsidR="008F4C81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Kolegji i Gjykat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s Kushtetuese 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sht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shprehur edhe n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raste t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m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parshme p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r p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rcaktimin e juridiksionit dhe kompetenc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s s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0A34D3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KPA-së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n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ç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shtjet </w:t>
      </w:r>
      <w:r w:rsidR="008F4C81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me objekt kund</w:t>
      </w:r>
      <w:r w:rsidR="00AB495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0A34D3">
        <w:rPr>
          <w:rFonts w:ascii="Times New Roman" w:eastAsiaTheme="minorEastAsia" w:hAnsi="Times New Roman" w:cs="Times New Roman"/>
          <w:sz w:val="24"/>
          <w:szCs w:val="24"/>
          <w:lang w:val="sq-AL"/>
        </w:rPr>
        <w:t>rshtimin e vendimeve</w:t>
      </w:r>
      <w:r w:rsidR="008F4C81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t</w:t>
      </w:r>
      <w:r w:rsidR="00AB495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8F4C81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KLG</w:t>
      </w:r>
      <w:r w:rsidR="00DA78CB">
        <w:rPr>
          <w:rFonts w:ascii="Times New Roman" w:eastAsiaTheme="minorEastAsia" w:hAnsi="Times New Roman" w:cs="Times New Roman"/>
          <w:sz w:val="24"/>
          <w:szCs w:val="24"/>
          <w:lang w:val="sq-AL"/>
        </w:rPr>
        <w:t>J</w:t>
      </w:r>
      <w:r w:rsidR="008F4C81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-s</w:t>
      </w:r>
      <w:r w:rsidR="00AB495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8F4C81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p</w:t>
      </w:r>
      <w:r w:rsidR="00AB495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8F4C81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r marrjen e masave disiplinore ndaj magjistrat</w:t>
      </w:r>
      <w:r w:rsidR="00AB495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8F4C81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>ve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8F4C81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(shih vendimet nr. 35, 26.02.2021</w:t>
      </w:r>
      <w:r w:rsidR="002129DF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; nr. 28, dat</w:t>
      </w:r>
      <w:r w:rsidR="00AB495D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ë</w:t>
      </w:r>
      <w:r w:rsidR="002129DF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 xml:space="preserve"> 21.01.2020 t</w:t>
      </w:r>
      <w:r w:rsidR="00AB495D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ë</w:t>
      </w:r>
      <w:r w:rsidR="002129DF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 xml:space="preserve"> Kolegjit t</w:t>
      </w:r>
      <w:r w:rsidR="00AB495D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ë</w:t>
      </w:r>
      <w:r w:rsidR="002129DF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 xml:space="preserve"> Gjykat</w:t>
      </w:r>
      <w:r w:rsidR="00AB495D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ë</w:t>
      </w:r>
      <w:r w:rsidR="002129DF" w:rsidRPr="0022514D">
        <w:rPr>
          <w:rFonts w:ascii="Times New Roman" w:eastAsiaTheme="minorEastAsia" w:hAnsi="Times New Roman" w:cs="Times New Roman"/>
          <w:i/>
          <w:sz w:val="24"/>
          <w:szCs w:val="24"/>
          <w:lang w:val="sq-AL"/>
        </w:rPr>
        <w:t>s Kushtetuese).</w:t>
      </w:r>
      <w:r w:rsidR="0022514D" w:rsidRP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22514D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Gjithashtu, </w:t>
      </w:r>
      <w:r w:rsidR="00E0502E">
        <w:rPr>
          <w:rFonts w:ascii="Times New Roman" w:eastAsiaTheme="minorEastAsia" w:hAnsi="Times New Roman" w:cs="Times New Roman"/>
          <w:sz w:val="24"/>
          <w:szCs w:val="24"/>
          <w:lang w:val="sq-AL"/>
        </w:rPr>
        <w:t>sikurse u parashtrua</w:t>
      </w:r>
      <w:r w:rsid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, </w:t>
      </w:r>
      <w:r w:rsidR="0022514D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Kolegji vëren se edhe vetë kërkuesja</w:t>
      </w:r>
      <w:r w:rsidR="00E0502E">
        <w:rPr>
          <w:rFonts w:ascii="Times New Roman" w:eastAsiaTheme="minorEastAsia" w:hAnsi="Times New Roman" w:cs="Times New Roman"/>
          <w:sz w:val="24"/>
          <w:szCs w:val="24"/>
          <w:lang w:val="sq-AL"/>
        </w:rPr>
        <w:t>,</w:t>
      </w:r>
      <w:r w:rsidR="0022514D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për kundërshtimin e vendimit nr. 92, datë 17.03.2</w:t>
      </w:r>
      <w:r w:rsid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>021 të KLGJ-së</w:t>
      </w:r>
      <w:r w:rsidR="00E0502E">
        <w:rPr>
          <w:rFonts w:ascii="Times New Roman" w:eastAsiaTheme="minorEastAsia" w:hAnsi="Times New Roman" w:cs="Times New Roman"/>
          <w:sz w:val="24"/>
          <w:szCs w:val="24"/>
          <w:lang w:val="sq-AL"/>
        </w:rPr>
        <w:t>,</w:t>
      </w:r>
      <w:r w:rsid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ka paraqitur k</w:t>
      </w:r>
      <w:r w:rsidR="00263A11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>rkes</w:t>
      </w:r>
      <w:r w:rsidR="00263A11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22514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edhe </w:t>
      </w:r>
      <w:r w:rsid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>n</w:t>
      </w:r>
      <w:r w:rsidR="00263A11">
        <w:rPr>
          <w:rFonts w:ascii="Times New Roman" w:eastAsiaTheme="minorEastAsia" w:hAnsi="Times New Roman" w:cs="Times New Roman"/>
          <w:sz w:val="24"/>
          <w:szCs w:val="24"/>
          <w:lang w:val="sq-AL"/>
        </w:rPr>
        <w:t>ë</w:t>
      </w:r>
      <w:r w:rsidR="00782E78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KPA</w:t>
      </w:r>
      <w:r w:rsidR="0022514D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.</w:t>
      </w:r>
    </w:p>
    <w:p w:rsidR="00C2481D" w:rsidRDefault="00F962AC" w:rsidP="00C2481D">
      <w:pPr>
        <w:pStyle w:val="ListParagraph"/>
        <w:numPr>
          <w:ilvl w:val="0"/>
          <w:numId w:val="1"/>
        </w:numPr>
        <w:tabs>
          <w:tab w:val="left" w:pos="1080"/>
        </w:tabs>
        <w:spacing w:after="20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Në vështrim të sa më</w:t>
      </w:r>
      <w:r w:rsidR="00AB495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lart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, Kolegji</w:t>
      </w:r>
      <w:r w:rsidR="00E0502E">
        <w:rPr>
          <w:rFonts w:ascii="Times New Roman" w:eastAsiaTheme="minorEastAsia" w:hAnsi="Times New Roman" w:cs="Times New Roman"/>
          <w:sz w:val="24"/>
          <w:szCs w:val="24"/>
          <w:lang w:val="sq-AL"/>
        </w:rPr>
        <w:t>,</w:t>
      </w:r>
      <w:r w:rsidR="00AB495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="00893176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duke pasur parasysh faktin se 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juridiksioni</w:t>
      </w:r>
      <w:r w:rsidR="000A34D3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dhe kompetenca e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Gjykatës Kushtetuese për shqyrtimin e ankimeve kundër vendimeve të shkarkimit të gjyqtarëve i ka kaluar juridiksionit disiplinor të KPA-së, gjatë periudhës së funksionimit </w:t>
      </w:r>
      <w:r w:rsidR="00893176">
        <w:rPr>
          <w:rFonts w:ascii="Times New Roman" w:eastAsiaTheme="minorEastAsia" w:hAnsi="Times New Roman" w:cs="Times New Roman"/>
          <w:sz w:val="24"/>
          <w:szCs w:val="24"/>
          <w:lang w:val="sq-AL"/>
        </w:rPr>
        <w:t>sipas mandatit përkatës, vlerëson se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pretendimet që lidhen me proc</w:t>
      </w:r>
      <w:r w:rsidR="00C238AD"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edurën e shkarkimit të kërkueses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nuk mund të jenë objekt shqyrtimi në Gjykatën Kushtetuese.</w:t>
      </w:r>
    </w:p>
    <w:p w:rsidR="00F962AC" w:rsidRDefault="00F962AC" w:rsidP="00AD0A46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C2481D">
        <w:rPr>
          <w:rFonts w:ascii="Times New Roman" w:eastAsia="Times New Roman" w:hAnsi="Times New Roman" w:cs="Times New Roman"/>
          <w:sz w:val="24"/>
          <w:szCs w:val="24"/>
          <w:lang w:val="sq-AL"/>
        </w:rPr>
        <w:t>Në përfundim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, Kolegji </w:t>
      </w:r>
      <w:r w:rsidR="00AB495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çmon 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se kërkesa nuk </w:t>
      </w:r>
      <w:r w:rsidR="00893176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është në kompetencën dhe juridiksionin e Gjykatës Kushtetuese, </w:t>
      </w:r>
      <w:r w:rsidRPr="00C2481D">
        <w:rPr>
          <w:rFonts w:ascii="Times New Roman" w:eastAsiaTheme="minorEastAsia" w:hAnsi="Times New Roman" w:cs="Times New Roman"/>
          <w:sz w:val="24"/>
          <w:szCs w:val="24"/>
          <w:lang w:val="sq-AL"/>
        </w:rPr>
        <w:t>prandaj ajo nuk mund të kalojë për shqyrtim në seancë plenare.</w:t>
      </w:r>
    </w:p>
    <w:p w:rsidR="00D80697" w:rsidRPr="00C2481D" w:rsidRDefault="00D80697" w:rsidP="00AD0A46">
      <w:pPr>
        <w:pStyle w:val="ListParagraph"/>
        <w:tabs>
          <w:tab w:val="left" w:pos="108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>PËR KËTO ARSYE,</w:t>
      </w:r>
    </w:p>
    <w:p w:rsidR="00F962AC" w:rsidRPr="00F962AC" w:rsidRDefault="00F962AC" w:rsidP="008A743E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sz w:val="24"/>
          <w:szCs w:val="24"/>
          <w:lang w:val="sq-AL"/>
        </w:rPr>
        <w:lastRenderedPageBreak/>
        <w:t>Kolegji i Gjykatës Kushtetuese të Republikës së Shqipërisë, në bazë të nenit 31/a, shkronja “a”, të ligjit nr.</w:t>
      </w:r>
      <w:r w:rsidR="004C59C4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 </w:t>
      </w:r>
      <w:r w:rsidRPr="00F962AC">
        <w:rPr>
          <w:rFonts w:ascii="Times New Roman" w:eastAsiaTheme="minorEastAsia" w:hAnsi="Times New Roman" w:cs="Times New Roman"/>
          <w:sz w:val="24"/>
          <w:szCs w:val="24"/>
          <w:lang w:val="sq-AL"/>
        </w:rPr>
        <w:t>8577, datë 10.02.2000 “Për organizimin dhe funksionimin e Gjykatës Kushtetuese të Republikës së Shqipërisë”, të ndryshuar,</w:t>
      </w: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</w:p>
    <w:p w:rsidR="00F962AC" w:rsidRPr="00F962AC" w:rsidRDefault="00F962AC" w:rsidP="00F962AC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b/>
          <w:bCs/>
          <w:sz w:val="24"/>
          <w:szCs w:val="24"/>
          <w:lang w:val="sq-AL"/>
        </w:rPr>
        <w:t>V E N D O S I:</w:t>
      </w:r>
    </w:p>
    <w:p w:rsidR="00AB495D" w:rsidRPr="008A743E" w:rsidRDefault="00F962AC" w:rsidP="008A743E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q-AL"/>
        </w:rPr>
      </w:pPr>
      <w:r w:rsidRPr="00F962AC">
        <w:rPr>
          <w:rFonts w:ascii="Times New Roman" w:eastAsiaTheme="minorEastAsia" w:hAnsi="Times New Roman" w:cs="Times New Roman"/>
          <w:sz w:val="24"/>
          <w:szCs w:val="24"/>
          <w:lang w:val="sq-AL"/>
        </w:rPr>
        <w:t xml:space="preserve">Moskalimin e çështjes për shqyrtim në seancë plenare. </w:t>
      </w:r>
    </w:p>
    <w:p w:rsidR="00F962AC" w:rsidRPr="00F962AC" w:rsidRDefault="00F962AC" w:rsidP="00F962AC">
      <w:pPr>
        <w:spacing w:after="200" w:line="276" w:lineRule="auto"/>
        <w:rPr>
          <w:rFonts w:eastAsiaTheme="minorEastAsia"/>
          <w:lang w:val="it-IT"/>
        </w:rPr>
      </w:pPr>
    </w:p>
    <w:sectPr w:rsidR="00F962AC" w:rsidRPr="00F962AC" w:rsidSect="001A1D4F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98" w:rsidRDefault="00481998" w:rsidP="001A1D4F">
      <w:pPr>
        <w:spacing w:after="0" w:line="240" w:lineRule="auto"/>
      </w:pPr>
      <w:r>
        <w:separator/>
      </w:r>
    </w:p>
  </w:endnote>
  <w:endnote w:type="continuationSeparator" w:id="0">
    <w:p w:rsidR="00481998" w:rsidRDefault="00481998" w:rsidP="001A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055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545" w:rsidRDefault="00C04336">
        <w:pPr>
          <w:pStyle w:val="Footer"/>
          <w:jc w:val="right"/>
        </w:pPr>
        <w:r>
          <w:fldChar w:fldCharType="begin"/>
        </w:r>
        <w:r w:rsidR="009B6545">
          <w:instrText xml:space="preserve"> PAGE   \* MERGEFORMAT </w:instrText>
        </w:r>
        <w:r>
          <w:fldChar w:fldCharType="separate"/>
        </w:r>
        <w:r w:rsidR="000D2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0C3" w:rsidRPr="00E768B6" w:rsidRDefault="00481998" w:rsidP="00C23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98" w:rsidRDefault="00481998" w:rsidP="001A1D4F">
      <w:pPr>
        <w:spacing w:after="0" w:line="240" w:lineRule="auto"/>
      </w:pPr>
      <w:r>
        <w:separator/>
      </w:r>
    </w:p>
  </w:footnote>
  <w:footnote w:type="continuationSeparator" w:id="0">
    <w:p w:rsidR="00481998" w:rsidRDefault="00481998" w:rsidP="001A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7FE4"/>
    <w:multiLevelType w:val="multilevel"/>
    <w:tmpl w:val="537E5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  <w:i w:val="0"/>
      </w:rPr>
    </w:lvl>
  </w:abstractNum>
  <w:abstractNum w:abstractNumId="1">
    <w:nsid w:val="2AE018F3"/>
    <w:multiLevelType w:val="multilevel"/>
    <w:tmpl w:val="28709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 w:val="0"/>
      </w:rPr>
    </w:lvl>
  </w:abstractNum>
  <w:abstractNum w:abstractNumId="2">
    <w:nsid w:val="5DEE3B76"/>
    <w:multiLevelType w:val="hybridMultilevel"/>
    <w:tmpl w:val="D2CEC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E86228"/>
    <w:multiLevelType w:val="multilevel"/>
    <w:tmpl w:val="BAAE2F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D8B0C0C"/>
    <w:multiLevelType w:val="multilevel"/>
    <w:tmpl w:val="977E336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 w:val="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AC"/>
    <w:rsid w:val="00060957"/>
    <w:rsid w:val="00083A9C"/>
    <w:rsid w:val="000A34D3"/>
    <w:rsid w:val="000D257A"/>
    <w:rsid w:val="0012075C"/>
    <w:rsid w:val="00180667"/>
    <w:rsid w:val="0018078B"/>
    <w:rsid w:val="001A1D4F"/>
    <w:rsid w:val="001F392C"/>
    <w:rsid w:val="002129DF"/>
    <w:rsid w:val="0022514D"/>
    <w:rsid w:val="00242B1F"/>
    <w:rsid w:val="00250A7E"/>
    <w:rsid w:val="00263A11"/>
    <w:rsid w:val="00264B2B"/>
    <w:rsid w:val="00277EF9"/>
    <w:rsid w:val="00283759"/>
    <w:rsid w:val="00286F4D"/>
    <w:rsid w:val="002C05BB"/>
    <w:rsid w:val="002C4B36"/>
    <w:rsid w:val="002C6183"/>
    <w:rsid w:val="00306845"/>
    <w:rsid w:val="00316921"/>
    <w:rsid w:val="00334F46"/>
    <w:rsid w:val="00395943"/>
    <w:rsid w:val="003A6B85"/>
    <w:rsid w:val="003C7A19"/>
    <w:rsid w:val="00404C1D"/>
    <w:rsid w:val="004061F0"/>
    <w:rsid w:val="00406942"/>
    <w:rsid w:val="00406FC6"/>
    <w:rsid w:val="0048145A"/>
    <w:rsid w:val="00481998"/>
    <w:rsid w:val="004934E1"/>
    <w:rsid w:val="004A6964"/>
    <w:rsid w:val="004C59C4"/>
    <w:rsid w:val="0050644F"/>
    <w:rsid w:val="00537FF5"/>
    <w:rsid w:val="005672B5"/>
    <w:rsid w:val="00605E08"/>
    <w:rsid w:val="006066F1"/>
    <w:rsid w:val="00610DF9"/>
    <w:rsid w:val="0065135F"/>
    <w:rsid w:val="00652473"/>
    <w:rsid w:val="00672F72"/>
    <w:rsid w:val="006C7A8D"/>
    <w:rsid w:val="006E5A5E"/>
    <w:rsid w:val="006E6C85"/>
    <w:rsid w:val="00746E29"/>
    <w:rsid w:val="00765BA4"/>
    <w:rsid w:val="00782E78"/>
    <w:rsid w:val="007B2478"/>
    <w:rsid w:val="007E0313"/>
    <w:rsid w:val="007E78A5"/>
    <w:rsid w:val="00814D0B"/>
    <w:rsid w:val="00824C69"/>
    <w:rsid w:val="008253D9"/>
    <w:rsid w:val="00826FBA"/>
    <w:rsid w:val="00846954"/>
    <w:rsid w:val="00870966"/>
    <w:rsid w:val="00893176"/>
    <w:rsid w:val="008A019F"/>
    <w:rsid w:val="008A273B"/>
    <w:rsid w:val="008A743E"/>
    <w:rsid w:val="008B03CD"/>
    <w:rsid w:val="008C2D1C"/>
    <w:rsid w:val="008F4C81"/>
    <w:rsid w:val="0092014E"/>
    <w:rsid w:val="00927451"/>
    <w:rsid w:val="009546CB"/>
    <w:rsid w:val="0098115C"/>
    <w:rsid w:val="009B6545"/>
    <w:rsid w:val="009E38FE"/>
    <w:rsid w:val="009E5D22"/>
    <w:rsid w:val="009E7300"/>
    <w:rsid w:val="00A22C22"/>
    <w:rsid w:val="00A27616"/>
    <w:rsid w:val="00A42E55"/>
    <w:rsid w:val="00A96783"/>
    <w:rsid w:val="00AB2BBC"/>
    <w:rsid w:val="00AB495D"/>
    <w:rsid w:val="00AD0A46"/>
    <w:rsid w:val="00B53508"/>
    <w:rsid w:val="00B65BA9"/>
    <w:rsid w:val="00BB05A0"/>
    <w:rsid w:val="00BC0341"/>
    <w:rsid w:val="00BC1995"/>
    <w:rsid w:val="00C04336"/>
    <w:rsid w:val="00C238AD"/>
    <w:rsid w:val="00C2481D"/>
    <w:rsid w:val="00C33E76"/>
    <w:rsid w:val="00CB7D07"/>
    <w:rsid w:val="00CC63F2"/>
    <w:rsid w:val="00CF62E7"/>
    <w:rsid w:val="00D036EE"/>
    <w:rsid w:val="00D04683"/>
    <w:rsid w:val="00D10927"/>
    <w:rsid w:val="00D26C97"/>
    <w:rsid w:val="00D4325C"/>
    <w:rsid w:val="00D45033"/>
    <w:rsid w:val="00D535E2"/>
    <w:rsid w:val="00D53ECF"/>
    <w:rsid w:val="00D62F8E"/>
    <w:rsid w:val="00D80697"/>
    <w:rsid w:val="00D81059"/>
    <w:rsid w:val="00D96532"/>
    <w:rsid w:val="00DA78CB"/>
    <w:rsid w:val="00DD26D4"/>
    <w:rsid w:val="00E0502E"/>
    <w:rsid w:val="00E77A49"/>
    <w:rsid w:val="00EB4542"/>
    <w:rsid w:val="00ED3B14"/>
    <w:rsid w:val="00EE53FD"/>
    <w:rsid w:val="00F03D3E"/>
    <w:rsid w:val="00F358B0"/>
    <w:rsid w:val="00F962AC"/>
    <w:rsid w:val="00FA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88C27-2C4F-4735-BA2A-24817AC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62A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F962A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A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4F"/>
  </w:style>
  <w:style w:type="paragraph" w:styleId="ListParagraph">
    <w:name w:val="List Paragraph"/>
    <w:basedOn w:val="Normal"/>
    <w:link w:val="ListParagraphChar"/>
    <w:uiPriority w:val="34"/>
    <w:qFormat/>
    <w:rsid w:val="00C238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82E78"/>
  </w:style>
  <w:style w:type="paragraph" w:styleId="BalloonText">
    <w:name w:val="Balloon Text"/>
    <w:basedOn w:val="Normal"/>
    <w:link w:val="BalloonTextChar"/>
    <w:uiPriority w:val="99"/>
    <w:semiHidden/>
    <w:unhideWhenUsed/>
    <w:rsid w:val="00D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Enkeleida Hoxha</vt:lpstr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Dt.07.06.21</dc:subject>
  <dc:description/>
  <cp:lastModifiedBy>User</cp:lastModifiedBy>
  <cp:revision>2</cp:revision>
  <cp:lastPrinted>2021-06-08T12:17:00Z</cp:lastPrinted>
  <dcterms:created xsi:type="dcterms:W3CDTF">2021-06-09T13:20:00Z</dcterms:created>
  <dcterms:modified xsi:type="dcterms:W3CDTF">2021-06-09T13:20:00Z</dcterms:modified>
</cp:coreProperties>
</file>