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8" w:rsidRPr="002E3497" w:rsidRDefault="00691B48" w:rsidP="00691B48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</w:t>
      </w:r>
      <w:r w:rsidR="00CB6C0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endim nr. 30, datë </w:t>
      </w:r>
      <w:r w:rsidR="00CB6C09"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12.02.2021</w:t>
      </w:r>
    </w:p>
    <w:p w:rsidR="00691B48" w:rsidRPr="002E3497" w:rsidRDefault="00691B48" w:rsidP="00691B4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:rsidR="00691B48" w:rsidRPr="002E3497" w:rsidRDefault="00691B48" w:rsidP="001B1F1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Kolegji i Gjykatës Kushtetuese të Republikës së Shqipërisë i përbërë nga:</w:t>
      </w:r>
    </w:p>
    <w:p w:rsidR="00691B48" w:rsidRPr="002E3497" w:rsidRDefault="00691B48" w:rsidP="001B1F1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91B48" w:rsidRPr="002E3497" w:rsidRDefault="00691B48" w:rsidP="001B1F1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Vitore Tusha,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C61C2D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Kryetare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e Gjykatës Kushtetuese</w:t>
      </w:r>
    </w:p>
    <w:p w:rsidR="00691B48" w:rsidRPr="002E3497" w:rsidRDefault="00D45BCA" w:rsidP="001B1F1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Altin Binaj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Anëtar  </w:t>
      </w:r>
      <w:r w:rsidR="00C61C2D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i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“         “</w:t>
      </w:r>
    </w:p>
    <w:p w:rsidR="00691B48" w:rsidRPr="002E3497" w:rsidRDefault="00691B48" w:rsidP="001B1F16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Marsida Xhaferllari,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Anëtare </w:t>
      </w:r>
      <w:r w:rsidR="00C61C2D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>“          “</w:t>
      </w:r>
    </w:p>
    <w:p w:rsidR="00CB6C09" w:rsidRDefault="00CB6C09" w:rsidP="00691B4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91B48" w:rsidRPr="002E3497" w:rsidRDefault="00F63389" w:rsidP="00DF197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në datën 12.02</w:t>
      </w:r>
      <w:r w:rsidR="00D45BC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.2021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mori në shq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yrtim paraprak kërkesën me nr. 30 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Akti, që i përket:</w:t>
      </w:r>
    </w:p>
    <w:p w:rsidR="00691B48" w:rsidRPr="002E3497" w:rsidRDefault="00691B48" w:rsidP="00691B48">
      <w:pPr>
        <w:spacing w:after="0" w:line="36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91B48" w:rsidRPr="002E3497" w:rsidRDefault="00691B48" w:rsidP="00691B48">
      <w:pPr>
        <w:spacing w:after="0" w:line="360" w:lineRule="auto"/>
        <w:ind w:left="2970" w:hanging="2403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KËRKUES: </w:t>
      </w: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  <w:t>PETRIT ALIAJ</w:t>
      </w:r>
    </w:p>
    <w:p w:rsidR="00691B48" w:rsidRPr="002E3497" w:rsidRDefault="002A79F2" w:rsidP="002A79F2">
      <w:pPr>
        <w:tabs>
          <w:tab w:val="left" w:pos="5850"/>
        </w:tabs>
        <w:spacing w:after="0" w:line="360" w:lineRule="auto"/>
        <w:ind w:firstLine="720"/>
        <w:contextualSpacing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b/>
          <w:caps/>
          <w:sz w:val="24"/>
          <w:szCs w:val="24"/>
          <w:lang w:val="sq-AL"/>
        </w:rPr>
        <w:tab/>
      </w:r>
    </w:p>
    <w:p w:rsidR="00691B48" w:rsidRPr="002E3497" w:rsidRDefault="00691B48" w:rsidP="00691B48">
      <w:pPr>
        <w:spacing w:after="0" w:line="360" w:lineRule="auto"/>
        <w:ind w:left="3600" w:hanging="3033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OBJEKTI: </w:t>
      </w: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Sqarim</w:t>
      </w:r>
      <w:r w:rsidR="00F71F42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dhe interpretim</w:t>
      </w:r>
      <w:r w:rsidR="00F71F42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i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i vendimit nr.</w:t>
      </w:r>
      <w:r w:rsidR="002A3184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99, dat</w:t>
      </w:r>
      <w:r w:rsidR="002A3184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16.11.2020</w:t>
      </w:r>
      <w:r w:rsidR="002A3184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,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t</w:t>
      </w:r>
      <w:r w:rsidR="002A3184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Kolegjit t</w:t>
      </w:r>
      <w:r w:rsidR="002A3184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Gjykat</w:t>
      </w:r>
      <w:r w:rsidR="002A3184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ë</w:t>
      </w:r>
      <w:r w:rsidR="00D45BCA"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s Kushtetuese.</w:t>
      </w:r>
    </w:p>
    <w:p w:rsidR="00691B48" w:rsidRPr="002E3497" w:rsidRDefault="00691B48" w:rsidP="00691B48">
      <w:pPr>
        <w:spacing w:after="0" w:line="360" w:lineRule="auto"/>
        <w:ind w:left="2880" w:firstLine="72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691B48" w:rsidRPr="002E3497" w:rsidRDefault="00691B48" w:rsidP="00691B48">
      <w:pPr>
        <w:tabs>
          <w:tab w:val="left" w:pos="851"/>
        </w:tabs>
        <w:spacing w:after="0" w:line="360" w:lineRule="auto"/>
        <w:ind w:left="3600" w:hanging="3033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BAZA LIGJORE: </w:t>
      </w:r>
      <w:r w:rsidRPr="002E3497">
        <w:rPr>
          <w:rFonts w:ascii="Times New Roman" w:eastAsia="MS Mincho" w:hAnsi="Times New Roman" w:cs="Times New Roman"/>
          <w:b/>
          <w:sz w:val="24"/>
          <w:szCs w:val="24"/>
          <w:lang w:val="sq-AL"/>
        </w:rPr>
        <w:tab/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Nenet 4</w:t>
      </w:r>
      <w:r w:rsidR="00D45BC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8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r w:rsidR="00D45BC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124, 132, pik</w:t>
      </w:r>
      <w:r w:rsidR="001E00E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a 1</w:t>
      </w:r>
      <w:r w:rsidR="00EF556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dhe 13</w:t>
      </w:r>
      <w:r w:rsidR="00EF556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1, pika 1, shkronja “f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” të Kushtetu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tës së Republikës së Shqipërisë dhe</w:t>
      </w:r>
      <w:r w:rsidR="00EF556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neni 314 i Kodit t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EF556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Procedur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EF556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 Civile</w:t>
      </w:r>
      <w:r w:rsidR="000178E2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(KPC).</w:t>
      </w:r>
    </w:p>
    <w:p w:rsidR="00691B48" w:rsidRPr="002E3497" w:rsidRDefault="00691B48" w:rsidP="00691B48">
      <w:pPr>
        <w:tabs>
          <w:tab w:val="left" w:pos="851"/>
        </w:tabs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</w:p>
    <w:p w:rsidR="00CA499D" w:rsidRDefault="00691B48" w:rsidP="00CB6C09">
      <w:pPr>
        <w:tabs>
          <w:tab w:val="left" w:pos="851"/>
        </w:tabs>
        <w:suppressAutoHyphens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Kolegji i Gjykatës Kushtetuese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(Kolegji)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>, pasi shqyrtoi kërkesën, dokumentet shoqëruese dhe diskutoi çështjen në tërësi,</w:t>
      </w:r>
    </w:p>
    <w:p w:rsidR="00CA499D" w:rsidRDefault="00CA499D" w:rsidP="00691B4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691B48" w:rsidRPr="002E3497" w:rsidRDefault="00691B48" w:rsidP="00691B4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Ë R E N:</w:t>
      </w:r>
    </w:p>
    <w:p w:rsidR="00691B48" w:rsidRPr="002E3497" w:rsidRDefault="00691B48" w:rsidP="00691B4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</w:t>
      </w:r>
    </w:p>
    <w:p w:rsidR="00AF07C3" w:rsidRPr="002E3497" w:rsidRDefault="00AF07C3" w:rsidP="00691B4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Rrethanat e ç</w:t>
      </w:r>
      <w:r w:rsidR="000D269A"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shtjes</w:t>
      </w:r>
    </w:p>
    <w:p w:rsidR="006A6497" w:rsidRPr="002E3497" w:rsidRDefault="00175810" w:rsidP="002920F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04578D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A649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rkuesi </w:t>
      </w:r>
      <w:r w:rsidR="00873401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Petrit Aliaj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1B1F16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</w:t>
      </w:r>
      <w:r w:rsidR="001B1F16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21.09.2020 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i është drejtuar Gjykatës Kushtetuese</w:t>
      </w:r>
      <w:r w:rsidR="00691B48" w:rsidRPr="002E3497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,</w:t>
      </w:r>
      <w:r w:rsidR="00691B48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duke kërkuar </w:t>
      </w:r>
      <w:r w:rsidR="00691B4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shfuqizimin si të papajtueshme me Kushtetutën të vendimeve nr.</w:t>
      </w:r>
      <w:r w:rsidR="0087340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691B4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1441, datë 14.07.2010 të Gjykatës së Apelit Tiranë dhe nr.</w:t>
      </w:r>
      <w:r w:rsidR="000E3BB7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691B4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00-2013-198, datë 01.02.2013 të Kolegjit Civil të Gjykatës së Lartë, të dhëna </w:t>
      </w:r>
      <w:r w:rsidR="003D7D1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C85B1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7D1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C85B1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7D1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rfundim t</w:t>
      </w:r>
      <w:r w:rsidR="00C85B1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7D1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procesit gjyq</w:t>
      </w:r>
      <w:r w:rsidR="00C85B1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7D1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sor t</w:t>
      </w:r>
      <w:r w:rsidR="00C85B1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D7D1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zhvilluar </w:t>
      </w:r>
      <w:r w:rsidR="00691B4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mbi kërkesëpadinë e tij për </w:t>
      </w:r>
      <w:r w:rsidR="0087340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rillogarit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j</w:t>
      </w:r>
      <w:r w:rsidR="0087340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en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</w:t>
      </w:r>
      <w:r w:rsidR="00691B4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pensionit</w:t>
      </w:r>
      <w:r w:rsidR="00196E9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6074C2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196E9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ushtarakut</w:t>
      </w:r>
      <w:r w:rsidR="00691B48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21AB0" w:rsidRPr="002E3497" w:rsidRDefault="006E235F" w:rsidP="0004578D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Kolegji, 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pasi mori n</w:t>
      </w:r>
      <w:r w:rsidR="00772A8C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shqyrtim k</w:t>
      </w:r>
      <w:r w:rsidR="00772A8C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rkes</w:t>
      </w:r>
      <w:r w:rsidR="00772A8C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17581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n, </w:t>
      </w:r>
      <w:r w:rsidR="001B0E95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me vendimin nr.</w:t>
      </w:r>
      <w:r w:rsidR="000E3BB7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1B0E95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99, dat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1B0E95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16.11.2020, ka vendosur moskalimin e ç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1B0E95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shtjes n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1B0E95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seanc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6A6497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plenare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6A6497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me arsyetimin se k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rkesa ishte paraqitur jasht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afatit ligjor dhe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 rrjedhoj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 k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rkuesi nuk leg</w:t>
      </w:r>
      <w:r w:rsidR="00F63389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j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itimohej </w:t>
      </w:r>
      <w:r w:rsidR="00121AB0" w:rsidRPr="002E3497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ratione temporis</w:t>
      </w:r>
      <w:r w:rsidR="0087340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8F518D" w:rsidRPr="002E3497" w:rsidRDefault="00B14AC4" w:rsidP="002920F1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Kërkuesi n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 18.01.2021 i 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drejtuar p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rs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ri Gjykatës Kushtetuese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duke k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rkuar sqarim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in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interpretim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in e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vendimit nr.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99, dat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16.11.2020 t</w:t>
      </w:r>
      <w:r w:rsidR="002A3184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Kolegjit.</w:t>
      </w:r>
    </w:p>
    <w:p w:rsidR="000A38C6" w:rsidRPr="002E3497" w:rsidRDefault="000A38C6" w:rsidP="00691B4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91B48" w:rsidRPr="002E3497" w:rsidRDefault="00691B48" w:rsidP="00691B4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</w:p>
    <w:p w:rsidR="00AF07C3" w:rsidRPr="002E3497" w:rsidRDefault="00AF07C3" w:rsidP="00691B4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hAnsi="Times New Roman" w:cs="Times New Roman"/>
          <w:b/>
          <w:sz w:val="24"/>
          <w:szCs w:val="24"/>
          <w:lang w:val="sq-AL"/>
        </w:rPr>
        <w:t>Pretendimet e k</w:t>
      </w:r>
      <w:r w:rsidR="000D269A" w:rsidRPr="002E3497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2E3497">
        <w:rPr>
          <w:rFonts w:ascii="Times New Roman" w:hAnsi="Times New Roman" w:cs="Times New Roman"/>
          <w:b/>
          <w:sz w:val="24"/>
          <w:szCs w:val="24"/>
          <w:lang w:val="sq-AL"/>
        </w:rPr>
        <w:t>rkuesit</w:t>
      </w:r>
    </w:p>
    <w:p w:rsidR="00AA7620" w:rsidRPr="002E3497" w:rsidRDefault="00AA7620" w:rsidP="00AA7620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Kërkuesi, n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rkes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 e tij 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drejtuar Gjykat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 Kushtetuese, pretendon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nyr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rmbledhur se vendimi 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nr. 99, datë 16.11.2020 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i Kolegjit 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rmban pasakt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sit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m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poshtme:</w:t>
      </w:r>
    </w:p>
    <w:p w:rsidR="00AF07C3" w:rsidRPr="002E3497" w:rsidRDefault="009C5089" w:rsidP="009C5089">
      <w:pPr>
        <w:pStyle w:val="ListParagraph"/>
        <w:numPr>
          <w:ilvl w:val="1"/>
          <w:numId w:val="1"/>
        </w:numPr>
        <w:tabs>
          <w:tab w:val="left" w:pos="1170"/>
        </w:tabs>
        <w:spacing w:after="0" w:line="360" w:lineRule="auto"/>
        <w:ind w:left="1260" w:hanging="54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Arsyetimi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pikat 19 dhe 20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vendimit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Kolegjit 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err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t dhe nuk ka mbajtur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konsiderat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vendimi i Gjykat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 s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Lart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vitin 2013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rpara ndryshimeve ligjore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vitit 2017, q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caktuan afatin 4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-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mujor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paraqitjes s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F07C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Gjykat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n Kushtetuese.</w:t>
      </w:r>
    </w:p>
    <w:p w:rsidR="00AA7620" w:rsidRPr="002E3497" w:rsidRDefault="009C5089" w:rsidP="009C5089">
      <w:pPr>
        <w:pStyle w:val="ListParagraph"/>
        <w:numPr>
          <w:ilvl w:val="1"/>
          <w:numId w:val="1"/>
        </w:numPr>
        <w:tabs>
          <w:tab w:val="left" w:pos="1170"/>
        </w:tabs>
        <w:spacing w:after="0" w:line="360" w:lineRule="auto"/>
        <w:ind w:left="1260" w:hanging="54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Arsyetimi 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gabuar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pasi i 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referuar pranueshm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ris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kohore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 si kriter primar, duke kaluar cenimin e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drejtave kushtetuese si kriter sekondar</w:t>
      </w:r>
      <w:r w:rsidR="001B1F1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196E9D" w:rsidRPr="002E3497" w:rsidRDefault="009C5089" w:rsidP="009C5089">
      <w:pPr>
        <w:pStyle w:val="ListParagraph"/>
        <w:numPr>
          <w:ilvl w:val="1"/>
          <w:numId w:val="1"/>
        </w:numPr>
        <w:tabs>
          <w:tab w:val="left" w:pos="1170"/>
        </w:tabs>
        <w:spacing w:after="0" w:line="360" w:lineRule="auto"/>
        <w:ind w:left="1260" w:hanging="540"/>
        <w:jc w:val="both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Arsyetimi 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gabuar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pasi nuk ka mbajtur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konsiderat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gjykata</w:t>
      </w:r>
      <w:r w:rsidR="000A38C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juridiksionit t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zakonsh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m kan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gabuar n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vendimmarrjen e tyre</w:t>
      </w:r>
      <w:r w:rsidR="00213A5E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="00AA7620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E33FF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duke zbatuar keq ligjin dhe </w:t>
      </w:r>
      <w:r w:rsidR="002B436D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se </w:t>
      </w:r>
      <w:r w:rsidR="00E33FF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Gjykata e Lart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E33FF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nuk e ka shqyrtuar rekursin brenda afateve t</w:t>
      </w:r>
      <w:r w:rsidR="00BC4A91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E33FF3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parashikuara nga ligji.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F6637" w:rsidRPr="002E3497" w:rsidRDefault="009C5089" w:rsidP="009C5089">
      <w:pPr>
        <w:pStyle w:val="ListParagraph"/>
        <w:numPr>
          <w:ilvl w:val="1"/>
          <w:numId w:val="1"/>
        </w:numPr>
        <w:tabs>
          <w:tab w:val="left" w:pos="1170"/>
        </w:tabs>
        <w:spacing w:after="0" w:line="360" w:lineRule="auto"/>
        <w:ind w:left="1260" w:hanging="540"/>
        <w:jc w:val="both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Arsyetimi është i errët</w:t>
      </w:r>
      <w:r w:rsidR="00213A5E" w:rsidRPr="002E3497">
        <w:rPr>
          <w:rFonts w:ascii="Times New Roman" w:hAnsi="Times New Roman"/>
          <w:sz w:val="24"/>
          <w:szCs w:val="24"/>
          <w:lang w:val="sq-AL"/>
        </w:rPr>
        <w:t>,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 xml:space="preserve"> pasi përmban vetëm referenca ligjore, pa i shpjeguar ato.</w:t>
      </w:r>
    </w:p>
    <w:p w:rsidR="002E3497" w:rsidRDefault="002E3497" w:rsidP="00691B48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91B48" w:rsidRPr="002E3497" w:rsidRDefault="00691B48" w:rsidP="00691B48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III</w:t>
      </w:r>
    </w:p>
    <w:p w:rsidR="00691B48" w:rsidRPr="002E3497" w:rsidRDefault="00691B48" w:rsidP="00691B48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Vlerësimi i Kolegjit</w:t>
      </w:r>
    </w:p>
    <w:p w:rsidR="002B436D" w:rsidRPr="002E3497" w:rsidRDefault="002920F1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B436D" w:rsidRPr="002E3497">
        <w:rPr>
          <w:rFonts w:ascii="Times New Roman" w:hAnsi="Times New Roman"/>
          <w:sz w:val="24"/>
          <w:szCs w:val="24"/>
          <w:lang w:val="sq-AL"/>
        </w:rPr>
        <w:t xml:space="preserve">Kolegji vëren se 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>s</w:t>
      </w:r>
      <w:r w:rsidR="00741CD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ipas neneve</w:t>
      </w:r>
      <w:r w:rsidR="00213A5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131, pika 1, shkronja “f” dhe 134, </w:t>
      </w:r>
      <w:r w:rsidR="00741CD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pika 1, shkronja “i”, dhe pika 2 të Kushtetutës, </w:t>
      </w:r>
      <w:r w:rsidR="002B436D" w:rsidRPr="002E3497">
        <w:rPr>
          <w:rFonts w:ascii="Times New Roman" w:hAnsi="Times New Roman"/>
          <w:sz w:val="24"/>
          <w:szCs w:val="24"/>
          <w:lang w:val="sq-AL"/>
        </w:rPr>
        <w:t xml:space="preserve">si dhe 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pikës 1 t</w:t>
      </w:r>
      <w:r w:rsidR="002A79F2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B436D" w:rsidRPr="002E3497">
        <w:rPr>
          <w:rFonts w:ascii="Times New Roman" w:hAnsi="Times New Roman"/>
          <w:sz w:val="24"/>
          <w:szCs w:val="24"/>
          <w:lang w:val="sq-AL"/>
        </w:rPr>
        <w:t>nenit 71 të ligjit nr. 8577, datë 10.02.2000 “Për organizimin dhe funksionimin e Gjykatës Kushtetuese të Republikës së Shqi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përisë”, të ndryshuar (</w:t>
      </w:r>
      <w:r w:rsidR="002B436D" w:rsidRPr="002E3497">
        <w:rPr>
          <w:rFonts w:ascii="Times New Roman" w:hAnsi="Times New Roman"/>
          <w:sz w:val="24"/>
          <w:szCs w:val="24"/>
          <w:lang w:val="sq-AL"/>
        </w:rPr>
        <w:t xml:space="preserve">ligji nr. 8577/2000), çdo individ mund të vërë në lëvizje Gjykatën Kushtetuese nëpërmjet ankimit kushtetues individual kur vlerëson se i janë cenuar liritë dhe të drejtat kushtetuese. 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 xml:space="preserve">Pika 1 e nenit 133 të </w:t>
      </w:r>
      <w:r w:rsidR="002B436D" w:rsidRPr="002E3497">
        <w:rPr>
          <w:rFonts w:ascii="Times New Roman" w:hAnsi="Times New Roman"/>
          <w:sz w:val="24"/>
          <w:szCs w:val="24"/>
          <w:lang w:val="sq-AL"/>
        </w:rPr>
        <w:t xml:space="preserve">Kushtetutës dhe neni 31 i ligjit nr. 8577/2000 përcaktojnë se fillimisht çdo ankim individual kushtetues i nënshtrohet fazës së shqyrtimit paraprak të kërkesës, ku vlerësohet nëse kërkesa e paraqitur duhet të pranohet për shqyrtim në seancë plenare. </w:t>
      </w:r>
    </w:p>
    <w:p w:rsidR="002B436D" w:rsidRPr="002E3497" w:rsidRDefault="002B436D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>Faza e shqyrtimit paraprak fillon gjithnjë nga Kolegji i përbërë nga tre gjyqtarë të Gjykatës Kushtetuese, i cili, bazuar në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>n 3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 xml:space="preserve"> nenit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31 dhe 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>pikat 1 dhe 2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 xml:space="preserve"> nenit 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31/a të ligjit nr. 8577/2000, </w:t>
      </w:r>
      <w:r w:rsidR="00FA18E0" w:rsidRPr="002E3497">
        <w:rPr>
          <w:rFonts w:ascii="Times New Roman" w:hAnsi="Times New Roman"/>
          <w:sz w:val="24"/>
          <w:szCs w:val="24"/>
          <w:lang w:val="sq-AL"/>
        </w:rPr>
        <w:t xml:space="preserve">vendos 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moskalimin e çështjes në seancë plenare kur të tre gjyqtarët vlerësojnë njëzëri se kërkesa 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e paraqitur 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nuk plotëson kriteret kushtetuese dhe formale për shqyrtimin kushtetues të saj. </w:t>
      </w:r>
    </w:p>
    <w:p w:rsidR="000D269A" w:rsidRPr="002E3497" w:rsidRDefault="00FA18E0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lastRenderedPageBreak/>
        <w:t>Kushtetuta dhe ligji nr. 8577/2000 nuk parashikojnë shprehimisht procedur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 sqarimin dhe interpretimin e vendimit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nga Kolegji 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faz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n e shqyrtimit paraprak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rkesave, 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ndryshim nga vendimi p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rfundimtar i Gjykat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 Kushtetuese, i cili</w:t>
      </w:r>
      <w:r w:rsidR="00213A5E" w:rsidRPr="002E3497">
        <w:rPr>
          <w:rFonts w:ascii="Times New Roman" w:hAnsi="Times New Roman"/>
          <w:sz w:val="24"/>
          <w:szCs w:val="24"/>
          <w:lang w:val="sq-AL"/>
        </w:rPr>
        <w:t>,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sipas nenit 80</w:t>
      </w:r>
      <w:r w:rsidR="002920F1" w:rsidRPr="002E3497">
        <w:rPr>
          <w:rFonts w:ascii="Times New Roman" w:hAnsi="Times New Roman"/>
          <w:sz w:val="24"/>
          <w:szCs w:val="24"/>
          <w:lang w:val="sq-AL"/>
        </w:rPr>
        <w:t>,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pika 1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ligjit nr. 8577/2000</w:t>
      </w:r>
      <w:r w:rsidR="00213A5E" w:rsidRPr="002E3497">
        <w:rPr>
          <w:rFonts w:ascii="Times New Roman" w:hAnsi="Times New Roman"/>
          <w:sz w:val="24"/>
          <w:szCs w:val="24"/>
          <w:lang w:val="sq-AL"/>
        </w:rPr>
        <w:t>,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sakt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sohet dhe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plot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sohet, me k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pal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ve, pa ndryshuar thelbin e vendimmarrjes, brenda 2 muajve nga shpallja e vendimit. </w:t>
      </w:r>
    </w:p>
    <w:p w:rsidR="00FA18E0" w:rsidRPr="002E3497" w:rsidRDefault="00FA18E0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>Nga ana tjet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 xml:space="preserve">pika 2 e </w:t>
      </w:r>
      <w:r w:rsidRPr="002E3497">
        <w:rPr>
          <w:rFonts w:ascii="Times New Roman" w:hAnsi="Times New Roman"/>
          <w:sz w:val="24"/>
          <w:szCs w:val="24"/>
          <w:lang w:val="sq-AL"/>
        </w:rPr>
        <w:t>neni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 xml:space="preserve">t 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1 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2E3497">
        <w:rPr>
          <w:rFonts w:ascii="Times New Roman" w:hAnsi="Times New Roman"/>
          <w:sz w:val="24"/>
          <w:szCs w:val="24"/>
          <w:lang w:val="sq-AL"/>
        </w:rPr>
        <w:t>ligjit nr. 8577/2000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, p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r çështje që lidhen me procedura që nuk rregullohen nga ky ligj apo nga Rregullorja e Gjykatës Kushtetuese, </w:t>
      </w:r>
      <w:r w:rsidR="0045626B" w:rsidRPr="002E3497">
        <w:rPr>
          <w:rFonts w:ascii="Times New Roman" w:hAnsi="Times New Roman"/>
          <w:sz w:val="24"/>
          <w:szCs w:val="24"/>
          <w:lang w:val="sq-AL"/>
        </w:rPr>
        <w:t>lejon q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hAnsi="Times New Roman"/>
          <w:sz w:val="24"/>
          <w:szCs w:val="24"/>
          <w:lang w:val="sq-AL"/>
        </w:rPr>
        <w:t xml:space="preserve"> merren 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parasysh edhe dispozita</w:t>
      </w:r>
      <w:r w:rsidR="0045626B" w:rsidRPr="002E349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hAnsi="Times New Roman"/>
          <w:sz w:val="24"/>
          <w:szCs w:val="24"/>
          <w:lang w:val="sq-AL"/>
        </w:rPr>
        <w:t xml:space="preserve"> tjera 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ligjore që rregullojnë procedurat e tjera, duke marrë në konsideratë natyrën ligjore të çështjes. 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, duke mbajtur 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konsiderat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ç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shtja e k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rkuesit, p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r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vendimi nr. 99, dat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>16.11.2020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, ka natyr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administrative, b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hen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zbatueshme 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>pika 2 e nenit 1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ligjit nr. 49/2012 “</w:t>
      </w:r>
      <w:r w:rsidR="00741CD9" w:rsidRPr="002E3497">
        <w:rPr>
          <w:rFonts w:ascii="Times New Roman" w:hAnsi="Times New Roman" w:cs="Times New Roman"/>
          <w:sz w:val="24"/>
          <w:szCs w:val="24"/>
          <w:lang w:val="sq-AL"/>
        </w:rPr>
        <w:t>Për gjykatat administrative dhe gjykimin e mosmarrëveshjeve administrative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”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, i ndryshuar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dhe neni 314 i KPC-s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, sipas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2A79F2" w:rsidRPr="002E3497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213A5E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ve</w:t>
      </w:r>
      <w:r w:rsidR="002A79F2" w:rsidRPr="002E3497">
        <w:rPr>
          <w:rFonts w:ascii="Times New Roman" w:hAnsi="Times New Roman"/>
          <w:sz w:val="24"/>
          <w:szCs w:val="24"/>
          <w:lang w:val="sq-AL"/>
        </w:rPr>
        <w:t>,</w:t>
      </w:r>
      <w:r w:rsidR="00213A5E" w:rsidRPr="002E3497">
        <w:rPr>
          <w:rFonts w:ascii="Times New Roman" w:hAnsi="Times New Roman"/>
          <w:sz w:val="24"/>
          <w:szCs w:val="24"/>
          <w:lang w:val="sq-AL"/>
        </w:rPr>
        <w:t xml:space="preserve"> gjykata, 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n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çdo koh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, gjersa vendimi nuk 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ekzekutuar, ka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jap</w:t>
      </w:r>
      <w:r w:rsidR="000D269A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hAnsi="Times New Roman"/>
          <w:sz w:val="24"/>
          <w:szCs w:val="24"/>
          <w:lang w:val="sq-AL"/>
        </w:rPr>
        <w:t xml:space="preserve"> sqarime 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ose të bëjë interpretimin e vendimit që ajo ka dhënë kur ky është i errët dhe e kërkojnë palët. </w:t>
      </w:r>
    </w:p>
    <w:p w:rsidR="00FA18E0" w:rsidRPr="002E3497" w:rsidRDefault="002B436D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Në çështjen në shqyrtim, 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Kole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gji konstaton se kërkuesi i është drejtuar Gjykatës Kushtetuese për 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sqarimin dhe interpretimin e vendimit nr. 99, dat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16.11.2020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Kolegjit, me 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cil</w:t>
      </w:r>
      <w:r w:rsidR="00EF0D29" w:rsidRPr="002E3497">
        <w:rPr>
          <w:rFonts w:ascii="Times New Roman" w:eastAsia="MS Mincho" w:hAnsi="Times New Roman"/>
          <w:sz w:val="24"/>
          <w:szCs w:val="24"/>
          <w:lang w:val="sq-AL"/>
        </w:rPr>
        <w:t>i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n 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vendosur 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moskalimi i ç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shtjes s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rkuesit p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r shqyrtim n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seanc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plenare</w:t>
      </w:r>
      <w:r w:rsidR="00213A5E" w:rsidRPr="002E3497">
        <w:rPr>
          <w:rFonts w:ascii="Times New Roman" w:eastAsia="MS Mincho" w:hAnsi="Times New Roman"/>
          <w:sz w:val="24"/>
          <w:szCs w:val="24"/>
          <w:lang w:val="sq-AL"/>
        </w:rPr>
        <w:t>,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me arsyetimin se 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ai 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n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uk ka respektuar afatin ligjor 4-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mujor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p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r paraqitjen e 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s</w:t>
      </w:r>
      <w:r w:rsidR="00FA18E0" w:rsidRPr="002E3497">
        <w:rPr>
          <w:rFonts w:ascii="Times New Roman" w:eastAsia="MS Mincho" w:hAnsi="Times New Roman"/>
          <w:sz w:val="24"/>
          <w:szCs w:val="24"/>
          <w:lang w:val="sq-AL"/>
        </w:rPr>
        <w:t>.</w:t>
      </w:r>
    </w:p>
    <w:p w:rsidR="00106369" w:rsidRPr="002E3497" w:rsidRDefault="007535F6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MS Mincho" w:hAnsi="Times New Roman"/>
          <w:sz w:val="24"/>
          <w:szCs w:val="24"/>
          <w:lang w:val="sq-AL"/>
        </w:rPr>
        <w:t>Kolegji v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ren se n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thelb 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s p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r sqarim dhe interpretim vendimi, 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557EFC" w:rsidRPr="002E3497">
        <w:rPr>
          <w:rFonts w:ascii="Times New Roman" w:eastAsia="MS Mincho" w:hAnsi="Times New Roman"/>
          <w:sz w:val="24"/>
          <w:szCs w:val="24"/>
          <w:lang w:val="sq-AL"/>
        </w:rPr>
        <w:t>rkuesi ka ngritur pretendime p</w:t>
      </w:r>
      <w:r w:rsidR="00EA197C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557EFC" w:rsidRPr="002E3497">
        <w:rPr>
          <w:rFonts w:ascii="Times New Roman" w:eastAsia="MS Mincho" w:hAnsi="Times New Roman"/>
          <w:sz w:val="24"/>
          <w:szCs w:val="24"/>
          <w:lang w:val="sq-AL"/>
        </w:rPr>
        <w:t>r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arsyen e zbatimit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nga Kolegji 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afatit ligjor 4-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mujor n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rastin e 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s</w:t>
      </w:r>
      <w:r w:rsidR="00557EFC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së shqyrtuar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, q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sipas tij 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e pasakt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. Lidhur me 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pretendim, </w:t>
      </w:r>
      <w:r w:rsidR="009547FE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duhet evidentuar 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se </w:t>
      </w:r>
      <w:r w:rsidR="00741CD9" w:rsidRPr="002E3497">
        <w:rPr>
          <w:rFonts w:ascii="Times New Roman" w:eastAsia="MS Mincho" w:hAnsi="Times New Roman"/>
          <w:sz w:val="24"/>
          <w:szCs w:val="24"/>
          <w:lang w:val="sq-AL"/>
        </w:rPr>
        <w:t>afati ligjor 4-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mujor p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r paraqitjen e 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rkesave n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Gjykat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557EFC" w:rsidRPr="002E3497">
        <w:rPr>
          <w:rFonts w:ascii="Times New Roman" w:eastAsia="MS Mincho" w:hAnsi="Times New Roman"/>
          <w:sz w:val="24"/>
          <w:szCs w:val="24"/>
          <w:lang w:val="sq-AL"/>
        </w:rPr>
        <w:t>n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Kushtetuese 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="00EF0D29" w:rsidRPr="002E3497">
        <w:rPr>
          <w:rFonts w:ascii="Times New Roman" w:eastAsia="MS Mincho" w:hAnsi="Times New Roman"/>
          <w:sz w:val="24"/>
          <w:szCs w:val="24"/>
          <w:lang w:val="sq-AL"/>
        </w:rPr>
        <w:t>për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caktuar nga ligji nr. 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>99/2016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“P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r disa shtesa 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>dhe ndryshime n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ligjin nr.8577, dat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10.02.2000 “P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>r organizimin dhe funksionimin e Gjykat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>s Kushtetuese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”, i cili n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>pik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>n 3 t</w:t>
      </w:r>
      <w:r w:rsidR="000D269A" w:rsidRPr="002E3497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MS Mincho" w:hAnsi="Times New Roman"/>
          <w:sz w:val="24"/>
          <w:szCs w:val="24"/>
          <w:lang w:val="sq-AL"/>
        </w:rPr>
        <w:t xml:space="preserve"> nenit 86 </w:t>
      </w:r>
      <w:r w:rsidRPr="002E3497">
        <w:rPr>
          <w:rFonts w:ascii="Times New Roman" w:eastAsia="MS Mincho" w:hAnsi="Times New Roman"/>
          <w:sz w:val="24"/>
          <w:szCs w:val="24"/>
          <w:lang w:val="sq-AL"/>
        </w:rPr>
        <w:t>parashikon se çd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 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ankim individual kushtetues, i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paraqitur pas dat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 1 mars 2017</w:t>
      </w:r>
      <w:r w:rsidR="00557EFC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të respektojë afatin 4-mujor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Madje edhe vet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rkuesi, n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ankimin individual kushtetues t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 21.09.2020</w:t>
      </w:r>
      <w:r w:rsidR="00557EFC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parashtruar se n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rasti</w:t>
      </w:r>
      <w:r w:rsidR="00557EFC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 e tij zbatohej afati ligjor 4-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mujor, duke ngritur pretendime vet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m p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m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 e llogaritjes s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tij afati.</w:t>
      </w:r>
    </w:p>
    <w:p w:rsidR="007535F6" w:rsidRPr="002E3497" w:rsidRDefault="00557EFC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EA197C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s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a m</w:t>
      </w:r>
      <w:r w:rsidR="006074C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lart, 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Kolegji vler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son se ankimi kushtetues individual i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rkuesit, i paraqitur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Gjykat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 Kushtetuese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</w:t>
      </w:r>
      <w:r w:rsidR="00EA197C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21.09.2020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 i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nshtrohet afati</w:t>
      </w:r>
      <w:r w:rsidR="0010636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ligjor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4 mujor, 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rrjedhoj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pretendimi i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tij 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pasakt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si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vendimit nr.</w:t>
      </w:r>
      <w:r w:rsidR="00EF0D2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99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 dat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16.11.2020 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Kolegjit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7FE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haptazi i pabazuar.</w:t>
      </w:r>
    </w:p>
    <w:p w:rsidR="00193087" w:rsidRPr="002E3497" w:rsidRDefault="009547FE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</w:t>
      </w:r>
      <w:r w:rsidR="00557EFC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sa i takon pretendim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it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rkuesit mbi pasakt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sit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arsyetimit 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shkak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rpar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kriterit kohor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ndaj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kriteri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themelit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pretendimeve q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Kolegji ka zbatuar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shqyrtimin e ankimit individual kushte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tues, vendimi nr. 99, dat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16.11.2020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paragrafin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11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tij,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tregon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nyr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qart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ligji nr. 8577/2000 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rcakton se kriteret paraprake duhet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plot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sohen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gjitha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nj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koh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sisht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se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shkak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mosplot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simit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rit prej tyre, Kolegji merr vendim 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moskalimin e ç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shtjes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seanc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plenare. N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situat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Kolegji vler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son se edhe ky pretendim i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rkuesit 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34F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haptazi i pabazuar.</w:t>
      </w:r>
    </w:p>
    <w:p w:rsidR="0045626B" w:rsidRPr="002E3497" w:rsidRDefault="00557EFC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Kolegji çmon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 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jtin shkak 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pabazuar edhe pretendimi i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rkuesit se arsyetimi i vendimit nr. 99, dat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32B03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16.11.2020 i Kolegjit</w:t>
      </w:r>
      <w:r w:rsidR="00193087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gabuar pasi nuk ka mbajtur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konsiderat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7535F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se gjykatat e juridiksionit të zakonshëm kanë gabuar në vendimmarrjen e tyre duke zbatuar keq ligjin dhe se Gjykata e Lartë nuk e ka shqyrtuar rekursin brenda afateve të parashikuara nga ligji</w:t>
      </w:r>
      <w:r w:rsidR="00193087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. 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Mosrespektimi i afatit ligjor prej k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rkuesit n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paraqitjen e ankimit individual kushtetues 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rb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n penges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 shkak</w:t>
      </w:r>
      <w:r w:rsidR="005C434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EA197C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ligji</w:t>
      </w:r>
      <w:r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2A79F2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p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r vler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simin e themelit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pretendimeve t</w:t>
      </w:r>
      <w:r w:rsidR="000D269A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tij nga Gjykata Kushtetuese</w:t>
      </w:r>
      <w:r w:rsidR="007535F6" w:rsidRPr="002E3497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6E235F" w:rsidRPr="002E3497" w:rsidRDefault="00854DFC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 xml:space="preserve">Gjithashtu, 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Kolegji vler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son se nuk q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ndron as pretendimi i k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rkuesit se vendimi nr. 99, dat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16.11.2020 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sht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i err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557EFC" w:rsidRPr="002E3497">
        <w:rPr>
          <w:rFonts w:ascii="Times New Roman" w:hAnsi="Times New Roman"/>
          <w:sz w:val="24"/>
          <w:szCs w:val="24"/>
          <w:lang w:val="sq-AL"/>
        </w:rPr>
        <w:t xml:space="preserve">t, 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pasi p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rmban vet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m referenca ligjore, pa i shpjeguar ato. N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n arsyetuese t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tij vendimi konstatohet leht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>sisht se çdo konkluzion i nxjerr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>për shqyrtimin paraprak të ankimit individual kushtetues të kërkuesit është bazuar në identifikimin e normave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kushtetuese dhe ligjore</w:t>
      </w:r>
      <w:r w:rsidR="00196E9D" w:rsidRPr="002E3497">
        <w:rPr>
          <w:rFonts w:ascii="Times New Roman" w:hAnsi="Times New Roman"/>
          <w:sz w:val="24"/>
          <w:szCs w:val="24"/>
          <w:lang w:val="sq-AL"/>
        </w:rPr>
        <w:t xml:space="preserve"> të zbatueshme në rastin e tij, së bashku me arsyet përse këto norma janë të zbatueshme në faktet konkrete.</w:t>
      </w:r>
      <w:r w:rsidR="006E235F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5626B" w:rsidRPr="002E3497" w:rsidRDefault="00951624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 xml:space="preserve">Në vështrim të dispozitave kushtetuese dhe ligjore, si dhe të rrethanave faktike, Kolegji </w:t>
      </w:r>
      <w:r w:rsidR="002920F1" w:rsidRPr="002E3497">
        <w:rPr>
          <w:rFonts w:ascii="Times New Roman" w:hAnsi="Times New Roman"/>
          <w:sz w:val="24"/>
          <w:szCs w:val="24"/>
          <w:lang w:val="sq-AL"/>
        </w:rPr>
        <w:t>konstaton</w:t>
      </w:r>
      <w:r w:rsidR="00557EFC"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se kërkuesi nuk gjendet në asnjë prej situatave të parashikuara nga ligji për </w:t>
      </w:r>
      <w:r w:rsidR="00E8215A" w:rsidRPr="002E3497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="002A79F2" w:rsidRPr="002E3497">
        <w:rPr>
          <w:rFonts w:ascii="Times New Roman" w:hAnsi="Times New Roman"/>
          <w:sz w:val="24"/>
          <w:szCs w:val="24"/>
          <w:lang w:val="sq-AL"/>
        </w:rPr>
        <w:t xml:space="preserve">sqaruar dhe interpretuar vendimin </w:t>
      </w:r>
      <w:r w:rsidR="006E235F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nr. 99, datë 16.11.2020</w:t>
      </w:r>
      <w:r w:rsidR="002A79F2" w:rsidRPr="002E3497">
        <w:rPr>
          <w:rFonts w:ascii="Times New Roman" w:hAnsi="Times New Roman"/>
          <w:sz w:val="24"/>
          <w:szCs w:val="24"/>
          <w:lang w:val="sq-AL"/>
        </w:rPr>
        <w:t>.</w:t>
      </w:r>
    </w:p>
    <w:p w:rsidR="00854DFC" w:rsidRPr="002E3497" w:rsidRDefault="00854DFC" w:rsidP="002920F1">
      <w:pPr>
        <w:pStyle w:val="ListParagraph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>S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fundmi, Kole</w:t>
      </w:r>
      <w:r w:rsidR="00B22486" w:rsidRPr="002E3497">
        <w:rPr>
          <w:rFonts w:ascii="Times New Roman" w:hAnsi="Times New Roman"/>
          <w:sz w:val="24"/>
          <w:szCs w:val="24"/>
          <w:lang w:val="sq-AL"/>
        </w:rPr>
        <w:t>gji vëren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se n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rmbajtje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rkes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 sqarim dhe interpretim vendimi, k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rkuesi ka ngritur pretendimin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 tejzgjatje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procesit gjyq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sor, q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ka pa</w:t>
      </w:r>
      <w:r w:rsidR="00EF0D29" w:rsidRPr="002E3497">
        <w:rPr>
          <w:rFonts w:ascii="Times New Roman" w:hAnsi="Times New Roman"/>
          <w:sz w:val="24"/>
          <w:szCs w:val="24"/>
          <w:lang w:val="sq-AL"/>
        </w:rPr>
        <w:t>s</w:t>
      </w:r>
      <w:r w:rsidRPr="002E3497">
        <w:rPr>
          <w:rFonts w:ascii="Times New Roman" w:hAnsi="Times New Roman"/>
          <w:sz w:val="24"/>
          <w:szCs w:val="24"/>
          <w:lang w:val="sq-AL"/>
        </w:rPr>
        <w:t>ur n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objekt shqyrtimin e k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rkes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 s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tij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 rishikimin e vendimeve gjyq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2920F1" w:rsidRPr="002E3497">
        <w:rPr>
          <w:rFonts w:ascii="Times New Roman" w:hAnsi="Times New Roman"/>
          <w:sz w:val="24"/>
          <w:szCs w:val="24"/>
          <w:lang w:val="sq-AL"/>
        </w:rPr>
        <w:t>sore për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llogaritjen e pensionit, pretendim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cilin ai e parashtron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 her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n Kushtetuese. 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 xml:space="preserve">Ndonëse ky </w:t>
      </w:r>
      <w:r w:rsidRPr="002E3497">
        <w:rPr>
          <w:rFonts w:ascii="Times New Roman" w:hAnsi="Times New Roman"/>
          <w:sz w:val="24"/>
          <w:szCs w:val="24"/>
          <w:lang w:val="sq-AL"/>
        </w:rPr>
        <w:t>k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rkim nuk 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sht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paraqitur n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 xml:space="preserve">Gjykatën Kushtetuese në </w:t>
      </w:r>
      <w:r w:rsidRPr="002E3497">
        <w:rPr>
          <w:rFonts w:ascii="Times New Roman" w:hAnsi="Times New Roman"/>
          <w:sz w:val="24"/>
          <w:szCs w:val="24"/>
          <w:lang w:val="sq-AL"/>
        </w:rPr>
        <w:t>form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n e k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rkuar nga ligji, 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 xml:space="preserve">Kolegji çmon të evidentojë </w:t>
      </w:r>
      <w:r w:rsidR="0031333D" w:rsidRPr="002E3497">
        <w:rPr>
          <w:rFonts w:ascii="Times New Roman" w:hAnsi="Times New Roman"/>
          <w:sz w:val="24"/>
          <w:szCs w:val="24"/>
          <w:lang w:val="sq-AL"/>
        </w:rPr>
        <w:t>se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1333D" w:rsidRPr="002E3497">
        <w:rPr>
          <w:rFonts w:ascii="Times New Roman" w:hAnsi="Times New Roman"/>
          <w:sz w:val="24"/>
          <w:szCs w:val="24"/>
          <w:lang w:val="sq-AL"/>
        </w:rPr>
        <w:t>k</w:t>
      </w:r>
      <w:r w:rsidR="00856C10" w:rsidRPr="002E3497">
        <w:rPr>
          <w:rFonts w:ascii="Times New Roman" w:hAnsi="Times New Roman"/>
          <w:sz w:val="24"/>
          <w:szCs w:val="24"/>
          <w:lang w:val="sq-AL"/>
        </w:rPr>
        <w:t>ë</w:t>
      </w:r>
      <w:r w:rsidR="0031333D" w:rsidRPr="002E3497">
        <w:rPr>
          <w:rFonts w:ascii="Times New Roman" w:hAnsi="Times New Roman"/>
          <w:sz w:val="24"/>
          <w:szCs w:val="24"/>
          <w:lang w:val="sq-AL"/>
        </w:rPr>
        <w:t>rkuesi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 xml:space="preserve">mund 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t’i referohet neneve 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399/1-399/12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KPC</w:t>
      </w:r>
      <w:r w:rsidR="00EF0D29" w:rsidRPr="002E3497">
        <w:rPr>
          <w:rFonts w:ascii="Times New Roman" w:hAnsi="Times New Roman"/>
          <w:sz w:val="24"/>
          <w:szCs w:val="24"/>
          <w:lang w:val="sq-AL"/>
        </w:rPr>
        <w:t>-së</w:t>
      </w:r>
      <w:r w:rsidRPr="002E3497">
        <w:rPr>
          <w:rFonts w:ascii="Times New Roman" w:hAnsi="Times New Roman"/>
          <w:sz w:val="24"/>
          <w:szCs w:val="24"/>
          <w:lang w:val="sq-AL"/>
        </w:rPr>
        <w:t>,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cilat ofrojn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mjete </w:t>
      </w:r>
      <w:r w:rsidR="00EF0D29" w:rsidRPr="002E3497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ligjore për t’u mbrojtur efektivisht nga cenimi i së drejtës për gjykimin brenda një afati të arsyeshëm, </w:t>
      </w:r>
      <w:r w:rsidRPr="002E3497">
        <w:rPr>
          <w:rFonts w:ascii="Times New Roman" w:hAnsi="Times New Roman"/>
          <w:sz w:val="24"/>
          <w:szCs w:val="24"/>
          <w:lang w:val="sq-AL"/>
        </w:rPr>
        <w:t>konstatimin e cenimit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saj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drejte dhe eventualisht edhe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 shp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rblimin e d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mit t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6074C2" w:rsidRPr="002E3497">
        <w:rPr>
          <w:rFonts w:ascii="Times New Roman" w:hAnsi="Times New Roman"/>
          <w:sz w:val="24"/>
          <w:szCs w:val="24"/>
          <w:lang w:val="sq-AL"/>
        </w:rPr>
        <w:t>ë</w:t>
      </w:r>
      <w:r w:rsidRPr="002E3497">
        <w:rPr>
          <w:rFonts w:ascii="Times New Roman" w:hAnsi="Times New Roman"/>
          <w:sz w:val="24"/>
          <w:szCs w:val="24"/>
          <w:lang w:val="sq-AL"/>
        </w:rPr>
        <w:t>suar.</w:t>
      </w:r>
    </w:p>
    <w:p w:rsidR="00741CD9" w:rsidRPr="002E3497" w:rsidRDefault="00217AB5" w:rsidP="00BA14AA">
      <w:pPr>
        <w:pStyle w:val="ListParagraph"/>
        <w:numPr>
          <w:ilvl w:val="0"/>
          <w:numId w:val="1"/>
        </w:numPr>
        <w:tabs>
          <w:tab w:val="left" w:pos="851"/>
          <w:tab w:val="left" w:pos="108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2E3497">
        <w:rPr>
          <w:rFonts w:ascii="Times New Roman" w:hAnsi="Times New Roman"/>
          <w:sz w:val="24"/>
          <w:szCs w:val="24"/>
          <w:lang w:val="sq-AL"/>
        </w:rPr>
        <w:t>Për sa më sipër</w:t>
      </w:r>
      <w:r w:rsidR="00AD4B03" w:rsidRPr="002E3497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1B0E95" w:rsidRPr="002E3497">
        <w:rPr>
          <w:rFonts w:ascii="Times New Roman" w:eastAsia="Calibri" w:hAnsi="Times New Roman" w:cs="Times New Roman"/>
          <w:bCs/>
          <w:sz w:val="24"/>
          <w:szCs w:val="24"/>
          <w:lang w:val="sq-AL"/>
        </w:rPr>
        <w:t xml:space="preserve">Kolegji </w:t>
      </w:r>
      <w:r w:rsidR="00B22486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vlerëson</w:t>
      </w:r>
      <w:r w:rsidR="001B0E95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 se kërkesa e paraqitur </w:t>
      </w:r>
      <w:r w:rsidR="00873401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nga k</w:t>
      </w:r>
      <w:r w:rsidR="001B1F16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ë</w:t>
      </w:r>
      <w:r w:rsidR="00873401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rkuesi Petri</w:t>
      </w:r>
      <w:r w:rsidR="006F22E7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t</w:t>
      </w:r>
      <w:r w:rsidR="00873401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 Aliaj </w:t>
      </w:r>
      <w:r w:rsidR="001B1F16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ë</w:t>
      </w:r>
      <w:r w:rsidR="00873401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sht</w:t>
      </w:r>
      <w:r w:rsidR="001B1F16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>ë</w:t>
      </w:r>
      <w:r w:rsidR="00873401" w:rsidRPr="002E3497">
        <w:rPr>
          <w:rFonts w:ascii="Times New Roman" w:eastAsia="Calibri" w:hAnsi="Times New Roman" w:cs="Times New Roman"/>
          <w:color w:val="000000"/>
          <w:sz w:val="24"/>
          <w:szCs w:val="24"/>
          <w:lang w:val="sq-AL"/>
        </w:rPr>
        <w:t xml:space="preserve"> haptazi e pabazuar.</w:t>
      </w:r>
    </w:p>
    <w:p w:rsidR="00DF1977" w:rsidRDefault="00DF1977" w:rsidP="00B4539F">
      <w:pPr>
        <w:tabs>
          <w:tab w:val="left" w:pos="720"/>
          <w:tab w:val="left" w:pos="851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91B48" w:rsidRPr="002E3497" w:rsidRDefault="00691B48" w:rsidP="00B4539F">
      <w:pPr>
        <w:tabs>
          <w:tab w:val="left" w:pos="720"/>
          <w:tab w:val="left" w:pos="851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 KËTO ARSYE,</w:t>
      </w:r>
    </w:p>
    <w:p w:rsidR="00DF1977" w:rsidRDefault="00691B48" w:rsidP="00DF197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 xml:space="preserve">Kolegji i Gjykatës Kushtetuese të Republikës së Shqipërisë, në bazë të </w:t>
      </w:r>
      <w:r w:rsidR="006926E1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pik</w:t>
      </w:r>
      <w:r w:rsidR="00856C10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926E1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 2 t</w:t>
      </w:r>
      <w:r w:rsidR="00856C10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6926E1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1 dhe nenit 31 </w:t>
      </w: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të ligjit nr. 8577, datë 10.02.2000 “Për organizimin dhe funksionimin e Gjykatës Kushtetuese të Republikës së Shqipërisë”, të ndryshuar.</w:t>
      </w:r>
    </w:p>
    <w:p w:rsidR="00DF1977" w:rsidRDefault="00DF1977" w:rsidP="00DF197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91B48" w:rsidRPr="00DF1977" w:rsidRDefault="00691B48" w:rsidP="00DF1977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E349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 E N D O S I:</w:t>
      </w:r>
    </w:p>
    <w:p w:rsidR="00E247B1" w:rsidRPr="00CA499D" w:rsidRDefault="00B4539F" w:rsidP="008D264D">
      <w:pPr>
        <w:tabs>
          <w:tab w:val="left" w:pos="851"/>
        </w:tabs>
        <w:spacing w:after="0" w:line="360" w:lineRule="auto"/>
        <w:jc w:val="both"/>
        <w:rPr>
          <w:lang w:val="sq-AL"/>
        </w:rPr>
      </w:pPr>
      <w:r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Mospranimin e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rkes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rkuesit Petrit Aliaj p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r sqarimin dhe interpretimin e vendimit nr.</w:t>
      </w:r>
      <w:r w:rsidR="00F63389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A79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99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, dat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A79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16.11.2020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Kolegjit 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Gjykat</w:t>
      </w:r>
      <w:r w:rsidR="000D269A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5626B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 </w:t>
      </w:r>
      <w:r w:rsidR="002A79F2" w:rsidRPr="002E3497">
        <w:rPr>
          <w:rFonts w:ascii="Times New Roman" w:eastAsia="Times New Roman" w:hAnsi="Times New Roman" w:cs="Times New Roman"/>
          <w:sz w:val="24"/>
          <w:szCs w:val="24"/>
          <w:lang w:val="sq-AL"/>
        </w:rPr>
        <w:t>Kushtetuese.</w:t>
      </w:r>
    </w:p>
    <w:sectPr w:rsidR="00E247B1" w:rsidRPr="00CA499D" w:rsidSect="00CA499D">
      <w:footerReference w:type="default" r:id="rId7"/>
      <w:pgSz w:w="11907" w:h="16839" w:code="9"/>
      <w:pgMar w:top="108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B0" w:rsidRDefault="00F953B0" w:rsidP="00D45BCA">
      <w:pPr>
        <w:spacing w:after="0" w:line="240" w:lineRule="auto"/>
      </w:pPr>
      <w:r>
        <w:separator/>
      </w:r>
    </w:p>
  </w:endnote>
  <w:endnote w:type="continuationSeparator" w:id="0">
    <w:p w:rsidR="00F953B0" w:rsidRDefault="00F953B0" w:rsidP="00D4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13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99D" w:rsidRDefault="00E83E07">
        <w:pPr>
          <w:pStyle w:val="Footer"/>
          <w:jc w:val="right"/>
        </w:pPr>
        <w:r>
          <w:fldChar w:fldCharType="begin"/>
        </w:r>
        <w:r w:rsidR="00CA499D">
          <w:instrText xml:space="preserve"> PAGE   \* MERGEFORMAT </w:instrText>
        </w:r>
        <w:r>
          <w:fldChar w:fldCharType="separate"/>
        </w:r>
        <w:r w:rsidR="008D26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499D" w:rsidRDefault="00CA49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B0" w:rsidRDefault="00F953B0" w:rsidP="00D45BCA">
      <w:pPr>
        <w:spacing w:after="0" w:line="240" w:lineRule="auto"/>
      </w:pPr>
      <w:r>
        <w:separator/>
      </w:r>
    </w:p>
  </w:footnote>
  <w:footnote w:type="continuationSeparator" w:id="0">
    <w:p w:rsidR="00F953B0" w:rsidRDefault="00F953B0" w:rsidP="00D4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D74"/>
    <w:multiLevelType w:val="hybridMultilevel"/>
    <w:tmpl w:val="E52E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7FE4"/>
    <w:multiLevelType w:val="multilevel"/>
    <w:tmpl w:val="537E5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2">
    <w:nsid w:val="1306762E"/>
    <w:multiLevelType w:val="multilevel"/>
    <w:tmpl w:val="537E5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3">
    <w:nsid w:val="306E2EBE"/>
    <w:multiLevelType w:val="hybridMultilevel"/>
    <w:tmpl w:val="026060AA"/>
    <w:lvl w:ilvl="0" w:tplc="CA72F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2DC5"/>
    <w:multiLevelType w:val="hybridMultilevel"/>
    <w:tmpl w:val="2BF6C5CE"/>
    <w:lvl w:ilvl="0" w:tplc="6E2CEC58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6810BE"/>
    <w:multiLevelType w:val="multilevel"/>
    <w:tmpl w:val="537E5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6">
    <w:nsid w:val="7B507B31"/>
    <w:multiLevelType w:val="hybridMultilevel"/>
    <w:tmpl w:val="61F2DEFC"/>
    <w:lvl w:ilvl="0" w:tplc="18B2B386">
      <w:start w:val="1"/>
      <w:numFmt w:val="decimal"/>
      <w:lvlText w:val="%1."/>
      <w:lvlJc w:val="left"/>
      <w:pPr>
        <w:ind w:left="928" w:hanging="360"/>
      </w:pPr>
      <w:rPr>
        <w:rFonts w:eastAsia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048"/>
    <w:multiLevelType w:val="hybridMultilevel"/>
    <w:tmpl w:val="DFB2501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37780"/>
    <w:multiLevelType w:val="multilevel"/>
    <w:tmpl w:val="0E38C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B48"/>
    <w:rsid w:val="000178E2"/>
    <w:rsid w:val="0004578D"/>
    <w:rsid w:val="00050E2C"/>
    <w:rsid w:val="00055868"/>
    <w:rsid w:val="00072E16"/>
    <w:rsid w:val="00094986"/>
    <w:rsid w:val="000A38C6"/>
    <w:rsid w:val="000D269A"/>
    <w:rsid w:val="000E3BB7"/>
    <w:rsid w:val="000F5F38"/>
    <w:rsid w:val="00100B46"/>
    <w:rsid w:val="00106369"/>
    <w:rsid w:val="00121AB0"/>
    <w:rsid w:val="00127DA8"/>
    <w:rsid w:val="00146A99"/>
    <w:rsid w:val="001679AB"/>
    <w:rsid w:val="00171BB7"/>
    <w:rsid w:val="00175810"/>
    <w:rsid w:val="00177391"/>
    <w:rsid w:val="00193087"/>
    <w:rsid w:val="00196E9D"/>
    <w:rsid w:val="001B0E95"/>
    <w:rsid w:val="001B1F16"/>
    <w:rsid w:val="001B2BDA"/>
    <w:rsid w:val="001E00E3"/>
    <w:rsid w:val="001E7D1E"/>
    <w:rsid w:val="001F07C0"/>
    <w:rsid w:val="001F6637"/>
    <w:rsid w:val="00213A5E"/>
    <w:rsid w:val="00217AB5"/>
    <w:rsid w:val="0024103A"/>
    <w:rsid w:val="00264B2B"/>
    <w:rsid w:val="00286F4D"/>
    <w:rsid w:val="002920F1"/>
    <w:rsid w:val="002A3184"/>
    <w:rsid w:val="002A79F2"/>
    <w:rsid w:val="002B0DD7"/>
    <w:rsid w:val="002B436D"/>
    <w:rsid w:val="002E3497"/>
    <w:rsid w:val="0030363C"/>
    <w:rsid w:val="0031333D"/>
    <w:rsid w:val="00314B57"/>
    <w:rsid w:val="00323D54"/>
    <w:rsid w:val="003533F0"/>
    <w:rsid w:val="0038319D"/>
    <w:rsid w:val="003A6B85"/>
    <w:rsid w:val="003C753F"/>
    <w:rsid w:val="003D7D1E"/>
    <w:rsid w:val="004061F0"/>
    <w:rsid w:val="00414F0A"/>
    <w:rsid w:val="004155CB"/>
    <w:rsid w:val="0045626B"/>
    <w:rsid w:val="004861E7"/>
    <w:rsid w:val="004A7D12"/>
    <w:rsid w:val="004F76DA"/>
    <w:rsid w:val="005308C6"/>
    <w:rsid w:val="00545C6F"/>
    <w:rsid w:val="00557E93"/>
    <w:rsid w:val="00557EFC"/>
    <w:rsid w:val="0059121B"/>
    <w:rsid w:val="005C0EAF"/>
    <w:rsid w:val="005C434A"/>
    <w:rsid w:val="005D2748"/>
    <w:rsid w:val="00606B2E"/>
    <w:rsid w:val="006074C2"/>
    <w:rsid w:val="00636722"/>
    <w:rsid w:val="00652626"/>
    <w:rsid w:val="00672085"/>
    <w:rsid w:val="0068524E"/>
    <w:rsid w:val="00691B48"/>
    <w:rsid w:val="006926E1"/>
    <w:rsid w:val="006A6497"/>
    <w:rsid w:val="006E235F"/>
    <w:rsid w:val="006F22E7"/>
    <w:rsid w:val="006F277A"/>
    <w:rsid w:val="00734829"/>
    <w:rsid w:val="00741CD9"/>
    <w:rsid w:val="007535F6"/>
    <w:rsid w:val="00767863"/>
    <w:rsid w:val="00772A8C"/>
    <w:rsid w:val="0078343F"/>
    <w:rsid w:val="007A66A1"/>
    <w:rsid w:val="007D5994"/>
    <w:rsid w:val="007D639D"/>
    <w:rsid w:val="007E6E0F"/>
    <w:rsid w:val="007F0154"/>
    <w:rsid w:val="007F5C94"/>
    <w:rsid w:val="00803DC5"/>
    <w:rsid w:val="0080649D"/>
    <w:rsid w:val="00814D0B"/>
    <w:rsid w:val="00854DFC"/>
    <w:rsid w:val="00856C10"/>
    <w:rsid w:val="00873401"/>
    <w:rsid w:val="00875567"/>
    <w:rsid w:val="00885250"/>
    <w:rsid w:val="00894212"/>
    <w:rsid w:val="008A7F6A"/>
    <w:rsid w:val="008B3AD9"/>
    <w:rsid w:val="008B7B63"/>
    <w:rsid w:val="008D2520"/>
    <w:rsid w:val="008D264D"/>
    <w:rsid w:val="008F518D"/>
    <w:rsid w:val="00941238"/>
    <w:rsid w:val="00946B6B"/>
    <w:rsid w:val="00951624"/>
    <w:rsid w:val="009547FE"/>
    <w:rsid w:val="009B24B1"/>
    <w:rsid w:val="009C5089"/>
    <w:rsid w:val="00A058FA"/>
    <w:rsid w:val="00A32B03"/>
    <w:rsid w:val="00A90AB5"/>
    <w:rsid w:val="00AA7620"/>
    <w:rsid w:val="00AC1C35"/>
    <w:rsid w:val="00AD4B03"/>
    <w:rsid w:val="00AF07C3"/>
    <w:rsid w:val="00B0061C"/>
    <w:rsid w:val="00B14AC4"/>
    <w:rsid w:val="00B22486"/>
    <w:rsid w:val="00B4539F"/>
    <w:rsid w:val="00B5531A"/>
    <w:rsid w:val="00B754E6"/>
    <w:rsid w:val="00BA22D5"/>
    <w:rsid w:val="00BB159C"/>
    <w:rsid w:val="00BB5557"/>
    <w:rsid w:val="00BC4A91"/>
    <w:rsid w:val="00BD4859"/>
    <w:rsid w:val="00BE108E"/>
    <w:rsid w:val="00C14B66"/>
    <w:rsid w:val="00C34FF2"/>
    <w:rsid w:val="00C44F55"/>
    <w:rsid w:val="00C61C2D"/>
    <w:rsid w:val="00C66E54"/>
    <w:rsid w:val="00C71C4F"/>
    <w:rsid w:val="00C85B18"/>
    <w:rsid w:val="00C90C08"/>
    <w:rsid w:val="00CA499D"/>
    <w:rsid w:val="00CB6C09"/>
    <w:rsid w:val="00CC438B"/>
    <w:rsid w:val="00CC6AA3"/>
    <w:rsid w:val="00CE0058"/>
    <w:rsid w:val="00CE4FB0"/>
    <w:rsid w:val="00CF1EEE"/>
    <w:rsid w:val="00CF55D2"/>
    <w:rsid w:val="00D13312"/>
    <w:rsid w:val="00D1347D"/>
    <w:rsid w:val="00D43A5D"/>
    <w:rsid w:val="00D45BCA"/>
    <w:rsid w:val="00D514A5"/>
    <w:rsid w:val="00D67D04"/>
    <w:rsid w:val="00D84F86"/>
    <w:rsid w:val="00DB40E3"/>
    <w:rsid w:val="00DC5D6F"/>
    <w:rsid w:val="00DE0114"/>
    <w:rsid w:val="00DF1977"/>
    <w:rsid w:val="00E247B1"/>
    <w:rsid w:val="00E33FF3"/>
    <w:rsid w:val="00E54694"/>
    <w:rsid w:val="00E54835"/>
    <w:rsid w:val="00E67E5B"/>
    <w:rsid w:val="00E8215A"/>
    <w:rsid w:val="00E83E07"/>
    <w:rsid w:val="00EA197C"/>
    <w:rsid w:val="00EF0D29"/>
    <w:rsid w:val="00EF5323"/>
    <w:rsid w:val="00EF556A"/>
    <w:rsid w:val="00F279F4"/>
    <w:rsid w:val="00F63389"/>
    <w:rsid w:val="00F71F42"/>
    <w:rsid w:val="00F953B0"/>
    <w:rsid w:val="00F95910"/>
    <w:rsid w:val="00FA18E0"/>
    <w:rsid w:val="00FB2270"/>
    <w:rsid w:val="00F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B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91B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1B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91B48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14AC4"/>
    <w:pPr>
      <w:ind w:left="720"/>
      <w:contextualSpacing/>
    </w:pPr>
  </w:style>
  <w:style w:type="character" w:customStyle="1" w:styleId="eheadnotes">
    <w:name w:val="eheadnotes"/>
    <w:rsid w:val="001679AB"/>
    <w:rPr>
      <w:rFonts w:ascii="Times New Roman" w:hAnsi="Times New Roman" w:cs="Times New Roman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C66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B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Kondili, Këshilltare Ligjore</dc:creator>
  <cp:keywords/>
  <dc:description/>
  <cp:lastModifiedBy>user</cp:lastModifiedBy>
  <cp:revision>5</cp:revision>
  <cp:lastPrinted>2021-02-15T12:35:00Z</cp:lastPrinted>
  <dcterms:created xsi:type="dcterms:W3CDTF">2021-02-15T12:36:00Z</dcterms:created>
  <dcterms:modified xsi:type="dcterms:W3CDTF">2021-02-16T15:01:00Z</dcterms:modified>
</cp:coreProperties>
</file>