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59" w:rsidRPr="00465D47" w:rsidRDefault="00537B69" w:rsidP="00021C59">
      <w:pPr>
        <w:spacing w:line="360" w:lineRule="auto"/>
        <w:jc w:val="center"/>
        <w:rPr>
          <w:lang w:val="sq-AL"/>
        </w:rPr>
      </w:pPr>
      <w:bookmarkStart w:id="0" w:name="_GoBack"/>
      <w:bookmarkEnd w:id="0"/>
      <w:r w:rsidRPr="00465D47">
        <w:rPr>
          <w:b/>
          <w:bCs/>
          <w:lang w:val="sq-AL"/>
        </w:rPr>
        <w:t>V</w:t>
      </w:r>
      <w:r w:rsidR="00021C59">
        <w:rPr>
          <w:b/>
          <w:bCs/>
          <w:lang w:val="sq-AL"/>
        </w:rPr>
        <w:t>endim nr. 42 dat</w:t>
      </w:r>
      <w:r w:rsidR="00021C59" w:rsidRPr="00465D47">
        <w:rPr>
          <w:b/>
          <w:lang w:val="sq-AL"/>
        </w:rPr>
        <w:t>ë 10.03.2021</w:t>
      </w:r>
    </w:p>
    <w:p w:rsidR="00537B69" w:rsidRPr="00465D47" w:rsidRDefault="00537B69" w:rsidP="00465D47">
      <w:pPr>
        <w:spacing w:line="360" w:lineRule="auto"/>
        <w:jc w:val="center"/>
        <w:rPr>
          <w:b/>
          <w:bCs/>
          <w:lang w:val="sq-AL"/>
        </w:rPr>
      </w:pPr>
    </w:p>
    <w:p w:rsidR="00537B69" w:rsidRPr="00465D47" w:rsidRDefault="00537B69" w:rsidP="00465D47">
      <w:pPr>
        <w:spacing w:line="360" w:lineRule="auto"/>
        <w:jc w:val="both"/>
        <w:rPr>
          <w:lang w:val="sq-AL"/>
        </w:rPr>
      </w:pPr>
    </w:p>
    <w:p w:rsidR="00537B69" w:rsidRPr="00465D47" w:rsidRDefault="00543C56" w:rsidP="00465D47">
      <w:pPr>
        <w:spacing w:line="360" w:lineRule="auto"/>
        <w:ind w:firstLine="720"/>
        <w:jc w:val="both"/>
        <w:rPr>
          <w:lang w:val="sq-AL"/>
        </w:rPr>
      </w:pPr>
      <w:r w:rsidRPr="00465D47">
        <w:rPr>
          <w:lang w:val="sq-AL"/>
        </w:rPr>
        <w:t>Kolegji i</w:t>
      </w:r>
      <w:r w:rsidR="00A51AB0" w:rsidRPr="00465D47">
        <w:rPr>
          <w:lang w:val="sq-AL"/>
        </w:rPr>
        <w:t xml:space="preserve"> Gjykatës Kushtetuese të</w:t>
      </w:r>
      <w:r w:rsidR="00537B69" w:rsidRPr="00465D47">
        <w:rPr>
          <w:lang w:val="sq-AL"/>
        </w:rPr>
        <w:t xml:space="preserve"> Republikës së Shqipërisë, </w:t>
      </w:r>
      <w:r w:rsidRPr="00465D47">
        <w:rPr>
          <w:lang w:val="sq-AL"/>
        </w:rPr>
        <w:t>i</w:t>
      </w:r>
      <w:r w:rsidR="00537B69" w:rsidRPr="00465D47">
        <w:rPr>
          <w:lang w:val="sq-AL"/>
        </w:rPr>
        <w:t xml:space="preserve"> përbërë nga:</w:t>
      </w:r>
    </w:p>
    <w:p w:rsidR="00537B69" w:rsidRPr="00465D47" w:rsidRDefault="00537B69" w:rsidP="00465D47">
      <w:pPr>
        <w:spacing w:line="360" w:lineRule="auto"/>
        <w:jc w:val="both"/>
        <w:rPr>
          <w:lang w:val="sq-AL"/>
        </w:rPr>
      </w:pPr>
      <w:r w:rsidRPr="00465D47">
        <w:rPr>
          <w:lang w:val="sq-AL"/>
        </w:rPr>
        <w:t xml:space="preserve"> </w:t>
      </w:r>
    </w:p>
    <w:p w:rsidR="00537B69" w:rsidRPr="00465D47" w:rsidRDefault="00537B69" w:rsidP="00465D47">
      <w:pPr>
        <w:spacing w:line="360" w:lineRule="auto"/>
        <w:ind w:firstLine="720"/>
        <w:jc w:val="both"/>
        <w:rPr>
          <w:lang w:val="sq-AL"/>
        </w:rPr>
      </w:pPr>
      <w:r w:rsidRPr="00465D47">
        <w:rPr>
          <w:lang w:val="sq-AL"/>
        </w:rPr>
        <w:t>Vitore Tusha,</w:t>
      </w:r>
      <w:r w:rsidRPr="00465D47">
        <w:rPr>
          <w:lang w:val="sq-AL"/>
        </w:rPr>
        <w:tab/>
      </w:r>
      <w:r w:rsidRPr="00465D47">
        <w:rPr>
          <w:lang w:val="sq-AL"/>
        </w:rPr>
        <w:tab/>
        <w:t xml:space="preserve">Kryetare </w:t>
      </w:r>
      <w:r w:rsidR="00543C56" w:rsidRPr="00465D47">
        <w:rPr>
          <w:lang w:val="sq-AL"/>
        </w:rPr>
        <w:t xml:space="preserve"> </w:t>
      </w:r>
      <w:r w:rsidRPr="00465D47">
        <w:rPr>
          <w:lang w:val="sq-AL"/>
        </w:rPr>
        <w:t xml:space="preserve">e  Gjykatës Kushtetuese </w:t>
      </w:r>
    </w:p>
    <w:p w:rsidR="00537B69" w:rsidRPr="00465D47" w:rsidRDefault="00927298" w:rsidP="00465D47">
      <w:pPr>
        <w:spacing w:line="360" w:lineRule="auto"/>
        <w:ind w:firstLine="720"/>
        <w:jc w:val="both"/>
        <w:rPr>
          <w:lang w:val="sq-AL"/>
        </w:rPr>
      </w:pPr>
      <w:r w:rsidRPr="00465D47">
        <w:rPr>
          <w:lang w:val="sq-AL"/>
        </w:rPr>
        <w:t>Elsa Toska</w:t>
      </w:r>
      <w:r w:rsidR="00537B69" w:rsidRPr="00465D47">
        <w:rPr>
          <w:lang w:val="sq-AL"/>
        </w:rPr>
        <w:t>,</w:t>
      </w:r>
      <w:r w:rsidR="00537B69" w:rsidRPr="00465D47">
        <w:rPr>
          <w:lang w:val="sq-AL"/>
        </w:rPr>
        <w:tab/>
      </w:r>
      <w:r w:rsidR="00A51AB0" w:rsidRPr="00465D47">
        <w:rPr>
          <w:lang w:val="sq-AL"/>
        </w:rPr>
        <w:tab/>
      </w:r>
      <w:r w:rsidR="00537B69" w:rsidRPr="00465D47">
        <w:rPr>
          <w:lang w:val="sq-AL"/>
        </w:rPr>
        <w:t>Anëtar</w:t>
      </w:r>
      <w:r w:rsidR="00A51AB0" w:rsidRPr="00465D47">
        <w:rPr>
          <w:lang w:val="sq-AL"/>
        </w:rPr>
        <w:t>e   e</w:t>
      </w:r>
      <w:r w:rsidR="00537B69" w:rsidRPr="00465D47">
        <w:rPr>
          <w:lang w:val="sq-AL"/>
        </w:rPr>
        <w:t xml:space="preserve">         “          “</w:t>
      </w:r>
    </w:p>
    <w:p w:rsidR="00537B69" w:rsidRPr="00465D47" w:rsidRDefault="00927298" w:rsidP="00465D47">
      <w:pPr>
        <w:spacing w:line="360" w:lineRule="auto"/>
        <w:ind w:firstLine="720"/>
        <w:jc w:val="both"/>
        <w:rPr>
          <w:lang w:val="sq-AL"/>
        </w:rPr>
      </w:pPr>
      <w:r w:rsidRPr="00465D47">
        <w:rPr>
          <w:lang w:val="sq-AL"/>
        </w:rPr>
        <w:t>Përparim Kalo</w:t>
      </w:r>
      <w:r w:rsidR="00A51AB0" w:rsidRPr="00465D47">
        <w:rPr>
          <w:lang w:val="sq-AL"/>
        </w:rPr>
        <w:t>,</w:t>
      </w:r>
      <w:r w:rsidR="00A51AB0" w:rsidRPr="00465D47">
        <w:rPr>
          <w:lang w:val="sq-AL"/>
        </w:rPr>
        <w:tab/>
      </w:r>
      <w:r w:rsidR="00537B69" w:rsidRPr="00465D47">
        <w:rPr>
          <w:lang w:val="sq-AL"/>
        </w:rPr>
        <w:t>Anëtar</w:t>
      </w:r>
      <w:r w:rsidR="00543C56" w:rsidRPr="00465D47">
        <w:rPr>
          <w:lang w:val="sq-AL"/>
        </w:rPr>
        <w:t xml:space="preserve">     i</w:t>
      </w:r>
      <w:r w:rsidR="00537B69" w:rsidRPr="00465D47">
        <w:rPr>
          <w:lang w:val="sq-AL"/>
        </w:rPr>
        <w:tab/>
      </w:r>
      <w:r w:rsidRPr="00465D47">
        <w:rPr>
          <w:lang w:val="sq-AL"/>
        </w:rPr>
        <w:t xml:space="preserve">  </w:t>
      </w:r>
      <w:r w:rsidR="00537B69" w:rsidRPr="00465D47">
        <w:rPr>
          <w:lang w:val="sq-AL"/>
        </w:rPr>
        <w:t>“</w:t>
      </w:r>
      <w:r w:rsidR="00537B69" w:rsidRPr="00465D47">
        <w:rPr>
          <w:lang w:val="sq-AL"/>
        </w:rPr>
        <w:tab/>
      </w:r>
      <w:r w:rsidRPr="00465D47">
        <w:rPr>
          <w:lang w:val="sq-AL"/>
        </w:rPr>
        <w:t xml:space="preserve">  </w:t>
      </w:r>
      <w:r w:rsidR="00537B69" w:rsidRPr="00465D47">
        <w:rPr>
          <w:lang w:val="sq-AL"/>
        </w:rPr>
        <w:t>“</w:t>
      </w:r>
    </w:p>
    <w:p w:rsidR="00537B69" w:rsidRPr="00465D47" w:rsidRDefault="00537B69" w:rsidP="00465D47">
      <w:pPr>
        <w:spacing w:line="360" w:lineRule="auto"/>
        <w:ind w:firstLine="720"/>
        <w:jc w:val="both"/>
        <w:rPr>
          <w:lang w:val="sq-AL"/>
        </w:rPr>
      </w:pPr>
    </w:p>
    <w:p w:rsidR="00537B69" w:rsidRPr="00465D47" w:rsidRDefault="00537B69" w:rsidP="00465D47">
      <w:pPr>
        <w:spacing w:line="360" w:lineRule="auto"/>
        <w:jc w:val="both"/>
        <w:rPr>
          <w:lang w:val="sq-AL"/>
        </w:rPr>
      </w:pPr>
      <w:r w:rsidRPr="00465D47">
        <w:rPr>
          <w:lang w:val="sq-AL"/>
        </w:rPr>
        <w:t xml:space="preserve">në datën </w:t>
      </w:r>
      <w:r w:rsidR="002D47B1" w:rsidRPr="00465D47">
        <w:rPr>
          <w:lang w:val="sq-AL"/>
        </w:rPr>
        <w:t>10.03.</w:t>
      </w:r>
      <w:r w:rsidR="001632A9" w:rsidRPr="00465D47">
        <w:rPr>
          <w:lang w:val="sq-AL"/>
        </w:rPr>
        <w:t>2021</w:t>
      </w:r>
      <w:r w:rsidRPr="00465D47">
        <w:rPr>
          <w:lang w:val="sq-AL"/>
        </w:rPr>
        <w:t xml:space="preserve"> mori në shqyrtim </w:t>
      </w:r>
      <w:r w:rsidR="00A51AB0" w:rsidRPr="00465D47">
        <w:rPr>
          <w:lang w:val="sq-AL"/>
        </w:rPr>
        <w:t>paraprak</w:t>
      </w:r>
      <w:r w:rsidR="00422613" w:rsidRPr="00465D47">
        <w:rPr>
          <w:lang w:val="sq-AL"/>
        </w:rPr>
        <w:t xml:space="preserve"> çështjen me nr. </w:t>
      </w:r>
      <w:r w:rsidR="00D66A8A" w:rsidRPr="00465D47">
        <w:rPr>
          <w:lang w:val="sq-AL"/>
        </w:rPr>
        <w:t>9 (G)</w:t>
      </w:r>
      <w:r w:rsidR="004C7C48">
        <w:rPr>
          <w:lang w:val="sq-AL"/>
        </w:rPr>
        <w:t>/2020</w:t>
      </w:r>
      <w:r w:rsidR="00422613" w:rsidRPr="00465D47">
        <w:rPr>
          <w:lang w:val="sq-AL"/>
        </w:rPr>
        <w:t xml:space="preserve"> </w:t>
      </w:r>
      <w:r w:rsidR="004C7C48">
        <w:rPr>
          <w:lang w:val="sq-AL"/>
        </w:rPr>
        <w:t>Regj.Them</w:t>
      </w:r>
      <w:r w:rsidR="00D33131">
        <w:rPr>
          <w:lang w:val="sq-AL"/>
        </w:rPr>
        <w:t>.</w:t>
      </w:r>
      <w:r w:rsidRPr="00465D47">
        <w:rPr>
          <w:lang w:val="sq-AL"/>
        </w:rPr>
        <w:t xml:space="preserve"> që i përket:</w:t>
      </w:r>
    </w:p>
    <w:p w:rsidR="00537B69" w:rsidRPr="00465D47" w:rsidRDefault="00537B69" w:rsidP="00465D47">
      <w:pPr>
        <w:spacing w:line="360" w:lineRule="auto"/>
        <w:jc w:val="both"/>
        <w:rPr>
          <w:lang w:val="sq-AL"/>
        </w:rPr>
      </w:pPr>
    </w:p>
    <w:p w:rsidR="00543C56" w:rsidRPr="00465D47" w:rsidRDefault="00537B69" w:rsidP="00465D47">
      <w:pPr>
        <w:spacing w:line="360" w:lineRule="auto"/>
        <w:ind w:firstLine="720"/>
        <w:jc w:val="both"/>
        <w:rPr>
          <w:b/>
          <w:lang w:val="sq-AL"/>
        </w:rPr>
      </w:pPr>
      <w:r w:rsidRPr="00465D47">
        <w:rPr>
          <w:b/>
          <w:bCs/>
          <w:lang w:val="sq-AL"/>
        </w:rPr>
        <w:t>KËRKUES</w:t>
      </w:r>
      <w:r w:rsidR="00543C56" w:rsidRPr="00465D47">
        <w:rPr>
          <w:b/>
          <w:bCs/>
          <w:lang w:val="sq-AL"/>
        </w:rPr>
        <w:t>E</w:t>
      </w:r>
      <w:r w:rsidRPr="00465D47">
        <w:rPr>
          <w:b/>
          <w:bCs/>
          <w:lang w:val="sq-AL"/>
        </w:rPr>
        <w:t>:</w:t>
      </w:r>
      <w:r w:rsidRPr="00465D47">
        <w:rPr>
          <w:b/>
          <w:bCs/>
          <w:lang w:val="sq-AL"/>
        </w:rPr>
        <w:tab/>
        <w:t xml:space="preserve">  </w:t>
      </w:r>
      <w:r w:rsidR="00A51AB0" w:rsidRPr="00465D47">
        <w:rPr>
          <w:b/>
          <w:bCs/>
          <w:lang w:val="sq-AL"/>
        </w:rPr>
        <w:tab/>
      </w:r>
      <w:r w:rsidR="00A51AB0" w:rsidRPr="00465D47">
        <w:rPr>
          <w:b/>
          <w:lang w:val="sq-AL"/>
        </w:rPr>
        <w:t xml:space="preserve">GJYKATA </w:t>
      </w:r>
      <w:r w:rsidR="00543C56" w:rsidRPr="00465D47">
        <w:rPr>
          <w:b/>
          <w:lang w:val="sq-AL"/>
        </w:rPr>
        <w:t>ADMINISTRATIVE E SHKALL</w:t>
      </w:r>
      <w:r w:rsidR="00DE7D0E" w:rsidRPr="00465D47">
        <w:rPr>
          <w:b/>
          <w:lang w:val="sq-AL"/>
        </w:rPr>
        <w:t>Ë</w:t>
      </w:r>
      <w:r w:rsidR="00543C56" w:rsidRPr="00465D47">
        <w:rPr>
          <w:b/>
          <w:lang w:val="sq-AL"/>
        </w:rPr>
        <w:t>S S</w:t>
      </w:r>
      <w:r w:rsidR="00DE7D0E" w:rsidRPr="00465D47">
        <w:rPr>
          <w:b/>
          <w:lang w:val="sq-AL"/>
        </w:rPr>
        <w:t>Ë</w:t>
      </w:r>
      <w:r w:rsidR="00543C56" w:rsidRPr="00465D47">
        <w:rPr>
          <w:b/>
          <w:lang w:val="sq-AL"/>
        </w:rPr>
        <w:t xml:space="preserve"> PAR</w:t>
      </w:r>
      <w:r w:rsidR="00DE7D0E" w:rsidRPr="00465D47">
        <w:rPr>
          <w:b/>
          <w:lang w:val="sq-AL"/>
        </w:rPr>
        <w:t>Ë</w:t>
      </w:r>
    </w:p>
    <w:p w:rsidR="00537B69" w:rsidRPr="00465D47" w:rsidRDefault="00A51AB0" w:rsidP="00465D47">
      <w:pPr>
        <w:spacing w:line="360" w:lineRule="auto"/>
        <w:ind w:left="2160" w:firstLine="720"/>
        <w:jc w:val="both"/>
        <w:rPr>
          <w:b/>
          <w:bCs/>
          <w:lang w:val="sq-AL"/>
        </w:rPr>
      </w:pPr>
      <w:r w:rsidRPr="00465D47">
        <w:rPr>
          <w:b/>
          <w:lang w:val="sq-AL"/>
        </w:rPr>
        <w:t>TIRANË</w:t>
      </w:r>
    </w:p>
    <w:p w:rsidR="00537B69" w:rsidRPr="00465D47" w:rsidRDefault="00537B69" w:rsidP="00465D47">
      <w:pPr>
        <w:spacing w:line="360" w:lineRule="auto"/>
        <w:ind w:left="2160" w:firstLine="720"/>
        <w:jc w:val="both"/>
        <w:rPr>
          <w:b/>
          <w:bCs/>
          <w:lang w:val="sq-AL"/>
        </w:rPr>
      </w:pPr>
    </w:p>
    <w:p w:rsidR="00537B69" w:rsidRPr="00465D47" w:rsidRDefault="00537B69" w:rsidP="00465D47">
      <w:pPr>
        <w:spacing w:line="360" w:lineRule="auto"/>
        <w:ind w:left="2880" w:hanging="2160"/>
        <w:jc w:val="both"/>
        <w:rPr>
          <w:b/>
          <w:bCs/>
          <w:lang w:val="sq-AL"/>
        </w:rPr>
      </w:pPr>
      <w:r w:rsidRPr="00465D47">
        <w:rPr>
          <w:b/>
          <w:bCs/>
          <w:lang w:val="sq-AL"/>
        </w:rPr>
        <w:t>OBJEKTI:</w:t>
      </w:r>
      <w:r w:rsidRPr="00465D47">
        <w:rPr>
          <w:b/>
          <w:bCs/>
          <w:lang w:val="sq-AL"/>
        </w:rPr>
        <w:tab/>
      </w:r>
      <w:r w:rsidR="0084506A" w:rsidRPr="00465D47">
        <w:rPr>
          <w:b/>
          <w:lang w:val="sq-AL"/>
        </w:rPr>
        <w:t xml:space="preserve">Shfuqizimi si i papajtueshëm me </w:t>
      </w:r>
      <w:r w:rsidR="00543C56" w:rsidRPr="00465D47">
        <w:rPr>
          <w:b/>
          <w:lang w:val="sq-AL"/>
        </w:rPr>
        <w:t>Kushtetut</w:t>
      </w:r>
      <w:r w:rsidR="00DE7D0E" w:rsidRPr="00465D47">
        <w:rPr>
          <w:b/>
          <w:lang w:val="sq-AL"/>
        </w:rPr>
        <w:t>ë</w:t>
      </w:r>
      <w:r w:rsidR="00543C56" w:rsidRPr="00465D47">
        <w:rPr>
          <w:b/>
          <w:lang w:val="sq-AL"/>
        </w:rPr>
        <w:t>n e Republik</w:t>
      </w:r>
      <w:r w:rsidR="00DE7D0E" w:rsidRPr="00465D47">
        <w:rPr>
          <w:b/>
          <w:lang w:val="sq-AL"/>
        </w:rPr>
        <w:t>ë</w:t>
      </w:r>
      <w:r w:rsidR="00543C56" w:rsidRPr="00465D47">
        <w:rPr>
          <w:b/>
          <w:lang w:val="sq-AL"/>
        </w:rPr>
        <w:t>s s</w:t>
      </w:r>
      <w:r w:rsidR="00DE7D0E" w:rsidRPr="00465D47">
        <w:rPr>
          <w:b/>
          <w:lang w:val="sq-AL"/>
        </w:rPr>
        <w:t>ë</w:t>
      </w:r>
      <w:r w:rsidR="00543C56" w:rsidRPr="00465D47">
        <w:rPr>
          <w:b/>
          <w:lang w:val="sq-AL"/>
        </w:rPr>
        <w:t xml:space="preserve"> Shqip</w:t>
      </w:r>
      <w:r w:rsidR="00DE7D0E" w:rsidRPr="00465D47">
        <w:rPr>
          <w:b/>
          <w:lang w:val="sq-AL"/>
        </w:rPr>
        <w:t>ë</w:t>
      </w:r>
      <w:r w:rsidR="00543C56" w:rsidRPr="00465D47">
        <w:rPr>
          <w:b/>
          <w:lang w:val="sq-AL"/>
        </w:rPr>
        <w:t>ris</w:t>
      </w:r>
      <w:r w:rsidR="00DE7D0E" w:rsidRPr="00465D47">
        <w:rPr>
          <w:b/>
          <w:lang w:val="sq-AL"/>
        </w:rPr>
        <w:t>ë</w:t>
      </w:r>
      <w:r w:rsidR="00543C56" w:rsidRPr="00465D47">
        <w:rPr>
          <w:b/>
          <w:lang w:val="sq-AL"/>
        </w:rPr>
        <w:t xml:space="preserve"> i </w:t>
      </w:r>
      <w:r w:rsidR="0084506A" w:rsidRPr="00465D47">
        <w:rPr>
          <w:b/>
          <w:lang w:val="sq-AL"/>
        </w:rPr>
        <w:t>neni</w:t>
      </w:r>
      <w:r w:rsidR="00543C56" w:rsidRPr="00465D47">
        <w:rPr>
          <w:b/>
          <w:lang w:val="sq-AL"/>
        </w:rPr>
        <w:t>t 7</w:t>
      </w:r>
      <w:r w:rsidR="0084506A" w:rsidRPr="00465D47">
        <w:rPr>
          <w:b/>
          <w:lang w:val="sq-AL"/>
        </w:rPr>
        <w:t>, pika</w:t>
      </w:r>
      <w:r w:rsidR="00A567AD" w:rsidRPr="00465D47">
        <w:rPr>
          <w:b/>
          <w:lang w:val="sq-AL"/>
        </w:rPr>
        <w:t xml:space="preserve"> 2</w:t>
      </w:r>
      <w:r w:rsidR="004E1EA8" w:rsidRPr="00465D47">
        <w:rPr>
          <w:b/>
          <w:lang w:val="sq-AL"/>
        </w:rPr>
        <w:t xml:space="preserve">, </w:t>
      </w:r>
      <w:r w:rsidR="0084506A" w:rsidRPr="00465D47">
        <w:rPr>
          <w:b/>
          <w:lang w:val="sq-AL"/>
        </w:rPr>
        <w:t xml:space="preserve">të ligjit </w:t>
      </w:r>
      <w:r w:rsidR="00A567AD" w:rsidRPr="00465D47">
        <w:rPr>
          <w:b/>
          <w:lang w:val="sq-AL"/>
        </w:rPr>
        <w:t>nr.</w:t>
      </w:r>
      <w:r w:rsidR="00543C56" w:rsidRPr="00465D47">
        <w:rPr>
          <w:b/>
          <w:lang w:val="sq-AL"/>
        </w:rPr>
        <w:t xml:space="preserve"> </w:t>
      </w:r>
      <w:r w:rsidR="00A567AD" w:rsidRPr="00465D47">
        <w:rPr>
          <w:b/>
          <w:lang w:val="sq-AL"/>
        </w:rPr>
        <w:t>133/2015 “</w:t>
      </w:r>
      <w:r w:rsidR="0084506A" w:rsidRPr="00465D47">
        <w:rPr>
          <w:b/>
          <w:lang w:val="sq-AL"/>
        </w:rPr>
        <w:t>Për trajtimin e pronës dhe përfundimin e proc</w:t>
      </w:r>
      <w:r w:rsidR="00A567AD" w:rsidRPr="00465D47">
        <w:rPr>
          <w:b/>
          <w:lang w:val="sq-AL"/>
        </w:rPr>
        <w:t>esit të kompensimit të pronave”.</w:t>
      </w:r>
    </w:p>
    <w:p w:rsidR="00537B69" w:rsidRPr="00465D47" w:rsidRDefault="00537B69" w:rsidP="00465D47">
      <w:pPr>
        <w:spacing w:line="360" w:lineRule="auto"/>
        <w:ind w:left="2880" w:hanging="2160"/>
        <w:jc w:val="both"/>
        <w:rPr>
          <w:b/>
          <w:lang w:val="sq-AL"/>
        </w:rPr>
      </w:pPr>
    </w:p>
    <w:p w:rsidR="0084506A" w:rsidRPr="00465D47" w:rsidRDefault="00537B69" w:rsidP="00465D47">
      <w:pPr>
        <w:spacing w:line="360" w:lineRule="auto"/>
        <w:ind w:left="2880" w:hanging="2160"/>
        <w:jc w:val="both"/>
        <w:rPr>
          <w:lang w:val="sq-AL"/>
        </w:rPr>
      </w:pPr>
      <w:r w:rsidRPr="00465D47">
        <w:rPr>
          <w:b/>
          <w:lang w:val="sq-AL"/>
        </w:rPr>
        <w:t>BAZA LIGJORE:</w:t>
      </w:r>
      <w:r w:rsidRPr="00465D47">
        <w:rPr>
          <w:b/>
          <w:lang w:val="sq-AL"/>
        </w:rPr>
        <w:tab/>
      </w:r>
      <w:r w:rsidRPr="00465D47">
        <w:rPr>
          <w:lang w:val="sq-AL"/>
        </w:rPr>
        <w:t>Nenet  131</w:t>
      </w:r>
      <w:r w:rsidR="004E1EA8" w:rsidRPr="00465D47">
        <w:rPr>
          <w:lang w:val="sq-AL"/>
        </w:rPr>
        <w:t xml:space="preserve">, pika </w:t>
      </w:r>
      <w:r w:rsidR="0084506A" w:rsidRPr="00465D47">
        <w:rPr>
          <w:lang w:val="sq-AL"/>
        </w:rPr>
        <w:t>1</w:t>
      </w:r>
      <w:r w:rsidR="004E1EA8" w:rsidRPr="00465D47">
        <w:rPr>
          <w:lang w:val="sq-AL"/>
        </w:rPr>
        <w:t>, shkronja “</w:t>
      </w:r>
      <w:r w:rsidR="0084506A" w:rsidRPr="00465D47">
        <w:rPr>
          <w:lang w:val="sq-AL"/>
        </w:rPr>
        <w:t>a</w:t>
      </w:r>
      <w:r w:rsidR="004E1EA8" w:rsidRPr="00465D47">
        <w:rPr>
          <w:lang w:val="sq-AL"/>
        </w:rPr>
        <w:t>, 1</w:t>
      </w:r>
      <w:r w:rsidR="00DE7D0E" w:rsidRPr="00465D47">
        <w:rPr>
          <w:lang w:val="sq-AL"/>
        </w:rPr>
        <w:t>34</w:t>
      </w:r>
      <w:r w:rsidR="004E1EA8" w:rsidRPr="00465D47">
        <w:rPr>
          <w:lang w:val="sq-AL"/>
        </w:rPr>
        <w:t xml:space="preserve">, pika </w:t>
      </w:r>
      <w:r w:rsidR="00DE7D0E" w:rsidRPr="00465D47">
        <w:rPr>
          <w:lang w:val="sq-AL"/>
        </w:rPr>
        <w:t>1</w:t>
      </w:r>
      <w:r w:rsidR="004E1EA8" w:rsidRPr="00465D47">
        <w:rPr>
          <w:lang w:val="sq-AL"/>
        </w:rPr>
        <w:t>, shkronja “</w:t>
      </w:r>
      <w:r w:rsidR="00DE7D0E" w:rsidRPr="00465D47">
        <w:rPr>
          <w:lang w:val="sq-AL"/>
        </w:rPr>
        <w:t>dh</w:t>
      </w:r>
      <w:r w:rsidR="002359AC">
        <w:rPr>
          <w:lang w:val="sq-AL"/>
        </w:rPr>
        <w:t>”</w:t>
      </w:r>
      <w:r w:rsidR="00DE7D0E" w:rsidRPr="00465D47">
        <w:rPr>
          <w:lang w:val="sq-AL"/>
        </w:rPr>
        <w:t xml:space="preserve"> dhe </w:t>
      </w:r>
      <w:r w:rsidR="0084506A" w:rsidRPr="00465D47">
        <w:rPr>
          <w:lang w:val="sq-AL"/>
        </w:rPr>
        <w:t>145</w:t>
      </w:r>
      <w:r w:rsidR="004E1EA8" w:rsidRPr="00465D47">
        <w:rPr>
          <w:lang w:val="sq-AL"/>
        </w:rPr>
        <w:t xml:space="preserve">, pika </w:t>
      </w:r>
      <w:r w:rsidR="0084506A" w:rsidRPr="00465D47">
        <w:rPr>
          <w:lang w:val="sq-AL"/>
        </w:rPr>
        <w:t>2</w:t>
      </w:r>
      <w:r w:rsidR="002359AC">
        <w:rPr>
          <w:lang w:val="sq-AL"/>
        </w:rPr>
        <w:t>,</w:t>
      </w:r>
      <w:r w:rsidRPr="00465D47">
        <w:rPr>
          <w:lang w:val="sq-AL"/>
        </w:rPr>
        <w:t xml:space="preserve"> të Kushtetutës së Republikës së Shqipërisë</w:t>
      </w:r>
      <w:r w:rsidR="0084506A" w:rsidRPr="00465D47">
        <w:rPr>
          <w:lang w:val="sq-AL"/>
        </w:rPr>
        <w:t xml:space="preserve">; </w:t>
      </w:r>
      <w:r w:rsidRPr="00465D47">
        <w:rPr>
          <w:lang w:val="sq-AL"/>
        </w:rPr>
        <w:t xml:space="preserve"> </w:t>
      </w:r>
      <w:r w:rsidR="00543C56" w:rsidRPr="00465D47">
        <w:rPr>
          <w:lang w:val="sq-AL"/>
        </w:rPr>
        <w:t xml:space="preserve">neni 68 i </w:t>
      </w:r>
      <w:r w:rsidR="0084506A" w:rsidRPr="00465D47">
        <w:rPr>
          <w:lang w:val="sq-AL"/>
        </w:rPr>
        <w:t>ligji</w:t>
      </w:r>
      <w:r w:rsidR="00543C56" w:rsidRPr="00465D47">
        <w:rPr>
          <w:lang w:val="sq-AL"/>
        </w:rPr>
        <w:t>t</w:t>
      </w:r>
      <w:r w:rsidR="0084506A" w:rsidRPr="00465D47">
        <w:rPr>
          <w:lang w:val="sq-AL"/>
        </w:rPr>
        <w:t xml:space="preserve"> </w:t>
      </w:r>
      <w:r w:rsidR="0084506A" w:rsidRPr="00465D47">
        <w:rPr>
          <w:bCs/>
          <w:lang w:val="sq-AL"/>
        </w:rPr>
        <w:t>nr.</w:t>
      </w:r>
      <w:r w:rsidR="00543C56" w:rsidRPr="00465D47">
        <w:rPr>
          <w:bCs/>
          <w:lang w:val="sq-AL"/>
        </w:rPr>
        <w:t xml:space="preserve"> </w:t>
      </w:r>
      <w:r w:rsidR="0084506A" w:rsidRPr="00465D47">
        <w:rPr>
          <w:bCs/>
          <w:lang w:val="sq-AL"/>
        </w:rPr>
        <w:t>8577, datë 10.</w:t>
      </w:r>
      <w:r w:rsidR="00543C56" w:rsidRPr="00465D47">
        <w:rPr>
          <w:bCs/>
          <w:lang w:val="sq-AL"/>
        </w:rPr>
        <w:t>0</w:t>
      </w:r>
      <w:r w:rsidR="002359AC">
        <w:rPr>
          <w:bCs/>
          <w:lang w:val="sq-AL"/>
        </w:rPr>
        <w:t>2.2000</w:t>
      </w:r>
      <w:r w:rsidR="0084506A" w:rsidRPr="00465D47">
        <w:rPr>
          <w:bCs/>
          <w:lang w:val="sq-AL"/>
        </w:rPr>
        <w:t xml:space="preserve"> “Për organizimin dhe funksionimin e Gjykatës Kushtetuese të Shqipërisë”, </w:t>
      </w:r>
      <w:r w:rsidR="004E1EA8" w:rsidRPr="00465D47">
        <w:rPr>
          <w:bCs/>
          <w:lang w:val="sq-AL"/>
        </w:rPr>
        <w:t>të</w:t>
      </w:r>
      <w:r w:rsidR="0084506A" w:rsidRPr="00465D47">
        <w:rPr>
          <w:bCs/>
          <w:lang w:val="sq-AL"/>
        </w:rPr>
        <w:t xml:space="preserve"> ndryshuar</w:t>
      </w:r>
      <w:r w:rsidR="004E1EA8" w:rsidRPr="00465D47">
        <w:rPr>
          <w:bCs/>
          <w:lang w:val="sq-AL"/>
        </w:rPr>
        <w:t xml:space="preserve"> (</w:t>
      </w:r>
      <w:r w:rsidR="004E1EA8" w:rsidRPr="00465D47">
        <w:rPr>
          <w:bCs/>
          <w:i/>
          <w:lang w:val="sq-AL"/>
        </w:rPr>
        <w:t>ligji nr. 8577/2000</w:t>
      </w:r>
      <w:r w:rsidR="004E1EA8" w:rsidRPr="00465D47">
        <w:rPr>
          <w:bCs/>
          <w:lang w:val="sq-AL"/>
        </w:rPr>
        <w:t>)</w:t>
      </w:r>
      <w:r w:rsidR="0084506A" w:rsidRPr="00465D47">
        <w:rPr>
          <w:bCs/>
          <w:lang w:val="sq-AL"/>
        </w:rPr>
        <w:t>.</w:t>
      </w:r>
    </w:p>
    <w:p w:rsidR="0084506A" w:rsidRPr="00465D47" w:rsidRDefault="00543C56" w:rsidP="00465D47">
      <w:pPr>
        <w:pStyle w:val="BodyTextIndent"/>
        <w:spacing w:after="0" w:line="360" w:lineRule="auto"/>
        <w:ind w:left="0" w:firstLine="720"/>
        <w:jc w:val="both"/>
      </w:pPr>
      <w:r w:rsidRPr="00465D47">
        <w:t>Kolegji i</w:t>
      </w:r>
      <w:r w:rsidR="0084506A" w:rsidRPr="00465D47">
        <w:t xml:space="preserve"> Gjykatës Kushtetuese (</w:t>
      </w:r>
      <w:r w:rsidRPr="00465D47">
        <w:rPr>
          <w:i/>
        </w:rPr>
        <w:t>Kolegji</w:t>
      </w:r>
      <w:r w:rsidR="0084506A" w:rsidRPr="00465D47">
        <w:t>), pasi shqyrtoi kërkesën, dokumentet shoqëruese dhe diskutoi çështjen në tërësi,</w:t>
      </w:r>
    </w:p>
    <w:p w:rsidR="00537B69" w:rsidRPr="00465D47" w:rsidRDefault="00537B69" w:rsidP="00465D47">
      <w:pPr>
        <w:spacing w:line="360" w:lineRule="auto"/>
        <w:jc w:val="both"/>
        <w:rPr>
          <w:lang w:val="sq-AL"/>
        </w:rPr>
      </w:pPr>
    </w:p>
    <w:p w:rsidR="00537B69" w:rsidRPr="00465D47" w:rsidRDefault="00537B69" w:rsidP="00465D47">
      <w:pPr>
        <w:spacing w:line="360" w:lineRule="auto"/>
        <w:jc w:val="center"/>
        <w:rPr>
          <w:b/>
          <w:bCs/>
          <w:lang w:val="sq-AL"/>
        </w:rPr>
      </w:pPr>
      <w:r w:rsidRPr="00465D47">
        <w:rPr>
          <w:b/>
          <w:bCs/>
          <w:lang w:val="sq-AL"/>
        </w:rPr>
        <w:t>V Ë R E N:</w:t>
      </w:r>
    </w:p>
    <w:p w:rsidR="00537B69" w:rsidRPr="00465D47" w:rsidRDefault="00537B69" w:rsidP="00465D47">
      <w:pPr>
        <w:spacing w:line="360" w:lineRule="auto"/>
        <w:jc w:val="center"/>
        <w:rPr>
          <w:b/>
          <w:bCs/>
          <w:lang w:val="sq-AL"/>
        </w:rPr>
      </w:pPr>
      <w:r w:rsidRPr="00465D47">
        <w:rPr>
          <w:b/>
          <w:bCs/>
          <w:lang w:val="sq-AL"/>
        </w:rPr>
        <w:t>I</w:t>
      </w:r>
    </w:p>
    <w:p w:rsidR="00240D0B" w:rsidRPr="00465D47" w:rsidRDefault="00240D0B" w:rsidP="00465D47">
      <w:pPr>
        <w:spacing w:line="360" w:lineRule="auto"/>
        <w:jc w:val="center"/>
        <w:rPr>
          <w:b/>
          <w:bCs/>
          <w:lang w:val="sq-AL"/>
        </w:rPr>
      </w:pPr>
      <w:r w:rsidRPr="00465D47">
        <w:rPr>
          <w:b/>
          <w:bCs/>
          <w:lang w:val="sq-AL"/>
        </w:rPr>
        <w:t>Rrethanat e çështjes</w:t>
      </w:r>
    </w:p>
    <w:p w:rsidR="000B0F85" w:rsidRPr="00465D47" w:rsidRDefault="0084506A" w:rsidP="00465D47">
      <w:pPr>
        <w:spacing w:line="360" w:lineRule="auto"/>
        <w:ind w:firstLine="720"/>
        <w:jc w:val="both"/>
        <w:rPr>
          <w:lang w:val="sq-AL"/>
        </w:rPr>
      </w:pPr>
      <w:r w:rsidRPr="00465D47">
        <w:rPr>
          <w:lang w:val="sq-AL"/>
        </w:rPr>
        <w:t xml:space="preserve">1. Gjykata e </w:t>
      </w:r>
      <w:r w:rsidR="00543C56" w:rsidRPr="00465D47">
        <w:rPr>
          <w:lang w:val="sq-AL"/>
        </w:rPr>
        <w:t xml:space="preserve">Administrative e Shkallës së Parë </w:t>
      </w:r>
      <w:r w:rsidRPr="00465D47">
        <w:rPr>
          <w:lang w:val="sq-AL"/>
        </w:rPr>
        <w:t>Tiranë (</w:t>
      </w:r>
      <w:r w:rsidR="00543C56" w:rsidRPr="00465D47">
        <w:rPr>
          <w:i/>
          <w:lang w:val="sq-AL"/>
        </w:rPr>
        <w:t>g</w:t>
      </w:r>
      <w:r w:rsidRPr="00465D47">
        <w:rPr>
          <w:i/>
          <w:lang w:val="sq-AL"/>
        </w:rPr>
        <w:t>jykata referuese</w:t>
      </w:r>
      <w:r w:rsidRPr="00465D47">
        <w:rPr>
          <w:lang w:val="sq-AL"/>
        </w:rPr>
        <w:t xml:space="preserve">) </w:t>
      </w:r>
      <w:r w:rsidR="00543C56" w:rsidRPr="00465D47">
        <w:rPr>
          <w:lang w:val="sq-AL"/>
        </w:rPr>
        <w:t xml:space="preserve">është vënë në lëvizje për të shqyrtuar </w:t>
      </w:r>
      <w:r w:rsidRPr="00465D47">
        <w:rPr>
          <w:lang w:val="sq-AL"/>
        </w:rPr>
        <w:t xml:space="preserve">çështjen me paditës </w:t>
      </w:r>
      <w:r w:rsidR="00543C56" w:rsidRPr="00465D47">
        <w:rPr>
          <w:lang w:val="sq-AL"/>
        </w:rPr>
        <w:t>shtetasit L.H.</w:t>
      </w:r>
      <w:r w:rsidRPr="00465D47">
        <w:rPr>
          <w:lang w:val="sq-AL"/>
        </w:rPr>
        <w:t xml:space="preserve">, </w:t>
      </w:r>
      <w:r w:rsidR="00543C56" w:rsidRPr="00465D47">
        <w:rPr>
          <w:lang w:val="sq-AL"/>
        </w:rPr>
        <w:t xml:space="preserve">S.T., P.M., F.T., M.F., A.T., F.B., G.A., </w:t>
      </w:r>
      <w:r w:rsidR="00543C56" w:rsidRPr="00465D47">
        <w:rPr>
          <w:lang w:val="sq-AL"/>
        </w:rPr>
        <w:lastRenderedPageBreak/>
        <w:t>S</w:t>
      </w:r>
      <w:r w:rsidR="004E1EA8" w:rsidRPr="00465D47">
        <w:rPr>
          <w:lang w:val="sq-AL"/>
        </w:rPr>
        <w:t>H</w:t>
      </w:r>
      <w:r w:rsidR="00543C56" w:rsidRPr="00465D47">
        <w:rPr>
          <w:lang w:val="sq-AL"/>
        </w:rPr>
        <w:t>.T., E.T. dhe A.T., m</w:t>
      </w:r>
      <w:r w:rsidRPr="00465D47">
        <w:rPr>
          <w:lang w:val="sq-AL"/>
        </w:rPr>
        <w:t>e të paditur</w:t>
      </w:r>
      <w:r w:rsidR="00543C56" w:rsidRPr="00465D47">
        <w:rPr>
          <w:lang w:val="sq-AL"/>
        </w:rPr>
        <w:t xml:space="preserve"> Këshilli i Ministrave dhe</w:t>
      </w:r>
      <w:r w:rsidRPr="00465D47">
        <w:rPr>
          <w:lang w:val="sq-AL"/>
        </w:rPr>
        <w:t xml:space="preserve"> Agjenci</w:t>
      </w:r>
      <w:r w:rsidR="00543C56" w:rsidRPr="00465D47">
        <w:rPr>
          <w:lang w:val="sq-AL"/>
        </w:rPr>
        <w:t xml:space="preserve">a </w:t>
      </w:r>
      <w:r w:rsidRPr="00465D47">
        <w:rPr>
          <w:lang w:val="sq-AL"/>
        </w:rPr>
        <w:t>e Trajtimit të Pronave (</w:t>
      </w:r>
      <w:r w:rsidRPr="00465D47">
        <w:rPr>
          <w:i/>
          <w:lang w:val="sq-AL"/>
        </w:rPr>
        <w:t>ATP</w:t>
      </w:r>
      <w:r w:rsidRPr="00465D47">
        <w:rPr>
          <w:lang w:val="sq-AL"/>
        </w:rPr>
        <w:t>), me objekt: “</w:t>
      </w:r>
      <w:r w:rsidR="00543C56" w:rsidRPr="00465D47">
        <w:rPr>
          <w:i/>
          <w:lang w:val="sq-AL"/>
        </w:rPr>
        <w:t>1. Detyrimi i t</w:t>
      </w:r>
      <w:r w:rsidR="00DE7D0E" w:rsidRPr="00465D47">
        <w:rPr>
          <w:i/>
          <w:lang w:val="sq-AL"/>
        </w:rPr>
        <w:t>ë</w:t>
      </w:r>
      <w:r w:rsidR="00543C56" w:rsidRPr="00465D47">
        <w:rPr>
          <w:i/>
          <w:lang w:val="sq-AL"/>
        </w:rPr>
        <w:t xml:space="preserve"> paditurit t</w:t>
      </w:r>
      <w:r w:rsidR="00DE7D0E" w:rsidRPr="00465D47">
        <w:rPr>
          <w:i/>
          <w:lang w:val="sq-AL"/>
        </w:rPr>
        <w:t>ë</w:t>
      </w:r>
      <w:r w:rsidR="00543C56" w:rsidRPr="00465D47">
        <w:rPr>
          <w:i/>
          <w:lang w:val="sq-AL"/>
        </w:rPr>
        <w:t xml:space="preserve"> kompensoj</w:t>
      </w:r>
      <w:r w:rsidR="00DE7D0E" w:rsidRPr="00465D47">
        <w:rPr>
          <w:i/>
          <w:lang w:val="sq-AL"/>
        </w:rPr>
        <w:t>ë</w:t>
      </w:r>
      <w:r w:rsidR="00543C56" w:rsidRPr="00465D47">
        <w:rPr>
          <w:i/>
          <w:lang w:val="sq-AL"/>
        </w:rPr>
        <w:t xml:space="preserve"> sip. 3,103 m</w:t>
      </w:r>
      <w:r w:rsidR="002359AC">
        <w:rPr>
          <w:i/>
          <w:lang w:val="sq-AL"/>
        </w:rPr>
        <w:t>²</w:t>
      </w:r>
      <w:r w:rsidR="00543C56" w:rsidRPr="00465D47">
        <w:rPr>
          <w:i/>
          <w:lang w:val="sq-AL"/>
        </w:rPr>
        <w:t>, e njohur n</w:t>
      </w:r>
      <w:r w:rsidR="00DE7D0E" w:rsidRPr="00465D47">
        <w:rPr>
          <w:i/>
          <w:lang w:val="sq-AL"/>
        </w:rPr>
        <w:t>ë</w:t>
      </w:r>
      <w:r w:rsidR="00543C56" w:rsidRPr="00465D47">
        <w:rPr>
          <w:i/>
          <w:lang w:val="sq-AL"/>
        </w:rPr>
        <w:t xml:space="preserve"> pron</w:t>
      </w:r>
      <w:r w:rsidR="00DE7D0E" w:rsidRPr="00465D47">
        <w:rPr>
          <w:i/>
          <w:lang w:val="sq-AL"/>
        </w:rPr>
        <w:t>ë</w:t>
      </w:r>
      <w:r w:rsidR="00543C56" w:rsidRPr="00465D47">
        <w:rPr>
          <w:i/>
          <w:lang w:val="sq-AL"/>
        </w:rPr>
        <w:t>si t</w:t>
      </w:r>
      <w:r w:rsidR="00DE7D0E" w:rsidRPr="00465D47">
        <w:rPr>
          <w:i/>
          <w:lang w:val="sq-AL"/>
        </w:rPr>
        <w:t>ë</w:t>
      </w:r>
      <w:r w:rsidR="00543C56" w:rsidRPr="00465D47">
        <w:rPr>
          <w:i/>
          <w:lang w:val="sq-AL"/>
        </w:rPr>
        <w:t xml:space="preserve"> padit</w:t>
      </w:r>
      <w:r w:rsidR="00DE7D0E" w:rsidRPr="00465D47">
        <w:rPr>
          <w:i/>
          <w:lang w:val="sq-AL"/>
        </w:rPr>
        <w:t>ë</w:t>
      </w:r>
      <w:r w:rsidR="00543C56" w:rsidRPr="00465D47">
        <w:rPr>
          <w:i/>
          <w:lang w:val="sq-AL"/>
        </w:rPr>
        <w:t>save me vendim t</w:t>
      </w:r>
      <w:r w:rsidR="00DE7D0E" w:rsidRPr="00465D47">
        <w:rPr>
          <w:i/>
          <w:lang w:val="sq-AL"/>
        </w:rPr>
        <w:t>ë</w:t>
      </w:r>
      <w:r w:rsidR="00543C56" w:rsidRPr="00465D47">
        <w:rPr>
          <w:i/>
          <w:lang w:val="sq-AL"/>
        </w:rPr>
        <w:t xml:space="preserve"> Komisionit t</w:t>
      </w:r>
      <w:r w:rsidR="00DE7D0E" w:rsidRPr="00465D47">
        <w:rPr>
          <w:i/>
          <w:lang w:val="sq-AL"/>
        </w:rPr>
        <w:t>ë</w:t>
      </w:r>
      <w:r w:rsidR="00543C56" w:rsidRPr="00465D47">
        <w:rPr>
          <w:i/>
          <w:lang w:val="sq-AL"/>
        </w:rPr>
        <w:t xml:space="preserve"> KK Pronave nr. 723, dt. 19.02.1996. 2. Detyrimi i t</w:t>
      </w:r>
      <w:r w:rsidR="00DE7D0E" w:rsidRPr="00465D47">
        <w:rPr>
          <w:i/>
          <w:lang w:val="sq-AL"/>
        </w:rPr>
        <w:t>ë</w:t>
      </w:r>
      <w:r w:rsidR="00543C56" w:rsidRPr="00465D47">
        <w:rPr>
          <w:i/>
          <w:lang w:val="sq-AL"/>
        </w:rPr>
        <w:t xml:space="preserve"> paditurit t</w:t>
      </w:r>
      <w:r w:rsidR="00DE7D0E" w:rsidRPr="00465D47">
        <w:rPr>
          <w:i/>
          <w:lang w:val="sq-AL"/>
        </w:rPr>
        <w:t>ë</w:t>
      </w:r>
      <w:r w:rsidR="00543C56" w:rsidRPr="00465D47">
        <w:rPr>
          <w:i/>
          <w:lang w:val="sq-AL"/>
        </w:rPr>
        <w:t xml:space="preserve"> kompensoj</w:t>
      </w:r>
      <w:r w:rsidR="00DE7D0E" w:rsidRPr="00465D47">
        <w:rPr>
          <w:i/>
          <w:lang w:val="sq-AL"/>
        </w:rPr>
        <w:t>ë</w:t>
      </w:r>
      <w:r w:rsidR="002359AC">
        <w:rPr>
          <w:i/>
          <w:lang w:val="sq-AL"/>
        </w:rPr>
        <w:t xml:space="preserve"> sip. 19,825 m²</w:t>
      </w:r>
      <w:r w:rsidR="00543C56" w:rsidRPr="00465D47">
        <w:rPr>
          <w:i/>
          <w:lang w:val="sq-AL"/>
        </w:rPr>
        <w:t>, e njohur n</w:t>
      </w:r>
      <w:r w:rsidR="00DE7D0E" w:rsidRPr="00465D47">
        <w:rPr>
          <w:i/>
          <w:lang w:val="sq-AL"/>
        </w:rPr>
        <w:t>ë</w:t>
      </w:r>
      <w:r w:rsidR="00543C56" w:rsidRPr="00465D47">
        <w:rPr>
          <w:i/>
          <w:lang w:val="sq-AL"/>
        </w:rPr>
        <w:t xml:space="preserve"> pron</w:t>
      </w:r>
      <w:r w:rsidR="00DE7D0E" w:rsidRPr="00465D47">
        <w:rPr>
          <w:i/>
          <w:lang w:val="sq-AL"/>
        </w:rPr>
        <w:t>ë</w:t>
      </w:r>
      <w:r w:rsidR="00543C56" w:rsidRPr="00465D47">
        <w:rPr>
          <w:i/>
          <w:lang w:val="sq-AL"/>
        </w:rPr>
        <w:t>si t</w:t>
      </w:r>
      <w:r w:rsidR="00DE7D0E" w:rsidRPr="00465D47">
        <w:rPr>
          <w:i/>
          <w:lang w:val="sq-AL"/>
        </w:rPr>
        <w:t>ë</w:t>
      </w:r>
      <w:r w:rsidR="00543C56" w:rsidRPr="00465D47">
        <w:rPr>
          <w:i/>
          <w:lang w:val="sq-AL"/>
        </w:rPr>
        <w:t xml:space="preserve"> padit</w:t>
      </w:r>
      <w:r w:rsidR="00DE7D0E" w:rsidRPr="00465D47">
        <w:rPr>
          <w:i/>
          <w:lang w:val="sq-AL"/>
        </w:rPr>
        <w:t>ë</w:t>
      </w:r>
      <w:r w:rsidR="00543C56" w:rsidRPr="00465D47">
        <w:rPr>
          <w:i/>
          <w:lang w:val="sq-AL"/>
        </w:rPr>
        <w:t>save me vendim t</w:t>
      </w:r>
      <w:r w:rsidR="00DE7D0E" w:rsidRPr="00465D47">
        <w:rPr>
          <w:i/>
          <w:lang w:val="sq-AL"/>
        </w:rPr>
        <w:t>ë</w:t>
      </w:r>
      <w:r w:rsidR="00543C56" w:rsidRPr="00465D47">
        <w:rPr>
          <w:i/>
          <w:lang w:val="sq-AL"/>
        </w:rPr>
        <w:t xml:space="preserve"> Komisionit t</w:t>
      </w:r>
      <w:r w:rsidR="00DE7D0E" w:rsidRPr="00465D47">
        <w:rPr>
          <w:i/>
          <w:lang w:val="sq-AL"/>
        </w:rPr>
        <w:t>ë</w:t>
      </w:r>
      <w:r w:rsidR="00543C56" w:rsidRPr="00465D47">
        <w:rPr>
          <w:i/>
          <w:lang w:val="sq-AL"/>
        </w:rPr>
        <w:t xml:space="preserve"> KK Pronave nr. 1233, dt. 06.11.1996. 3. Detyrimi i t</w:t>
      </w:r>
      <w:r w:rsidR="00DE7D0E" w:rsidRPr="00465D47">
        <w:rPr>
          <w:i/>
          <w:lang w:val="sq-AL"/>
        </w:rPr>
        <w:t>ë</w:t>
      </w:r>
      <w:r w:rsidR="00543C56" w:rsidRPr="00465D47">
        <w:rPr>
          <w:i/>
          <w:lang w:val="sq-AL"/>
        </w:rPr>
        <w:t xml:space="preserve"> paditurit t</w:t>
      </w:r>
      <w:r w:rsidR="00DE7D0E" w:rsidRPr="00465D47">
        <w:rPr>
          <w:i/>
          <w:lang w:val="sq-AL"/>
        </w:rPr>
        <w:t>ë</w:t>
      </w:r>
      <w:r w:rsidR="00543C56" w:rsidRPr="00465D47">
        <w:rPr>
          <w:i/>
          <w:lang w:val="sq-AL"/>
        </w:rPr>
        <w:t xml:space="preserve"> kompensoj</w:t>
      </w:r>
      <w:r w:rsidR="00DE7D0E" w:rsidRPr="00465D47">
        <w:rPr>
          <w:i/>
          <w:lang w:val="sq-AL"/>
        </w:rPr>
        <w:t>ë</w:t>
      </w:r>
      <w:r w:rsidR="00543C56" w:rsidRPr="00465D47">
        <w:rPr>
          <w:i/>
          <w:lang w:val="sq-AL"/>
        </w:rPr>
        <w:t xml:space="preserve"> sip. 150 m2, e njohur n</w:t>
      </w:r>
      <w:r w:rsidR="00DE7D0E" w:rsidRPr="00465D47">
        <w:rPr>
          <w:i/>
          <w:lang w:val="sq-AL"/>
        </w:rPr>
        <w:t>ë</w:t>
      </w:r>
      <w:r w:rsidR="00543C56" w:rsidRPr="00465D47">
        <w:rPr>
          <w:i/>
          <w:lang w:val="sq-AL"/>
        </w:rPr>
        <w:t xml:space="preserve"> pron</w:t>
      </w:r>
      <w:r w:rsidR="00DE7D0E" w:rsidRPr="00465D47">
        <w:rPr>
          <w:i/>
          <w:lang w:val="sq-AL"/>
        </w:rPr>
        <w:t>ë</w:t>
      </w:r>
      <w:r w:rsidR="00543C56" w:rsidRPr="00465D47">
        <w:rPr>
          <w:i/>
          <w:lang w:val="sq-AL"/>
        </w:rPr>
        <w:t>si t</w:t>
      </w:r>
      <w:r w:rsidR="00DE7D0E" w:rsidRPr="00465D47">
        <w:rPr>
          <w:i/>
          <w:lang w:val="sq-AL"/>
        </w:rPr>
        <w:t>ë</w:t>
      </w:r>
      <w:r w:rsidR="00543C56" w:rsidRPr="00465D47">
        <w:rPr>
          <w:i/>
          <w:lang w:val="sq-AL"/>
        </w:rPr>
        <w:t xml:space="preserve"> padit</w:t>
      </w:r>
      <w:r w:rsidR="00DE7D0E" w:rsidRPr="00465D47">
        <w:rPr>
          <w:i/>
          <w:lang w:val="sq-AL"/>
        </w:rPr>
        <w:t>ë</w:t>
      </w:r>
      <w:r w:rsidR="00543C56" w:rsidRPr="00465D47">
        <w:rPr>
          <w:i/>
          <w:lang w:val="sq-AL"/>
        </w:rPr>
        <w:t>save me vendim t</w:t>
      </w:r>
      <w:r w:rsidR="00DE7D0E" w:rsidRPr="00465D47">
        <w:rPr>
          <w:i/>
          <w:lang w:val="sq-AL"/>
        </w:rPr>
        <w:t>ë</w:t>
      </w:r>
      <w:r w:rsidR="00543C56" w:rsidRPr="00465D47">
        <w:rPr>
          <w:i/>
          <w:lang w:val="sq-AL"/>
        </w:rPr>
        <w:t xml:space="preserve"> Komisionit t</w:t>
      </w:r>
      <w:r w:rsidR="00DE7D0E" w:rsidRPr="00465D47">
        <w:rPr>
          <w:i/>
          <w:lang w:val="sq-AL"/>
        </w:rPr>
        <w:t>ë</w:t>
      </w:r>
      <w:r w:rsidR="00543C56" w:rsidRPr="00465D47">
        <w:rPr>
          <w:i/>
          <w:lang w:val="sq-AL"/>
        </w:rPr>
        <w:t xml:space="preserve"> KK Pronave nr. </w:t>
      </w:r>
      <w:r w:rsidR="000B0F85" w:rsidRPr="00465D47">
        <w:rPr>
          <w:i/>
          <w:lang w:val="sq-AL"/>
        </w:rPr>
        <w:t>1067,</w:t>
      </w:r>
      <w:r w:rsidR="00543C56" w:rsidRPr="00465D47">
        <w:rPr>
          <w:i/>
          <w:lang w:val="sq-AL"/>
        </w:rPr>
        <w:t xml:space="preserve"> dt. </w:t>
      </w:r>
      <w:r w:rsidR="000B0F85" w:rsidRPr="00465D47">
        <w:rPr>
          <w:i/>
          <w:lang w:val="sq-AL"/>
        </w:rPr>
        <w:t>14.09</w:t>
      </w:r>
      <w:r w:rsidR="00543C56" w:rsidRPr="00465D47">
        <w:rPr>
          <w:i/>
          <w:lang w:val="sq-AL"/>
        </w:rPr>
        <w:t>.1996.</w:t>
      </w:r>
      <w:r w:rsidR="000B0F85" w:rsidRPr="00465D47">
        <w:rPr>
          <w:i/>
          <w:lang w:val="sq-AL"/>
        </w:rPr>
        <w:t xml:space="preserve"> 4</w:t>
      </w:r>
      <w:r w:rsidR="00543C56" w:rsidRPr="00465D47">
        <w:rPr>
          <w:i/>
          <w:lang w:val="sq-AL"/>
        </w:rPr>
        <w:t>. Detyrimi i t</w:t>
      </w:r>
      <w:r w:rsidR="00DE7D0E" w:rsidRPr="00465D47">
        <w:rPr>
          <w:i/>
          <w:lang w:val="sq-AL"/>
        </w:rPr>
        <w:t>ë</w:t>
      </w:r>
      <w:r w:rsidR="00543C56" w:rsidRPr="00465D47">
        <w:rPr>
          <w:i/>
          <w:lang w:val="sq-AL"/>
        </w:rPr>
        <w:t xml:space="preserve"> paditurit t</w:t>
      </w:r>
      <w:r w:rsidR="00DE7D0E" w:rsidRPr="00465D47">
        <w:rPr>
          <w:i/>
          <w:lang w:val="sq-AL"/>
        </w:rPr>
        <w:t>ë</w:t>
      </w:r>
      <w:r w:rsidR="00543C56" w:rsidRPr="00465D47">
        <w:rPr>
          <w:i/>
          <w:lang w:val="sq-AL"/>
        </w:rPr>
        <w:t xml:space="preserve"> kompensoj</w:t>
      </w:r>
      <w:r w:rsidR="00DE7D0E" w:rsidRPr="00465D47">
        <w:rPr>
          <w:i/>
          <w:lang w:val="sq-AL"/>
        </w:rPr>
        <w:t>ë</w:t>
      </w:r>
      <w:r w:rsidR="00543C56" w:rsidRPr="00465D47">
        <w:rPr>
          <w:i/>
          <w:lang w:val="sq-AL"/>
        </w:rPr>
        <w:t xml:space="preserve"> sip. </w:t>
      </w:r>
      <w:r w:rsidR="000B0F85" w:rsidRPr="00465D47">
        <w:rPr>
          <w:i/>
          <w:lang w:val="sq-AL"/>
        </w:rPr>
        <w:t>15,657</w:t>
      </w:r>
      <w:r w:rsidR="00543C56" w:rsidRPr="00465D47">
        <w:rPr>
          <w:i/>
          <w:lang w:val="sq-AL"/>
        </w:rPr>
        <w:t xml:space="preserve"> m</w:t>
      </w:r>
      <w:r w:rsidR="002359AC">
        <w:rPr>
          <w:i/>
          <w:lang w:val="sq-AL"/>
        </w:rPr>
        <w:t>²</w:t>
      </w:r>
      <w:r w:rsidR="00543C56" w:rsidRPr="00465D47">
        <w:rPr>
          <w:i/>
          <w:lang w:val="sq-AL"/>
        </w:rPr>
        <w:t>, e njohur n</w:t>
      </w:r>
      <w:r w:rsidR="00DE7D0E" w:rsidRPr="00465D47">
        <w:rPr>
          <w:i/>
          <w:lang w:val="sq-AL"/>
        </w:rPr>
        <w:t>ë</w:t>
      </w:r>
      <w:r w:rsidR="00543C56" w:rsidRPr="00465D47">
        <w:rPr>
          <w:i/>
          <w:lang w:val="sq-AL"/>
        </w:rPr>
        <w:t xml:space="preserve"> pron</w:t>
      </w:r>
      <w:r w:rsidR="00DE7D0E" w:rsidRPr="00465D47">
        <w:rPr>
          <w:i/>
          <w:lang w:val="sq-AL"/>
        </w:rPr>
        <w:t>ë</w:t>
      </w:r>
      <w:r w:rsidR="00543C56" w:rsidRPr="00465D47">
        <w:rPr>
          <w:i/>
          <w:lang w:val="sq-AL"/>
        </w:rPr>
        <w:t>si t</w:t>
      </w:r>
      <w:r w:rsidR="00DE7D0E" w:rsidRPr="00465D47">
        <w:rPr>
          <w:i/>
          <w:lang w:val="sq-AL"/>
        </w:rPr>
        <w:t>ë</w:t>
      </w:r>
      <w:r w:rsidR="00543C56" w:rsidRPr="00465D47">
        <w:rPr>
          <w:i/>
          <w:lang w:val="sq-AL"/>
        </w:rPr>
        <w:t xml:space="preserve"> padit</w:t>
      </w:r>
      <w:r w:rsidR="00DE7D0E" w:rsidRPr="00465D47">
        <w:rPr>
          <w:i/>
          <w:lang w:val="sq-AL"/>
        </w:rPr>
        <w:t>ë</w:t>
      </w:r>
      <w:r w:rsidR="00543C56" w:rsidRPr="00465D47">
        <w:rPr>
          <w:i/>
          <w:lang w:val="sq-AL"/>
        </w:rPr>
        <w:t>save me vendim t</w:t>
      </w:r>
      <w:r w:rsidR="00DE7D0E" w:rsidRPr="00465D47">
        <w:rPr>
          <w:i/>
          <w:lang w:val="sq-AL"/>
        </w:rPr>
        <w:t>ë</w:t>
      </w:r>
      <w:r w:rsidR="00543C56" w:rsidRPr="00465D47">
        <w:rPr>
          <w:i/>
          <w:lang w:val="sq-AL"/>
        </w:rPr>
        <w:t xml:space="preserve"> Komisionit t</w:t>
      </w:r>
      <w:r w:rsidR="00DE7D0E" w:rsidRPr="00465D47">
        <w:rPr>
          <w:i/>
          <w:lang w:val="sq-AL"/>
        </w:rPr>
        <w:t>ë</w:t>
      </w:r>
      <w:r w:rsidR="00543C56" w:rsidRPr="00465D47">
        <w:rPr>
          <w:i/>
          <w:lang w:val="sq-AL"/>
        </w:rPr>
        <w:t xml:space="preserve"> KK Pronave nr. </w:t>
      </w:r>
      <w:r w:rsidR="000B0F85" w:rsidRPr="00465D47">
        <w:rPr>
          <w:i/>
          <w:lang w:val="sq-AL"/>
        </w:rPr>
        <w:t>407</w:t>
      </w:r>
      <w:r w:rsidR="00543C56" w:rsidRPr="00465D47">
        <w:rPr>
          <w:i/>
          <w:lang w:val="sq-AL"/>
        </w:rPr>
        <w:t xml:space="preserve">, dt. </w:t>
      </w:r>
      <w:r w:rsidR="000B0F85" w:rsidRPr="00465D47">
        <w:rPr>
          <w:i/>
          <w:lang w:val="sq-AL"/>
        </w:rPr>
        <w:t>24.01.</w:t>
      </w:r>
      <w:r w:rsidR="00543C56" w:rsidRPr="00465D47">
        <w:rPr>
          <w:i/>
          <w:lang w:val="sq-AL"/>
        </w:rPr>
        <w:t>1996</w:t>
      </w:r>
      <w:r w:rsidR="000B0F85" w:rsidRPr="00465D47">
        <w:rPr>
          <w:i/>
          <w:lang w:val="sq-AL"/>
        </w:rPr>
        <w:t>, ndryshuar me vendim t</w:t>
      </w:r>
      <w:r w:rsidR="00DE7D0E" w:rsidRPr="00465D47">
        <w:rPr>
          <w:i/>
          <w:lang w:val="sq-AL"/>
        </w:rPr>
        <w:t>ë</w:t>
      </w:r>
      <w:r w:rsidR="000B0F85" w:rsidRPr="00465D47">
        <w:rPr>
          <w:i/>
          <w:lang w:val="sq-AL"/>
        </w:rPr>
        <w:t xml:space="preserve"> Komisionit t</w:t>
      </w:r>
      <w:r w:rsidR="00DE7D0E" w:rsidRPr="00465D47">
        <w:rPr>
          <w:i/>
          <w:lang w:val="sq-AL"/>
        </w:rPr>
        <w:t>ë</w:t>
      </w:r>
      <w:r w:rsidR="000B0F85" w:rsidRPr="00465D47">
        <w:rPr>
          <w:i/>
          <w:lang w:val="sq-AL"/>
        </w:rPr>
        <w:t xml:space="preserve"> KK Pronave nr. 185, dt. 27.04.2000</w:t>
      </w:r>
      <w:r w:rsidR="00543C56" w:rsidRPr="00465D47">
        <w:rPr>
          <w:i/>
          <w:lang w:val="sq-AL"/>
        </w:rPr>
        <w:t>.</w:t>
      </w:r>
      <w:r w:rsidR="000B0F85" w:rsidRPr="00465D47">
        <w:rPr>
          <w:lang w:val="sq-AL"/>
        </w:rPr>
        <w:t xml:space="preserve">”. </w:t>
      </w:r>
    </w:p>
    <w:p w:rsidR="00C30F8E" w:rsidRPr="00465D47" w:rsidRDefault="000B0F85" w:rsidP="00465D47">
      <w:pPr>
        <w:spacing w:line="360" w:lineRule="auto"/>
        <w:ind w:firstLine="720"/>
        <w:jc w:val="both"/>
        <w:rPr>
          <w:lang w:val="sq-AL"/>
        </w:rPr>
      </w:pPr>
      <w:r w:rsidRPr="00465D47">
        <w:rPr>
          <w:lang w:val="sq-AL"/>
        </w:rPr>
        <w:t>2.</w:t>
      </w:r>
      <w:r w:rsidR="0084506A" w:rsidRPr="00465D47">
        <w:rPr>
          <w:lang w:val="sq-AL"/>
        </w:rPr>
        <w:t xml:space="preserve"> </w:t>
      </w:r>
      <w:r w:rsidRPr="00465D47">
        <w:rPr>
          <w:lang w:val="sq-AL"/>
        </w:rPr>
        <w:t>Në seancën e datës</w:t>
      </w:r>
      <w:r w:rsidR="00DE7D0E" w:rsidRPr="00465D47">
        <w:rPr>
          <w:lang w:val="sq-AL"/>
        </w:rPr>
        <w:t xml:space="preserve"> 28.10.2019, </w:t>
      </w:r>
      <w:r w:rsidRPr="00465D47">
        <w:rPr>
          <w:lang w:val="sq-AL"/>
        </w:rPr>
        <w:t xml:space="preserve">përfaqësuesja e palës </w:t>
      </w:r>
      <w:r w:rsidR="004E1EA8" w:rsidRPr="00465D47">
        <w:rPr>
          <w:lang w:val="sq-AL"/>
        </w:rPr>
        <w:t>paditëse</w:t>
      </w:r>
      <w:r w:rsidRPr="00465D47">
        <w:rPr>
          <w:lang w:val="sq-AL"/>
        </w:rPr>
        <w:t xml:space="preserve"> </w:t>
      </w:r>
      <w:r w:rsidR="00DE7D0E" w:rsidRPr="00465D47">
        <w:rPr>
          <w:lang w:val="sq-AL"/>
        </w:rPr>
        <w:t xml:space="preserve">ka </w:t>
      </w:r>
      <w:r w:rsidRPr="00465D47">
        <w:rPr>
          <w:lang w:val="sq-AL"/>
        </w:rPr>
        <w:t>kërk</w:t>
      </w:r>
      <w:r w:rsidR="00DE7D0E" w:rsidRPr="00465D47">
        <w:rPr>
          <w:lang w:val="sq-AL"/>
        </w:rPr>
        <w:t xml:space="preserve">uar </w:t>
      </w:r>
      <w:r w:rsidR="004A55F7" w:rsidRPr="00465D47">
        <w:rPr>
          <w:lang w:val="sq-AL"/>
        </w:rPr>
        <w:t xml:space="preserve">që </w:t>
      </w:r>
      <w:r w:rsidR="00DE7D0E" w:rsidRPr="00465D47">
        <w:rPr>
          <w:lang w:val="sq-AL"/>
        </w:rPr>
        <w:t xml:space="preserve">gjykata </w:t>
      </w:r>
      <w:r w:rsidRPr="00465D47">
        <w:rPr>
          <w:lang w:val="sq-AL"/>
        </w:rPr>
        <w:t>t`i drejtohet Gjykatës Kushtetuese për kontrollin e kushtetu</w:t>
      </w:r>
      <w:r w:rsidR="00DE7D0E" w:rsidRPr="00465D47">
        <w:rPr>
          <w:lang w:val="sq-AL"/>
        </w:rPr>
        <w:t>t</w:t>
      </w:r>
      <w:r w:rsidRPr="00465D47">
        <w:rPr>
          <w:lang w:val="sq-AL"/>
        </w:rPr>
        <w:t>shmërisë së nenit 7, pika 2</w:t>
      </w:r>
      <w:r w:rsidR="004E1EA8" w:rsidRPr="00465D47">
        <w:rPr>
          <w:lang w:val="sq-AL"/>
        </w:rPr>
        <w:t>,</w:t>
      </w:r>
      <w:r w:rsidRPr="00465D47">
        <w:rPr>
          <w:lang w:val="sq-AL"/>
        </w:rPr>
        <w:t xml:space="preserve"> të ligjit nr. 133/2015 “Për trajtimin e pronës dhe përfundimin e procesit të kompensimit të pronave” (</w:t>
      </w:r>
      <w:r w:rsidRPr="00465D47">
        <w:rPr>
          <w:i/>
          <w:lang w:val="sq-AL"/>
        </w:rPr>
        <w:t>ligji nr. 133/2015</w:t>
      </w:r>
      <w:r w:rsidRPr="00465D47">
        <w:rPr>
          <w:lang w:val="sq-AL"/>
        </w:rPr>
        <w:t>)</w:t>
      </w:r>
      <w:r w:rsidR="002850C1" w:rsidRPr="00465D47">
        <w:rPr>
          <w:lang w:val="sq-AL"/>
        </w:rPr>
        <w:t xml:space="preserve">. Gjykata referuese, pasi dëgjoi edhe përfaqësuesin e Avokaturës së Shtetit, i cili e la në çmim të gjykatës, vendosi të shtyjë seancën për t`u shprehur lidhur me </w:t>
      </w:r>
      <w:r w:rsidR="004E1EA8" w:rsidRPr="00465D47">
        <w:rPr>
          <w:lang w:val="sq-AL"/>
        </w:rPr>
        <w:t>këtë kërkim</w:t>
      </w:r>
      <w:r w:rsidR="002850C1" w:rsidRPr="00465D47">
        <w:rPr>
          <w:lang w:val="sq-AL"/>
        </w:rPr>
        <w:t xml:space="preserve">. </w:t>
      </w:r>
    </w:p>
    <w:p w:rsidR="004E1EA8" w:rsidRPr="00465D47" w:rsidRDefault="00C30F8E" w:rsidP="00465D47">
      <w:pPr>
        <w:spacing w:line="360" w:lineRule="auto"/>
        <w:ind w:firstLine="720"/>
        <w:jc w:val="both"/>
        <w:rPr>
          <w:lang w:val="sq-AL"/>
        </w:rPr>
      </w:pPr>
      <w:r w:rsidRPr="00465D47">
        <w:rPr>
          <w:lang w:val="sq-AL"/>
        </w:rPr>
        <w:t xml:space="preserve">3. </w:t>
      </w:r>
      <w:r w:rsidR="002850C1" w:rsidRPr="00465D47">
        <w:rPr>
          <w:lang w:val="sq-AL"/>
        </w:rPr>
        <w:t>Në seancën e datës 16.12.20</w:t>
      </w:r>
      <w:r w:rsidR="00854EC1" w:rsidRPr="00465D47">
        <w:rPr>
          <w:lang w:val="sq-AL"/>
        </w:rPr>
        <w:t>20</w:t>
      </w:r>
      <w:r w:rsidR="002850C1" w:rsidRPr="00465D47">
        <w:rPr>
          <w:lang w:val="sq-AL"/>
        </w:rPr>
        <w:t xml:space="preserve">, gjykata </w:t>
      </w:r>
      <w:r w:rsidR="0084506A" w:rsidRPr="00465D47">
        <w:rPr>
          <w:lang w:val="sq-AL"/>
        </w:rPr>
        <w:t xml:space="preserve">referuese </w:t>
      </w:r>
      <w:r w:rsidR="000B0F85" w:rsidRPr="00465D47">
        <w:rPr>
          <w:lang w:val="sq-AL"/>
        </w:rPr>
        <w:t>vendos</w:t>
      </w:r>
      <w:r w:rsidR="006E61AD" w:rsidRPr="00465D47">
        <w:rPr>
          <w:lang w:val="sq-AL"/>
        </w:rPr>
        <w:t xml:space="preserve">i </w:t>
      </w:r>
      <w:r w:rsidR="000B0F85" w:rsidRPr="00465D47">
        <w:rPr>
          <w:lang w:val="sq-AL"/>
        </w:rPr>
        <w:t>të pezullojë shqyrt</w:t>
      </w:r>
      <w:r w:rsidR="006E61AD" w:rsidRPr="00465D47">
        <w:rPr>
          <w:lang w:val="sq-AL"/>
        </w:rPr>
        <w:t>i</w:t>
      </w:r>
      <w:r w:rsidR="000B0F85" w:rsidRPr="00465D47">
        <w:rPr>
          <w:lang w:val="sq-AL"/>
        </w:rPr>
        <w:t>min e kësaj çështje</w:t>
      </w:r>
      <w:r w:rsidR="006E61AD" w:rsidRPr="00465D47">
        <w:rPr>
          <w:lang w:val="sq-AL"/>
        </w:rPr>
        <w:t>je</w:t>
      </w:r>
      <w:r w:rsidR="000B0F85" w:rsidRPr="00465D47">
        <w:rPr>
          <w:lang w:val="sq-AL"/>
        </w:rPr>
        <w:t xml:space="preserve"> dhe </w:t>
      </w:r>
      <w:r w:rsidR="004A55F7" w:rsidRPr="00465D47">
        <w:rPr>
          <w:lang w:val="sq-AL"/>
        </w:rPr>
        <w:t>t`</w:t>
      </w:r>
      <w:r w:rsidR="000B0F85" w:rsidRPr="00465D47">
        <w:rPr>
          <w:lang w:val="sq-AL"/>
        </w:rPr>
        <w:t>i drejt</w:t>
      </w:r>
      <w:r w:rsidR="004A55F7" w:rsidRPr="00465D47">
        <w:rPr>
          <w:lang w:val="sq-AL"/>
        </w:rPr>
        <w:t xml:space="preserve">ohet </w:t>
      </w:r>
      <w:r w:rsidR="0084506A" w:rsidRPr="00465D47">
        <w:rPr>
          <w:lang w:val="sq-AL"/>
        </w:rPr>
        <w:t>Gjykatës Kushtetuese</w:t>
      </w:r>
      <w:r w:rsidR="000B0F85" w:rsidRPr="00465D47">
        <w:rPr>
          <w:lang w:val="sq-AL"/>
        </w:rPr>
        <w:t xml:space="preserve"> për kontrollin e </w:t>
      </w:r>
      <w:r w:rsidR="0084506A" w:rsidRPr="00465D47">
        <w:rPr>
          <w:lang w:val="sq-AL"/>
        </w:rPr>
        <w:t>papajtueshmëri</w:t>
      </w:r>
      <w:r w:rsidR="000B0F85" w:rsidRPr="00465D47">
        <w:rPr>
          <w:lang w:val="sq-AL"/>
        </w:rPr>
        <w:t>s</w:t>
      </w:r>
      <w:r w:rsidR="0084506A" w:rsidRPr="00465D47">
        <w:rPr>
          <w:lang w:val="sq-AL"/>
        </w:rPr>
        <w:t xml:space="preserve">ë </w:t>
      </w:r>
      <w:r w:rsidR="000B0F85" w:rsidRPr="00465D47">
        <w:rPr>
          <w:lang w:val="sq-AL"/>
        </w:rPr>
        <w:t>me</w:t>
      </w:r>
      <w:r w:rsidR="0084506A" w:rsidRPr="00465D47">
        <w:rPr>
          <w:lang w:val="sq-AL"/>
        </w:rPr>
        <w:t xml:space="preserve"> Kushtetutë</w:t>
      </w:r>
      <w:r w:rsidR="000B0F85" w:rsidRPr="00465D47">
        <w:rPr>
          <w:lang w:val="sq-AL"/>
        </w:rPr>
        <w:t>n t</w:t>
      </w:r>
      <w:r w:rsidR="00DE7D0E" w:rsidRPr="00465D47">
        <w:rPr>
          <w:lang w:val="sq-AL"/>
        </w:rPr>
        <w:t>ë</w:t>
      </w:r>
      <w:r w:rsidR="000B0F85" w:rsidRPr="00465D47">
        <w:rPr>
          <w:lang w:val="sq-AL"/>
        </w:rPr>
        <w:t xml:space="preserve"> nenit 7, pika 2</w:t>
      </w:r>
      <w:r w:rsidR="00240D0B" w:rsidRPr="00465D47">
        <w:rPr>
          <w:lang w:val="sq-AL"/>
        </w:rPr>
        <w:t>, shkronja “a”</w:t>
      </w:r>
      <w:r w:rsidR="004E1EA8" w:rsidRPr="00465D47">
        <w:rPr>
          <w:lang w:val="sq-AL"/>
        </w:rPr>
        <w:t>,</w:t>
      </w:r>
      <w:r w:rsidR="000B0F85" w:rsidRPr="00465D47">
        <w:rPr>
          <w:lang w:val="sq-AL"/>
        </w:rPr>
        <w:t xml:space="preserve"> t</w:t>
      </w:r>
      <w:r w:rsidR="00DE7D0E" w:rsidRPr="00465D47">
        <w:rPr>
          <w:lang w:val="sq-AL"/>
        </w:rPr>
        <w:t>ë</w:t>
      </w:r>
      <w:r w:rsidR="000B0F85" w:rsidRPr="00465D47">
        <w:rPr>
          <w:lang w:val="sq-AL"/>
        </w:rPr>
        <w:t xml:space="preserve"> ligjit </w:t>
      </w:r>
      <w:r w:rsidR="0084506A" w:rsidRPr="00465D47">
        <w:rPr>
          <w:lang w:val="sq-AL"/>
        </w:rPr>
        <w:t>nr.</w:t>
      </w:r>
      <w:r w:rsidR="002359AC">
        <w:rPr>
          <w:lang w:val="sq-AL"/>
        </w:rPr>
        <w:t xml:space="preserve"> </w:t>
      </w:r>
      <w:r w:rsidR="0084506A" w:rsidRPr="00465D47">
        <w:rPr>
          <w:lang w:val="sq-AL"/>
        </w:rPr>
        <w:t>133/2015</w:t>
      </w:r>
      <w:r w:rsidR="000B0F85" w:rsidRPr="00465D47">
        <w:rPr>
          <w:lang w:val="sq-AL"/>
        </w:rPr>
        <w:t>, i cili parashikon</w:t>
      </w:r>
      <w:r w:rsidR="00240D0B" w:rsidRPr="00465D47">
        <w:rPr>
          <w:lang w:val="sq-AL"/>
        </w:rPr>
        <w:t>: “...</w:t>
      </w:r>
      <w:r w:rsidR="00240D0B" w:rsidRPr="00465D47">
        <w:rPr>
          <w:i/>
          <w:lang w:val="sq-AL"/>
        </w:rPr>
        <w:t xml:space="preserve"> a) nëse vlerësimi i pronës së kthyer me vendim përfundimtar rezulton se është më i madh sesa vlerësimi i tokës së njohur për kompensim, atëherë subjekti i shpronësuar konsiderohet i kompensuar</w:t>
      </w:r>
      <w:r w:rsidR="004E1EA8" w:rsidRPr="00465D47">
        <w:rPr>
          <w:i/>
          <w:lang w:val="sq-AL"/>
        </w:rPr>
        <w:t>.</w:t>
      </w:r>
      <w:r w:rsidR="00240D0B" w:rsidRPr="00465D47">
        <w:rPr>
          <w:lang w:val="sq-AL"/>
        </w:rPr>
        <w:t>”.</w:t>
      </w:r>
      <w:r w:rsidR="000B0F85" w:rsidRPr="00465D47">
        <w:rPr>
          <w:lang w:val="sq-AL"/>
        </w:rPr>
        <w:t xml:space="preserve"> </w:t>
      </w:r>
    </w:p>
    <w:p w:rsidR="004E1EA8" w:rsidRPr="00465D47" w:rsidRDefault="004E1EA8" w:rsidP="00465D47">
      <w:pPr>
        <w:spacing w:line="360" w:lineRule="auto"/>
        <w:jc w:val="both"/>
        <w:rPr>
          <w:lang w:val="sq-AL"/>
        </w:rPr>
      </w:pPr>
    </w:p>
    <w:p w:rsidR="00901135" w:rsidRPr="00465D47" w:rsidRDefault="00901135" w:rsidP="00465D47">
      <w:pPr>
        <w:spacing w:line="360" w:lineRule="auto"/>
        <w:jc w:val="center"/>
        <w:rPr>
          <w:b/>
          <w:lang w:val="sq-AL"/>
        </w:rPr>
      </w:pPr>
      <w:r w:rsidRPr="00465D47">
        <w:rPr>
          <w:b/>
          <w:lang w:val="sq-AL"/>
        </w:rPr>
        <w:t>II</w:t>
      </w:r>
    </w:p>
    <w:p w:rsidR="00240D0B" w:rsidRPr="00465D47" w:rsidRDefault="00240D0B" w:rsidP="00465D47">
      <w:pPr>
        <w:tabs>
          <w:tab w:val="left" w:pos="4500"/>
          <w:tab w:val="left" w:pos="4590"/>
        </w:tabs>
        <w:spacing w:line="360" w:lineRule="auto"/>
        <w:ind w:firstLine="360"/>
        <w:jc w:val="center"/>
        <w:rPr>
          <w:b/>
          <w:lang w:val="sq-AL"/>
        </w:rPr>
      </w:pPr>
      <w:r w:rsidRPr="00465D47">
        <w:rPr>
          <w:b/>
          <w:lang w:val="sq-AL"/>
        </w:rPr>
        <w:t>Pretendimet e gjykatës referuese</w:t>
      </w:r>
    </w:p>
    <w:p w:rsidR="00C30F8E" w:rsidRPr="00465D47" w:rsidRDefault="0019498C" w:rsidP="00465D47">
      <w:pPr>
        <w:spacing w:line="360" w:lineRule="auto"/>
        <w:ind w:firstLine="720"/>
        <w:jc w:val="both"/>
        <w:rPr>
          <w:lang w:val="sq-AL"/>
        </w:rPr>
      </w:pPr>
      <w:r w:rsidRPr="00465D47">
        <w:rPr>
          <w:lang w:val="sq-AL"/>
        </w:rPr>
        <w:t>4</w:t>
      </w:r>
      <w:r w:rsidR="00901135" w:rsidRPr="00465D47">
        <w:rPr>
          <w:lang w:val="sq-AL"/>
        </w:rPr>
        <w:t xml:space="preserve">. </w:t>
      </w:r>
      <w:r w:rsidR="00C30F8E" w:rsidRPr="00465D47">
        <w:rPr>
          <w:b/>
          <w:i/>
          <w:lang w:val="sq-AL" w:eastAsia="fr-FR"/>
        </w:rPr>
        <w:t xml:space="preserve">Gjykata </w:t>
      </w:r>
      <w:r w:rsidR="004E1EA8" w:rsidRPr="00465D47">
        <w:rPr>
          <w:b/>
          <w:i/>
          <w:lang w:val="sq-AL" w:eastAsia="fr-FR"/>
        </w:rPr>
        <w:t>referuese</w:t>
      </w:r>
      <w:r w:rsidR="00C30F8E" w:rsidRPr="00465D47">
        <w:rPr>
          <w:b/>
          <w:i/>
          <w:lang w:val="sq-AL" w:eastAsia="fr-FR"/>
        </w:rPr>
        <w:t>,</w:t>
      </w:r>
      <w:r w:rsidR="00C30F8E" w:rsidRPr="00465D47">
        <w:rPr>
          <w:lang w:val="sq-AL"/>
        </w:rPr>
        <w:t xml:space="preserve"> në vendimin për pezullimin e çështjes dhe dërgimin e saj Gjykatës Kushtetuese, ka pretenduar</w:t>
      </w:r>
      <w:r w:rsidR="004A55F7" w:rsidRPr="00465D47">
        <w:rPr>
          <w:lang w:val="sq-AL"/>
        </w:rPr>
        <w:t>,</w:t>
      </w:r>
      <w:r w:rsidR="00C30F8E" w:rsidRPr="00465D47">
        <w:rPr>
          <w:lang w:val="sq-AL"/>
        </w:rPr>
        <w:t xml:space="preserve"> </w:t>
      </w:r>
      <w:r w:rsidR="004A55F7" w:rsidRPr="00465D47">
        <w:rPr>
          <w:lang w:val="sq-AL"/>
        </w:rPr>
        <w:t xml:space="preserve">në mënyrë të përmbledhur, </w:t>
      </w:r>
      <w:r w:rsidR="00C30F8E" w:rsidRPr="00465D47">
        <w:rPr>
          <w:lang w:val="sq-AL"/>
        </w:rPr>
        <w:t xml:space="preserve">se nga përmbajtja e normës së kundërshtuar cenohet:  </w:t>
      </w:r>
    </w:p>
    <w:p w:rsidR="004A55F7" w:rsidRPr="00465D47" w:rsidRDefault="0019498C" w:rsidP="00465D47">
      <w:pPr>
        <w:tabs>
          <w:tab w:val="left" w:pos="1134"/>
          <w:tab w:val="left" w:pos="1170"/>
        </w:tabs>
        <w:spacing w:line="360" w:lineRule="auto"/>
        <w:ind w:left="1170" w:hanging="450"/>
        <w:jc w:val="both"/>
        <w:rPr>
          <w:bCs/>
          <w:lang w:val="sq-AL"/>
        </w:rPr>
      </w:pPr>
      <w:r w:rsidRPr="00465D47">
        <w:rPr>
          <w:rFonts w:eastAsia="MS Mincho"/>
          <w:lang w:val="sq-AL"/>
        </w:rPr>
        <w:t>4</w:t>
      </w:r>
      <w:r w:rsidR="00901135" w:rsidRPr="00465D47">
        <w:rPr>
          <w:rFonts w:eastAsia="MS Mincho"/>
          <w:lang w:val="sq-AL"/>
        </w:rPr>
        <w:t>.1</w:t>
      </w:r>
      <w:r w:rsidR="004E1EA8" w:rsidRPr="00465D47">
        <w:rPr>
          <w:rFonts w:eastAsia="MS Mincho"/>
          <w:lang w:val="sq-AL"/>
        </w:rPr>
        <w:t>.</w:t>
      </w:r>
      <w:r w:rsidR="00901135" w:rsidRPr="00465D47">
        <w:rPr>
          <w:rFonts w:eastAsia="MS Mincho"/>
          <w:lang w:val="sq-AL"/>
        </w:rPr>
        <w:t xml:space="preserve"> </w:t>
      </w:r>
      <w:r w:rsidR="00C30F8E" w:rsidRPr="00465D47">
        <w:rPr>
          <w:rFonts w:eastAsia="MS Mincho"/>
          <w:i/>
          <w:lang w:val="sq-AL"/>
        </w:rPr>
        <w:t>P</w:t>
      </w:r>
      <w:r w:rsidR="00C02189" w:rsidRPr="00465D47">
        <w:rPr>
          <w:bCs/>
          <w:i/>
          <w:lang w:val="sq-AL"/>
        </w:rPr>
        <w:t>arimi i siguris</w:t>
      </w:r>
      <w:r w:rsidR="00DE7D0E" w:rsidRPr="00465D47">
        <w:rPr>
          <w:bCs/>
          <w:i/>
          <w:lang w:val="sq-AL"/>
        </w:rPr>
        <w:t>ë</w:t>
      </w:r>
      <w:r w:rsidR="00C02189" w:rsidRPr="00465D47">
        <w:rPr>
          <w:bCs/>
          <w:i/>
          <w:lang w:val="sq-AL"/>
        </w:rPr>
        <w:t xml:space="preserve"> juridike</w:t>
      </w:r>
      <w:r w:rsidR="00C30F8E" w:rsidRPr="00465D47">
        <w:rPr>
          <w:bCs/>
          <w:lang w:val="sq-AL"/>
        </w:rPr>
        <w:t xml:space="preserve">, </w:t>
      </w:r>
      <w:r w:rsidR="004A55F7" w:rsidRPr="00465D47">
        <w:rPr>
          <w:bCs/>
          <w:lang w:val="sq-AL"/>
        </w:rPr>
        <w:t xml:space="preserve">i </w:t>
      </w:r>
      <w:r w:rsidR="00C30F8E" w:rsidRPr="00465D47">
        <w:rPr>
          <w:bCs/>
          <w:lang w:val="sq-AL"/>
        </w:rPr>
        <w:t xml:space="preserve">cili </w:t>
      </w:r>
      <w:r w:rsidR="009137DC" w:rsidRPr="00465D47">
        <w:rPr>
          <w:bCs/>
          <w:lang w:val="sq-AL"/>
        </w:rPr>
        <w:t>si k</w:t>
      </w:r>
      <w:r w:rsidR="00DE7D0E" w:rsidRPr="00465D47">
        <w:rPr>
          <w:bCs/>
          <w:lang w:val="sq-AL"/>
        </w:rPr>
        <w:t>ë</w:t>
      </w:r>
      <w:r w:rsidR="009137DC" w:rsidRPr="00465D47">
        <w:rPr>
          <w:bCs/>
          <w:lang w:val="sq-AL"/>
        </w:rPr>
        <w:t>rkes</w:t>
      </w:r>
      <w:r w:rsidR="00DE7D0E" w:rsidRPr="00465D47">
        <w:rPr>
          <w:bCs/>
          <w:lang w:val="sq-AL"/>
        </w:rPr>
        <w:t>ë</w:t>
      </w:r>
      <w:r w:rsidR="009137DC" w:rsidRPr="00465D47">
        <w:rPr>
          <w:bCs/>
          <w:lang w:val="sq-AL"/>
        </w:rPr>
        <w:t xml:space="preserve"> t</w:t>
      </w:r>
      <w:r w:rsidR="00DE7D0E" w:rsidRPr="00465D47">
        <w:rPr>
          <w:bCs/>
          <w:lang w:val="sq-AL"/>
        </w:rPr>
        <w:t>ë</w:t>
      </w:r>
      <w:r w:rsidR="009137DC" w:rsidRPr="00465D47">
        <w:rPr>
          <w:bCs/>
          <w:lang w:val="sq-AL"/>
        </w:rPr>
        <w:t xml:space="preserve"> domosdoshme </w:t>
      </w:r>
      <w:r w:rsidR="004E1EA8" w:rsidRPr="00465D47">
        <w:rPr>
          <w:bCs/>
          <w:lang w:val="sq-AL"/>
        </w:rPr>
        <w:t xml:space="preserve">ka </w:t>
      </w:r>
      <w:r w:rsidR="009137DC" w:rsidRPr="00465D47">
        <w:rPr>
          <w:bCs/>
          <w:lang w:val="sq-AL"/>
        </w:rPr>
        <w:t>faktin q</w:t>
      </w:r>
      <w:r w:rsidR="00DE7D0E" w:rsidRPr="00465D47">
        <w:rPr>
          <w:bCs/>
          <w:lang w:val="sq-AL"/>
        </w:rPr>
        <w:t>ë</w:t>
      </w:r>
      <w:r w:rsidR="009137DC" w:rsidRPr="00465D47">
        <w:rPr>
          <w:bCs/>
          <w:lang w:val="sq-AL"/>
        </w:rPr>
        <w:t xml:space="preserve"> ligji</w:t>
      </w:r>
      <w:r w:rsidR="00C02189" w:rsidRPr="00465D47">
        <w:rPr>
          <w:bCs/>
          <w:lang w:val="sq-AL"/>
        </w:rPr>
        <w:t xml:space="preserve"> në tërësi, pjesë apo dispozita të veçanta t</w:t>
      </w:r>
      <w:r w:rsidR="00DE7D0E" w:rsidRPr="00465D47">
        <w:rPr>
          <w:bCs/>
          <w:lang w:val="sq-AL"/>
        </w:rPr>
        <w:t>ë</w:t>
      </w:r>
      <w:r w:rsidR="00C02189" w:rsidRPr="00465D47">
        <w:rPr>
          <w:bCs/>
          <w:lang w:val="sq-AL"/>
        </w:rPr>
        <w:t xml:space="preserve"> tij, n</w:t>
      </w:r>
      <w:r w:rsidR="00DE7D0E" w:rsidRPr="00465D47">
        <w:rPr>
          <w:bCs/>
          <w:lang w:val="sq-AL"/>
        </w:rPr>
        <w:t>ë</w:t>
      </w:r>
      <w:r w:rsidR="00C02189" w:rsidRPr="00465D47">
        <w:rPr>
          <w:bCs/>
          <w:lang w:val="sq-AL"/>
        </w:rPr>
        <w:t xml:space="preserve"> p</w:t>
      </w:r>
      <w:r w:rsidR="00DE7D0E" w:rsidRPr="00465D47">
        <w:rPr>
          <w:bCs/>
          <w:lang w:val="sq-AL"/>
        </w:rPr>
        <w:t>ë</w:t>
      </w:r>
      <w:r w:rsidR="00C02189" w:rsidRPr="00465D47">
        <w:rPr>
          <w:bCs/>
          <w:lang w:val="sq-AL"/>
        </w:rPr>
        <w:t xml:space="preserve">rmbajtjen </w:t>
      </w:r>
      <w:r w:rsidR="003E4E6D" w:rsidRPr="00465D47">
        <w:rPr>
          <w:bCs/>
          <w:lang w:val="sq-AL"/>
        </w:rPr>
        <w:t>e tyre duhet t</w:t>
      </w:r>
      <w:r w:rsidR="00DE7D0E" w:rsidRPr="00465D47">
        <w:rPr>
          <w:bCs/>
          <w:lang w:val="sq-AL"/>
        </w:rPr>
        <w:t>ë</w:t>
      </w:r>
      <w:r w:rsidR="003E4E6D" w:rsidRPr="00465D47">
        <w:rPr>
          <w:bCs/>
          <w:lang w:val="sq-AL"/>
        </w:rPr>
        <w:t xml:space="preserve"> jen</w:t>
      </w:r>
      <w:r w:rsidR="00DE7D0E" w:rsidRPr="00465D47">
        <w:rPr>
          <w:bCs/>
          <w:lang w:val="sq-AL"/>
        </w:rPr>
        <w:t>ë</w:t>
      </w:r>
      <w:r w:rsidR="003E4E6D" w:rsidRPr="00465D47">
        <w:rPr>
          <w:bCs/>
          <w:lang w:val="sq-AL"/>
        </w:rPr>
        <w:t xml:space="preserve"> t</w:t>
      </w:r>
      <w:r w:rsidR="00DE7D0E" w:rsidRPr="00465D47">
        <w:rPr>
          <w:bCs/>
          <w:lang w:val="sq-AL"/>
        </w:rPr>
        <w:t>ë</w:t>
      </w:r>
      <w:r w:rsidR="003E4E6D" w:rsidRPr="00465D47">
        <w:rPr>
          <w:bCs/>
          <w:lang w:val="sq-AL"/>
        </w:rPr>
        <w:t xml:space="preserve"> qart</w:t>
      </w:r>
      <w:r w:rsidR="002359AC">
        <w:rPr>
          <w:bCs/>
          <w:lang w:val="sq-AL"/>
        </w:rPr>
        <w:t>a</w:t>
      </w:r>
      <w:r w:rsidR="003E4E6D" w:rsidRPr="00465D47">
        <w:rPr>
          <w:bCs/>
          <w:lang w:val="sq-AL"/>
        </w:rPr>
        <w:t>, t</w:t>
      </w:r>
      <w:r w:rsidR="00DE7D0E" w:rsidRPr="00465D47">
        <w:rPr>
          <w:bCs/>
          <w:lang w:val="sq-AL"/>
        </w:rPr>
        <w:t>ë</w:t>
      </w:r>
      <w:r w:rsidR="003E4E6D" w:rsidRPr="00465D47">
        <w:rPr>
          <w:bCs/>
          <w:lang w:val="sq-AL"/>
        </w:rPr>
        <w:t xml:space="preserve"> p</w:t>
      </w:r>
      <w:r w:rsidR="00DE7D0E" w:rsidRPr="00465D47">
        <w:rPr>
          <w:bCs/>
          <w:lang w:val="sq-AL"/>
        </w:rPr>
        <w:t>ë</w:t>
      </w:r>
      <w:r w:rsidR="003E4E6D" w:rsidRPr="00465D47">
        <w:rPr>
          <w:bCs/>
          <w:lang w:val="sq-AL"/>
        </w:rPr>
        <w:t>rcaktuar</w:t>
      </w:r>
      <w:r w:rsidR="002359AC">
        <w:rPr>
          <w:bCs/>
          <w:lang w:val="sq-AL"/>
        </w:rPr>
        <w:t>a</w:t>
      </w:r>
      <w:r w:rsidR="003E4E6D" w:rsidRPr="00465D47">
        <w:rPr>
          <w:bCs/>
          <w:lang w:val="sq-AL"/>
        </w:rPr>
        <w:t xml:space="preserve"> dhe t</w:t>
      </w:r>
      <w:r w:rsidR="00DE7D0E" w:rsidRPr="00465D47">
        <w:rPr>
          <w:bCs/>
          <w:lang w:val="sq-AL"/>
        </w:rPr>
        <w:t>ë</w:t>
      </w:r>
      <w:r w:rsidR="003E4E6D" w:rsidRPr="00465D47">
        <w:rPr>
          <w:bCs/>
          <w:lang w:val="sq-AL"/>
        </w:rPr>
        <w:t xml:space="preserve"> kuptuesh</w:t>
      </w:r>
      <w:r w:rsidR="002359AC">
        <w:rPr>
          <w:bCs/>
          <w:lang w:val="sq-AL"/>
        </w:rPr>
        <w:t>me</w:t>
      </w:r>
      <w:r w:rsidR="00B52A04" w:rsidRPr="00465D47">
        <w:rPr>
          <w:bCs/>
          <w:lang w:val="sq-AL"/>
        </w:rPr>
        <w:t xml:space="preserve"> dhe duhet t</w:t>
      </w:r>
      <w:r w:rsidR="00DE7D0E" w:rsidRPr="00465D47">
        <w:rPr>
          <w:bCs/>
          <w:lang w:val="sq-AL"/>
        </w:rPr>
        <w:t>ë</w:t>
      </w:r>
      <w:r w:rsidR="00B52A04" w:rsidRPr="00465D47">
        <w:rPr>
          <w:bCs/>
          <w:lang w:val="sq-AL"/>
        </w:rPr>
        <w:t xml:space="preserve"> dal</w:t>
      </w:r>
      <w:r w:rsidR="00DE7D0E" w:rsidRPr="00465D47">
        <w:rPr>
          <w:bCs/>
          <w:lang w:val="sq-AL"/>
        </w:rPr>
        <w:t>ë</w:t>
      </w:r>
      <w:r w:rsidR="00B52A04" w:rsidRPr="00465D47">
        <w:rPr>
          <w:bCs/>
          <w:lang w:val="sq-AL"/>
        </w:rPr>
        <w:t xml:space="preserve"> qart</w:t>
      </w:r>
      <w:r w:rsidR="00DE7D0E" w:rsidRPr="00465D47">
        <w:rPr>
          <w:bCs/>
          <w:lang w:val="sq-AL"/>
        </w:rPr>
        <w:t>ë</w:t>
      </w:r>
      <w:r w:rsidR="00B52A04" w:rsidRPr="00465D47">
        <w:rPr>
          <w:bCs/>
          <w:lang w:val="sq-AL"/>
        </w:rPr>
        <w:t xml:space="preserve"> q</w:t>
      </w:r>
      <w:r w:rsidR="00DE7D0E" w:rsidRPr="00465D47">
        <w:rPr>
          <w:bCs/>
          <w:lang w:val="sq-AL"/>
        </w:rPr>
        <w:t>ë</w:t>
      </w:r>
      <w:r w:rsidR="00B52A04" w:rsidRPr="00465D47">
        <w:rPr>
          <w:bCs/>
          <w:lang w:val="sq-AL"/>
        </w:rPr>
        <w:t>llim</w:t>
      </w:r>
      <w:r w:rsidR="004E1EA8" w:rsidRPr="00465D47">
        <w:rPr>
          <w:bCs/>
          <w:lang w:val="sq-AL"/>
        </w:rPr>
        <w:t xml:space="preserve">i i hartimit, kërkesa që nuk respektohen nga dispozita e kundërshtuar. </w:t>
      </w:r>
    </w:p>
    <w:p w:rsidR="00D063EA" w:rsidRPr="00465D47" w:rsidRDefault="004A55F7" w:rsidP="00465D47">
      <w:pPr>
        <w:tabs>
          <w:tab w:val="left" w:pos="1134"/>
          <w:tab w:val="left" w:pos="1170"/>
        </w:tabs>
        <w:spacing w:line="360" w:lineRule="auto"/>
        <w:ind w:left="1170" w:hanging="450"/>
        <w:jc w:val="both"/>
        <w:rPr>
          <w:bCs/>
          <w:lang w:val="sq-AL"/>
        </w:rPr>
      </w:pPr>
      <w:r w:rsidRPr="00465D47">
        <w:rPr>
          <w:bCs/>
          <w:lang w:val="sq-AL"/>
        </w:rPr>
        <w:t>4.2</w:t>
      </w:r>
      <w:r w:rsidR="004E1EA8" w:rsidRPr="00465D47">
        <w:rPr>
          <w:bCs/>
          <w:lang w:val="sq-AL"/>
        </w:rPr>
        <w:t xml:space="preserve">. </w:t>
      </w:r>
      <w:r w:rsidR="00D063EA" w:rsidRPr="00465D47">
        <w:rPr>
          <w:bCs/>
          <w:lang w:val="sq-AL"/>
        </w:rPr>
        <w:t xml:space="preserve">Në referim të nenit 181 të Kushtetutës, ligjvënësi ka përmbushur detyrimin kushtetues </w:t>
      </w:r>
      <w:r w:rsidR="000205C2" w:rsidRPr="00465D47">
        <w:rPr>
          <w:bCs/>
          <w:lang w:val="sq-AL"/>
        </w:rPr>
        <w:t xml:space="preserve">për rregullimin e çështjeve që lidhen me shpronësimet dhe konfiskimet </w:t>
      </w:r>
      <w:r w:rsidR="00D063EA" w:rsidRPr="00465D47">
        <w:rPr>
          <w:bCs/>
          <w:lang w:val="sq-AL"/>
        </w:rPr>
        <w:t xml:space="preserve">nëpërmjet miratimit të ligjit nr. 9235/2004, në bazë të të cilit janë miratuar me mijëra vendime </w:t>
      </w:r>
      <w:r w:rsidR="00D063EA" w:rsidRPr="00465D47">
        <w:rPr>
          <w:bCs/>
          <w:lang w:val="sq-AL"/>
        </w:rPr>
        <w:lastRenderedPageBreak/>
        <w:t>përfundimtare për njohjen, kthimin dhe kompensimin e pronës</w:t>
      </w:r>
      <w:r w:rsidR="002359AC">
        <w:rPr>
          <w:bCs/>
          <w:lang w:val="sq-AL"/>
        </w:rPr>
        <w:t>,</w:t>
      </w:r>
      <w:r w:rsidR="00D063EA" w:rsidRPr="00465D47">
        <w:rPr>
          <w:bCs/>
          <w:lang w:val="sq-AL"/>
        </w:rPr>
        <w:t xml:space="preserve"> të cilat janë ekzekutuar apo duhet të ishin ekzekutuar.</w:t>
      </w:r>
    </w:p>
    <w:p w:rsidR="004A55F7" w:rsidRPr="00465D47" w:rsidRDefault="00D063EA" w:rsidP="00465D47">
      <w:pPr>
        <w:tabs>
          <w:tab w:val="left" w:pos="1134"/>
          <w:tab w:val="left" w:pos="1170"/>
        </w:tabs>
        <w:spacing w:line="360" w:lineRule="auto"/>
        <w:ind w:left="1170" w:hanging="450"/>
        <w:jc w:val="both"/>
        <w:rPr>
          <w:bCs/>
          <w:lang w:val="sq-AL"/>
        </w:rPr>
      </w:pPr>
      <w:r w:rsidRPr="00465D47">
        <w:rPr>
          <w:bCs/>
          <w:lang w:val="sq-AL"/>
        </w:rPr>
        <w:t xml:space="preserve">4.3. </w:t>
      </w:r>
      <w:r w:rsidR="004A55F7" w:rsidRPr="00465D47">
        <w:rPr>
          <w:bCs/>
          <w:lang w:val="sq-AL"/>
        </w:rPr>
        <w:t>Ndryshimi i kritereve të kompensimit</w:t>
      </w:r>
      <w:r w:rsidRPr="00465D47">
        <w:rPr>
          <w:bCs/>
          <w:lang w:val="sq-AL"/>
        </w:rPr>
        <w:t xml:space="preserve"> sipas </w:t>
      </w:r>
      <w:r w:rsidR="004A55F7" w:rsidRPr="00465D47">
        <w:rPr>
          <w:bCs/>
          <w:lang w:val="sq-AL"/>
        </w:rPr>
        <w:t>nenit 7</w:t>
      </w:r>
      <w:r w:rsidRPr="00465D47">
        <w:rPr>
          <w:bCs/>
          <w:lang w:val="sq-AL"/>
        </w:rPr>
        <w:t xml:space="preserve">, pika </w:t>
      </w:r>
      <w:r w:rsidR="004A55F7" w:rsidRPr="00465D47">
        <w:rPr>
          <w:bCs/>
          <w:lang w:val="sq-AL"/>
        </w:rPr>
        <w:t>2</w:t>
      </w:r>
      <w:r w:rsidRPr="00465D47">
        <w:rPr>
          <w:bCs/>
          <w:lang w:val="sq-AL"/>
        </w:rPr>
        <w:t>, shkronja “a”</w:t>
      </w:r>
      <w:r w:rsidR="004A55F7" w:rsidRPr="00465D47">
        <w:rPr>
          <w:bCs/>
          <w:lang w:val="sq-AL"/>
        </w:rPr>
        <w:t xml:space="preserve"> është një cenim përkeqësues i pritshmërive të ligjshme të subjekteve që kanë një</w:t>
      </w:r>
      <w:r w:rsidR="002359AC">
        <w:rPr>
          <w:bCs/>
          <w:lang w:val="sq-AL"/>
        </w:rPr>
        <w:t xml:space="preserve"> vendim përfundimtar kompensimi ose</w:t>
      </w:r>
      <w:r w:rsidR="004A55F7" w:rsidRPr="00465D47">
        <w:rPr>
          <w:bCs/>
          <w:lang w:val="sq-AL"/>
        </w:rPr>
        <w:t xml:space="preserve"> që kanë paraqitur kërkesë për njohje/kthim/kompensim përpara miratimit të ligjit nr. 133/2015.  </w:t>
      </w:r>
    </w:p>
    <w:p w:rsidR="004A55F7" w:rsidRPr="00465D47" w:rsidRDefault="004A55F7" w:rsidP="00465D47">
      <w:pPr>
        <w:tabs>
          <w:tab w:val="left" w:pos="1134"/>
          <w:tab w:val="left" w:pos="1170"/>
        </w:tabs>
        <w:spacing w:line="360" w:lineRule="auto"/>
        <w:ind w:left="1170" w:hanging="450"/>
        <w:jc w:val="both"/>
        <w:rPr>
          <w:bCs/>
          <w:lang w:val="sq-AL"/>
        </w:rPr>
      </w:pPr>
      <w:r w:rsidRPr="00465D47">
        <w:rPr>
          <w:bCs/>
          <w:lang w:val="sq-AL"/>
        </w:rPr>
        <w:t>4.3. Dispozita bie ndesh edhe me qëllimin e procesit të kompensimit të pronave</w:t>
      </w:r>
      <w:r w:rsidR="002359AC">
        <w:rPr>
          <w:bCs/>
          <w:lang w:val="sq-AL"/>
        </w:rPr>
        <w:t>,</w:t>
      </w:r>
      <w:r w:rsidRPr="00465D47">
        <w:rPr>
          <w:bCs/>
          <w:lang w:val="sq-AL"/>
        </w:rPr>
        <w:t xml:space="preserve"> pasi subjektet që do të ndodhen në kushtet e zbatimit të </w:t>
      </w:r>
      <w:r w:rsidR="000205C2" w:rsidRPr="00465D47">
        <w:rPr>
          <w:bCs/>
          <w:lang w:val="sq-AL"/>
        </w:rPr>
        <w:t>kësaj dispozite</w:t>
      </w:r>
      <w:r w:rsidRPr="00465D47">
        <w:rPr>
          <w:bCs/>
          <w:lang w:val="sq-AL"/>
        </w:rPr>
        <w:t xml:space="preserve"> nuk do të kompensohen për një të drejtë të njohur me vendim përfundimtar, pra vendimi do të ishte i pavlerë dhe i paekzekutueshëm. </w:t>
      </w:r>
    </w:p>
    <w:p w:rsidR="000205C2" w:rsidRPr="00465D47" w:rsidRDefault="000205C2" w:rsidP="00465D47">
      <w:pPr>
        <w:spacing w:line="360" w:lineRule="auto"/>
        <w:jc w:val="center"/>
        <w:rPr>
          <w:b/>
          <w:lang w:val="sq-AL"/>
        </w:rPr>
      </w:pPr>
    </w:p>
    <w:p w:rsidR="00537B69" w:rsidRPr="00465D47" w:rsidRDefault="00537B69" w:rsidP="00465D47">
      <w:pPr>
        <w:spacing w:line="360" w:lineRule="auto"/>
        <w:jc w:val="center"/>
        <w:rPr>
          <w:b/>
          <w:lang w:val="sq-AL"/>
        </w:rPr>
      </w:pPr>
      <w:r w:rsidRPr="00465D47">
        <w:rPr>
          <w:b/>
          <w:lang w:val="sq-AL"/>
        </w:rPr>
        <w:t>II</w:t>
      </w:r>
      <w:r w:rsidR="00901135" w:rsidRPr="00465D47">
        <w:rPr>
          <w:b/>
          <w:lang w:val="sq-AL"/>
        </w:rPr>
        <w:t>I</w:t>
      </w:r>
    </w:p>
    <w:p w:rsidR="00465D47" w:rsidRDefault="00537B69" w:rsidP="002359AC">
      <w:pPr>
        <w:spacing w:line="360" w:lineRule="auto"/>
        <w:jc w:val="center"/>
        <w:rPr>
          <w:b/>
          <w:lang w:val="sq-AL"/>
        </w:rPr>
      </w:pPr>
      <w:r w:rsidRPr="00465D47">
        <w:rPr>
          <w:b/>
          <w:lang w:val="sq-AL"/>
        </w:rPr>
        <w:t xml:space="preserve">Vlerësimi i </w:t>
      </w:r>
      <w:r w:rsidR="00EF33E9" w:rsidRPr="00465D47">
        <w:rPr>
          <w:b/>
          <w:lang w:val="sq-AL"/>
        </w:rPr>
        <w:t xml:space="preserve">Kolegjit </w:t>
      </w:r>
    </w:p>
    <w:p w:rsidR="00465D47" w:rsidRPr="0082524B" w:rsidRDefault="00465D47" w:rsidP="00465D47">
      <w:pPr>
        <w:pStyle w:val="ListParagraph"/>
        <w:numPr>
          <w:ilvl w:val="0"/>
          <w:numId w:val="4"/>
        </w:numPr>
        <w:tabs>
          <w:tab w:val="left" w:pos="851"/>
        </w:tabs>
        <w:spacing w:line="360" w:lineRule="auto"/>
        <w:jc w:val="both"/>
        <w:rPr>
          <w:i/>
        </w:rPr>
      </w:pPr>
      <w:r w:rsidRPr="0082524B">
        <w:rPr>
          <w:i/>
        </w:rPr>
        <w:t>Për juridiksionin e Gjykatës Kushtetuese</w:t>
      </w:r>
    </w:p>
    <w:p w:rsidR="00465D47" w:rsidRDefault="00465D47" w:rsidP="00465D47">
      <w:pPr>
        <w:spacing w:line="360" w:lineRule="auto"/>
        <w:ind w:firstLine="720"/>
        <w:jc w:val="both"/>
        <w:rPr>
          <w:lang w:val="sq-AL"/>
        </w:rPr>
      </w:pPr>
      <w:r>
        <w:rPr>
          <w:lang w:val="sq-AL"/>
        </w:rPr>
        <w:t>5</w:t>
      </w:r>
      <w:r w:rsidRPr="0082524B">
        <w:rPr>
          <w:lang w:val="sq-AL"/>
        </w:rPr>
        <w:t xml:space="preserve">. </w:t>
      </w:r>
      <w:r>
        <w:rPr>
          <w:lang w:val="sq-AL"/>
        </w:rPr>
        <w:t>N</w:t>
      </w:r>
      <w:r w:rsidRPr="0082524B">
        <w:rPr>
          <w:lang w:val="sq-AL"/>
        </w:rPr>
        <w:t xml:space="preserve">ë rastin konkret Kolegji vlerëson fillimisht të shqyrtojë juridiksionin e </w:t>
      </w:r>
      <w:r>
        <w:rPr>
          <w:lang w:val="sq-AL"/>
        </w:rPr>
        <w:t xml:space="preserve">kësaj </w:t>
      </w:r>
      <w:r w:rsidRPr="0082524B">
        <w:rPr>
          <w:lang w:val="sq-AL"/>
        </w:rPr>
        <w:t>Gjykat</w:t>
      </w:r>
      <w:r>
        <w:rPr>
          <w:lang w:val="sq-AL"/>
        </w:rPr>
        <w:t>e</w:t>
      </w:r>
      <w:r w:rsidRPr="0082524B">
        <w:rPr>
          <w:lang w:val="sq-AL"/>
        </w:rPr>
        <w:t xml:space="preserve"> në lidhje me kërkesën </w:t>
      </w:r>
      <w:r>
        <w:rPr>
          <w:lang w:val="sq-AL"/>
        </w:rPr>
        <w:t>e</w:t>
      </w:r>
      <w:r w:rsidRPr="0082524B">
        <w:rPr>
          <w:lang w:val="sq-AL"/>
        </w:rPr>
        <w:t xml:space="preserve"> paraqitur nga </w:t>
      </w:r>
      <w:r>
        <w:rPr>
          <w:lang w:val="sq-AL"/>
        </w:rPr>
        <w:t xml:space="preserve">gjykata referuese. </w:t>
      </w:r>
    </w:p>
    <w:p w:rsidR="00465D47" w:rsidRDefault="00465D47" w:rsidP="00465D47">
      <w:pPr>
        <w:spacing w:line="360" w:lineRule="auto"/>
        <w:ind w:firstLine="720"/>
        <w:jc w:val="both"/>
        <w:rPr>
          <w:lang w:val="sq-AL"/>
        </w:rPr>
      </w:pPr>
      <w:r>
        <w:rPr>
          <w:lang w:val="sq-AL"/>
        </w:rPr>
        <w:t xml:space="preserve">6. Në këtë aspekt, duke iu referuar </w:t>
      </w:r>
      <w:r w:rsidRPr="0082524B">
        <w:rPr>
          <w:lang w:val="sq-AL"/>
        </w:rPr>
        <w:t>parimit të “gjësë së gjykuar” (</w:t>
      </w:r>
      <w:r w:rsidRPr="0082524B">
        <w:rPr>
          <w:i/>
          <w:iCs/>
          <w:lang w:val="sq-AL"/>
        </w:rPr>
        <w:t>res judicata),</w:t>
      </w:r>
      <w:r w:rsidRPr="0082524B">
        <w:rPr>
          <w:lang w:val="sq-AL"/>
        </w:rPr>
        <w:t xml:space="preserve"> Gjykata ka theksuar se në të drejtën kushtetuese ajo njihet si një nga tri format e efekteve që merr vendimi gjyqësor në procedurën abstrakte të kontrollit të kushtetutshmërisë së normave juridike. Në aspektin formal e procedural “gjë e gjykuar” nënkupton përfundimin në drejtim të mosankueshmërisë së vendimit, ndërsa në atë substancial nënkupton fuqinë detyruese të vendimit. Tipar karakteristik i gjësë së gjykuar është se kur në vendimin e parë çështja e ngritur është konsideruar e pabazuar në themel, ajo nuk mund të shqyrtohet më tej. Në rastet kur Gjykata nuk është shprehur në lidhje me pajtueshmërinë me Kushtetutën të normës juridike, kërkuesi nuk ndalohet të paraqesë përsëri të njëjtën kërkesë për kontrollin e pajtueshmërisë së kësaj norme me Kushtetutën. Kjo varet nga pjesa arsyetuese e vendimit, sepse rrëzimi i kërkesës mund të jetë vendosur për shkaqe të tjera (</w:t>
      </w:r>
      <w:r w:rsidRPr="0082524B">
        <w:rPr>
          <w:i/>
          <w:iCs/>
          <w:lang w:val="sq-AL"/>
        </w:rPr>
        <w:t>shih vendimin nr. 78, datë 12.12.2017 të Gjykatës Kushtetuese</w:t>
      </w:r>
      <w:r w:rsidRPr="0082524B">
        <w:rPr>
          <w:lang w:val="sq-AL"/>
        </w:rPr>
        <w:t>).</w:t>
      </w:r>
    </w:p>
    <w:p w:rsidR="00465D47" w:rsidRPr="0082524B" w:rsidRDefault="00465D47" w:rsidP="00465D47">
      <w:pPr>
        <w:spacing w:line="360" w:lineRule="auto"/>
        <w:ind w:firstLine="720"/>
        <w:jc w:val="both"/>
        <w:rPr>
          <w:lang w:val="sq-AL"/>
        </w:rPr>
      </w:pPr>
      <w:r>
        <w:rPr>
          <w:lang w:val="sq-AL"/>
        </w:rPr>
        <w:t xml:space="preserve">7. </w:t>
      </w:r>
      <w:r w:rsidRPr="0082524B">
        <w:rPr>
          <w:lang w:val="sq-AL"/>
        </w:rPr>
        <w:t>Gjykata në praktikën e saj ka pranuar rishqyrtimin e kërkes</w:t>
      </w:r>
      <w:r w:rsidR="008E320B">
        <w:rPr>
          <w:lang w:val="sq-AL"/>
        </w:rPr>
        <w:t xml:space="preserve">ave </w:t>
      </w:r>
      <w:r w:rsidRPr="0082524B">
        <w:rPr>
          <w:lang w:val="sq-AL"/>
        </w:rPr>
        <w:t xml:space="preserve">me të njëjtin objekt, kur përmes një kërkese tjetër, brenda afatit ligjor të parashikuar nga ligji i saj organik, janë ngritur </w:t>
      </w:r>
      <w:r w:rsidRPr="0082524B">
        <w:rPr>
          <w:lang w:val="sq-AL"/>
        </w:rPr>
        <w:lastRenderedPageBreak/>
        <w:t>shkaqe të reja për antikushtetutshmërinë e aktit të kundërshtuar (</w:t>
      </w:r>
      <w:r w:rsidRPr="0082524B">
        <w:rPr>
          <w:i/>
          <w:iCs/>
          <w:lang w:val="sq-AL"/>
        </w:rPr>
        <w:t>shih vendimin nr.78, datë 12.12.2017 të Gjykatës Kushtetuese</w:t>
      </w:r>
      <w:r w:rsidRPr="0082524B">
        <w:rPr>
          <w:lang w:val="sq-AL"/>
        </w:rPr>
        <w:t xml:space="preserve">). </w:t>
      </w:r>
    </w:p>
    <w:p w:rsidR="00465D47" w:rsidRPr="00465D47" w:rsidRDefault="00465D47" w:rsidP="00465D47">
      <w:pPr>
        <w:spacing w:line="360" w:lineRule="auto"/>
        <w:ind w:firstLine="720"/>
        <w:jc w:val="both"/>
        <w:rPr>
          <w:lang w:val="sq-AL"/>
        </w:rPr>
      </w:pPr>
      <w:r>
        <w:rPr>
          <w:lang w:val="sq-AL"/>
        </w:rPr>
        <w:t>8</w:t>
      </w:r>
      <w:r w:rsidRPr="0082524B">
        <w:rPr>
          <w:lang w:val="sq-AL"/>
        </w:rPr>
        <w:t xml:space="preserve">. </w:t>
      </w:r>
      <w:r w:rsidRPr="002359AC">
        <w:rPr>
          <w:lang w:val="sq-AL"/>
        </w:rPr>
        <w:t>Kolegji vëren se në seancën plenare të datës 04.02.2021, Gjykata ka marrë në shqyrtim çështjen me kërkuese shoqat</w:t>
      </w:r>
      <w:r w:rsidR="002359AC">
        <w:rPr>
          <w:lang w:val="sq-AL"/>
        </w:rPr>
        <w:t>ën</w:t>
      </w:r>
      <w:r w:rsidRPr="002359AC">
        <w:rPr>
          <w:lang w:val="sq-AL"/>
        </w:rPr>
        <w:t xml:space="preserve"> kombëtare “Pronësi me drejtësi”, me objekt shfuqizimin e</w:t>
      </w:r>
      <w:r w:rsidR="002359AC">
        <w:rPr>
          <w:lang w:val="sq-AL"/>
        </w:rPr>
        <w:t xml:space="preserve"> neneve 6, pika 1, shkronja “b”</w:t>
      </w:r>
      <w:r w:rsidRPr="002359AC">
        <w:rPr>
          <w:lang w:val="sq-AL"/>
        </w:rPr>
        <w:t xml:space="preserve"> dhe 7, pika 2, shkronjat “a</w:t>
      </w:r>
      <w:r w:rsidR="002359AC" w:rsidRPr="00BF0DD8">
        <w:rPr>
          <w:lang w:val="sq-AL"/>
        </w:rPr>
        <w:t>” dhe “b”</w:t>
      </w:r>
      <w:r w:rsidRPr="00BF0DD8">
        <w:rPr>
          <w:lang w:val="sq-AL"/>
        </w:rPr>
        <w:t xml:space="preserve"> të ligjit nr. 133/2015. Me vendimin nr. 4, datë 15.01.2021, Gjykata ka vlerësuar se pretendimet e kërkueses në lidhje me përmbajtjen e nenit 6, pika 1, shkronja “b” janë të pabazuara. Ndërsa në lidhje me përmbajtjen e nenit 7, pika 2, shkronjat “a” dhe “b”, ajo ka vlerësuar se </w:t>
      </w:r>
      <w:r w:rsidRPr="00BF0DD8">
        <w:rPr>
          <w:rFonts w:eastAsia="Arial"/>
          <w:lang w:val="sq-AL"/>
        </w:rPr>
        <w:t>sistemi aktual i vlerësimit të pronës n</w:t>
      </w:r>
      <w:r w:rsidRPr="00BF0DD8">
        <w:rPr>
          <w:lang w:val="sq-AL"/>
        </w:rPr>
        <w:t>uk respekton në të gjitha rastet pragun minimal prej 10% të vlerësimit financiar dhe, për këtë arsye, është një ndërhyrje jo proporcionale në të drejtën e pronës private (</w:t>
      </w:r>
      <w:r w:rsidRPr="00BF0DD8">
        <w:rPr>
          <w:i/>
          <w:lang w:val="sq-AL"/>
        </w:rPr>
        <w:t>shih paragrafin 63 të vendimit</w:t>
      </w:r>
      <w:r w:rsidRPr="00BF0DD8">
        <w:rPr>
          <w:lang w:val="sq-AL"/>
        </w:rPr>
        <w:t xml:space="preserve">). Po ashtu, Gjykata ka vlerësuar se kufizimi i së drejtës së pronës private ka ardhur edhe si pasojë e mungesës së rregullimit nga pika 2 e nenit 7 të ligjit nr. 133/2015 të situatës së ndryshimit që ka pësuar zëri kadastral i pronës ndër vite. Në vlerësimin e Gjykatës, kjo mungesë rregullimi përbën një boshllëk ligjor, nga i cili vijnë pasoja negative për të drejtat kushtetuese të individëve, në rastin konkret e drejta e pronës private. </w:t>
      </w:r>
      <w:r w:rsidRPr="00BF0DD8">
        <w:rPr>
          <w:iCs/>
          <w:lang w:val="sq-AL" w:eastAsia="fr-FR"/>
        </w:rPr>
        <w:t xml:space="preserve">Kjo </w:t>
      </w:r>
      <w:r w:rsidRPr="00BF0DD8">
        <w:rPr>
          <w:lang w:val="sq-AL"/>
        </w:rPr>
        <w:t>mungesë e rregullimit ligjor të situatës që ka rezultuar nga ndryshimi i zërit kadastral, i ka mohuar kompensimin e drejtë kësaj kategorie subjektesh, çka përbën edhe cenim të parimit të sigurisë juridike (</w:t>
      </w:r>
      <w:r w:rsidRPr="00BF0DD8">
        <w:rPr>
          <w:i/>
          <w:lang w:val="sq-AL"/>
        </w:rPr>
        <w:t>shih paragrafët 67 dhe 78 të vendimit</w:t>
      </w:r>
      <w:r w:rsidRPr="00BF0DD8">
        <w:rPr>
          <w:lang w:val="sq-AL"/>
        </w:rPr>
        <w:t xml:space="preserve">). </w:t>
      </w:r>
    </w:p>
    <w:p w:rsidR="008E320B" w:rsidRDefault="00465D47" w:rsidP="00465D47">
      <w:pPr>
        <w:spacing w:line="360" w:lineRule="auto"/>
        <w:ind w:firstLine="720"/>
        <w:jc w:val="both"/>
        <w:rPr>
          <w:lang w:val="sq-AL" w:eastAsia="fr-FR"/>
        </w:rPr>
      </w:pPr>
      <w:r>
        <w:rPr>
          <w:lang w:val="sq-AL"/>
        </w:rPr>
        <w:t xml:space="preserve">9. </w:t>
      </w:r>
      <w:r w:rsidRPr="0082524B">
        <w:rPr>
          <w:lang w:val="sq-AL"/>
        </w:rPr>
        <w:t xml:space="preserve">Në lidhje me çështjen konkrete, </w:t>
      </w:r>
      <w:r>
        <w:rPr>
          <w:lang w:val="sq-AL" w:eastAsia="fr-FR"/>
        </w:rPr>
        <w:t xml:space="preserve">Kolegji konstaton se në kërkesën objekt shqyrtimi, gjykata referuese ka paraqitur të njëjtin objekt dhe shkaqe, të cilat janë marrë më parë në shqyrtim nga Gjykata dhe për të cilat ajo është shprehur me vendimin e saj nr. 4, datë 15.01.2021. </w:t>
      </w:r>
      <w:r w:rsidR="008E320B">
        <w:rPr>
          <w:lang w:val="sq-AL" w:eastAsia="fr-FR"/>
        </w:rPr>
        <w:t xml:space="preserve">Në kërkesën objekt shqyrtimi nuk është paraqitur asnjë shkak </w:t>
      </w:r>
      <w:r w:rsidR="003549B2">
        <w:rPr>
          <w:lang w:val="sq-AL" w:eastAsia="fr-FR"/>
        </w:rPr>
        <w:t>i</w:t>
      </w:r>
      <w:r w:rsidR="008E320B">
        <w:rPr>
          <w:lang w:val="sq-AL" w:eastAsia="fr-FR"/>
        </w:rPr>
        <w:t xml:space="preserve"> ri në mbështetje të pretendimeve për papajtueshmërinë me Kushtetutën të dispozitave të kundërshtuara të ligjit nr. 133/2015. </w:t>
      </w:r>
    </w:p>
    <w:p w:rsidR="00465D47" w:rsidRPr="0082524B" w:rsidRDefault="00465D47" w:rsidP="00465D47">
      <w:pPr>
        <w:spacing w:line="360" w:lineRule="auto"/>
        <w:ind w:firstLine="720"/>
        <w:jc w:val="both"/>
        <w:rPr>
          <w:lang w:val="sq-AL"/>
        </w:rPr>
      </w:pPr>
      <w:r w:rsidRPr="0082524B">
        <w:rPr>
          <w:lang w:val="sq-AL"/>
        </w:rPr>
        <w:t>1</w:t>
      </w:r>
      <w:r>
        <w:rPr>
          <w:lang w:val="sq-AL"/>
        </w:rPr>
        <w:t>0</w:t>
      </w:r>
      <w:r w:rsidRPr="0082524B">
        <w:rPr>
          <w:lang w:val="sq-AL"/>
        </w:rPr>
        <w:t xml:space="preserve">. </w:t>
      </w:r>
      <w:r>
        <w:rPr>
          <w:lang w:val="sq-AL"/>
        </w:rPr>
        <w:t>B</w:t>
      </w:r>
      <w:r w:rsidRPr="0082524B">
        <w:rPr>
          <w:lang w:val="sq-AL"/>
        </w:rPr>
        <w:t xml:space="preserve">azuar në sa më sipër, </w:t>
      </w:r>
      <w:r>
        <w:rPr>
          <w:lang w:val="sq-AL"/>
        </w:rPr>
        <w:t xml:space="preserve">Kolegji </w:t>
      </w:r>
      <w:r w:rsidRPr="0082524B">
        <w:rPr>
          <w:lang w:val="sq-AL"/>
        </w:rPr>
        <w:t xml:space="preserve">vlerëson se </w:t>
      </w:r>
      <w:r>
        <w:rPr>
          <w:lang w:val="sq-AL"/>
        </w:rPr>
        <w:t xml:space="preserve">kërkimet e paraqitura nga gjykata referuese janë objekt i një vendimi të mëparshëm të Gjykatës Kushtetuese, çka përbën gjë të gjykuar, </w:t>
      </w:r>
      <w:r w:rsidRPr="0082524B">
        <w:rPr>
          <w:lang w:val="sq-AL"/>
        </w:rPr>
        <w:t xml:space="preserve">ndaj </w:t>
      </w:r>
      <w:r w:rsidR="002359AC">
        <w:rPr>
          <w:lang w:val="sq-AL"/>
        </w:rPr>
        <w:t>e</w:t>
      </w:r>
      <w:r>
        <w:rPr>
          <w:lang w:val="sq-AL"/>
        </w:rPr>
        <w:t xml:space="preserve">dhe kërkesa e paraqitur prej saj </w:t>
      </w:r>
      <w:r w:rsidRPr="0082524B">
        <w:rPr>
          <w:lang w:val="sq-AL"/>
        </w:rPr>
        <w:t xml:space="preserve">nuk mund të pranohet për shqyrtim në seancë plenare. </w:t>
      </w:r>
    </w:p>
    <w:p w:rsidR="00465D47" w:rsidRPr="0082524B" w:rsidRDefault="00465D47" w:rsidP="00465D47">
      <w:pPr>
        <w:tabs>
          <w:tab w:val="left" w:pos="851"/>
        </w:tabs>
        <w:spacing w:line="360" w:lineRule="auto"/>
        <w:contextualSpacing/>
        <w:jc w:val="both"/>
        <w:rPr>
          <w:lang w:val="sq-AL" w:eastAsia="sq-AL"/>
        </w:rPr>
      </w:pPr>
    </w:p>
    <w:p w:rsidR="00465D47" w:rsidRPr="0082524B" w:rsidRDefault="00465D47" w:rsidP="00465D47">
      <w:pPr>
        <w:pStyle w:val="BodyText"/>
        <w:tabs>
          <w:tab w:val="left" w:pos="720"/>
          <w:tab w:val="left" w:pos="851"/>
          <w:tab w:val="left" w:pos="1260"/>
        </w:tabs>
        <w:spacing w:line="360" w:lineRule="auto"/>
        <w:contextualSpacing/>
        <w:jc w:val="center"/>
        <w:rPr>
          <w:lang w:val="sq-AL"/>
        </w:rPr>
      </w:pPr>
      <w:r w:rsidRPr="0082524B">
        <w:rPr>
          <w:b/>
          <w:lang w:val="sq-AL"/>
        </w:rPr>
        <w:t>PËR KËTO ARSYE,</w:t>
      </w:r>
    </w:p>
    <w:p w:rsidR="00465D47" w:rsidRPr="0082524B" w:rsidRDefault="00465D47" w:rsidP="00465D47">
      <w:pPr>
        <w:tabs>
          <w:tab w:val="left" w:pos="851"/>
        </w:tabs>
        <w:spacing w:line="360" w:lineRule="auto"/>
        <w:ind w:firstLine="720"/>
        <w:contextualSpacing/>
        <w:jc w:val="both"/>
        <w:rPr>
          <w:lang w:val="sq-AL"/>
        </w:rPr>
      </w:pPr>
      <w:r w:rsidRPr="0082524B">
        <w:rPr>
          <w:lang w:val="sq-AL"/>
        </w:rPr>
        <w:lastRenderedPageBreak/>
        <w:t>Kolegji i Gjykatës Kushtetuese të Republikës së Shqipërisë, në bazë të neneve 31 dhe 31/a,</w:t>
      </w:r>
      <w:r>
        <w:rPr>
          <w:lang w:val="sq-AL"/>
        </w:rPr>
        <w:t xml:space="preserve"> pika 2, shkronja “dh”,</w:t>
      </w:r>
      <w:r w:rsidRPr="0082524B">
        <w:rPr>
          <w:lang w:val="sq-AL"/>
        </w:rPr>
        <w:t xml:space="preserve"> të ligjit nr. 8577, datë 10.02.2000 “Për organizimin dhe funksionimin e Gjykatës Kushtetuese të Republik</w:t>
      </w:r>
      <w:r>
        <w:rPr>
          <w:lang w:val="sq-AL"/>
        </w:rPr>
        <w:t>ës së Shqipërisë”, të ndryshuar,</w:t>
      </w:r>
    </w:p>
    <w:p w:rsidR="00465D47" w:rsidRPr="0082524B" w:rsidRDefault="00465D47" w:rsidP="00465D47">
      <w:pPr>
        <w:tabs>
          <w:tab w:val="left" w:pos="851"/>
        </w:tabs>
        <w:spacing w:line="360" w:lineRule="auto"/>
        <w:ind w:firstLine="567"/>
        <w:contextualSpacing/>
        <w:rPr>
          <w:lang w:val="sq-AL"/>
        </w:rPr>
      </w:pPr>
    </w:p>
    <w:p w:rsidR="00465D47" w:rsidRPr="0082524B" w:rsidRDefault="00465D47" w:rsidP="00465D47">
      <w:pPr>
        <w:tabs>
          <w:tab w:val="left" w:pos="851"/>
        </w:tabs>
        <w:spacing w:line="360" w:lineRule="auto"/>
        <w:jc w:val="center"/>
        <w:rPr>
          <w:b/>
          <w:u w:val="single"/>
          <w:lang w:val="sq-AL"/>
        </w:rPr>
      </w:pPr>
      <w:r w:rsidRPr="0082524B">
        <w:rPr>
          <w:b/>
          <w:lang w:val="sq-AL"/>
        </w:rPr>
        <w:t>V E N D O S I:</w:t>
      </w:r>
    </w:p>
    <w:p w:rsidR="00465D47" w:rsidRPr="0082524B" w:rsidRDefault="00465D47" w:rsidP="00465D47">
      <w:pPr>
        <w:pStyle w:val="ListParagraph"/>
        <w:tabs>
          <w:tab w:val="left" w:pos="851"/>
        </w:tabs>
        <w:spacing w:line="360" w:lineRule="auto"/>
        <w:ind w:left="0" w:firstLine="567"/>
      </w:pPr>
      <w:r w:rsidRPr="0082524B">
        <w:t>Moskalimin e çështjes për shqyrtim në seancë plenare.</w:t>
      </w:r>
    </w:p>
    <w:p w:rsidR="00537B69" w:rsidRPr="00465D47" w:rsidRDefault="00537B69" w:rsidP="00465D47">
      <w:pPr>
        <w:spacing w:line="360" w:lineRule="auto"/>
        <w:rPr>
          <w:rStyle w:val="Strong"/>
          <w:rFonts w:eastAsia="Times New Roman"/>
          <w:color w:val="000000"/>
          <w:lang w:val="sq-AL"/>
        </w:rPr>
      </w:pPr>
    </w:p>
    <w:p w:rsidR="002E1EEA" w:rsidRPr="00465D47" w:rsidRDefault="002E1EEA" w:rsidP="002E1EEA">
      <w:pPr>
        <w:spacing w:line="360" w:lineRule="auto"/>
        <w:ind w:left="3600" w:right="-810"/>
        <w:jc w:val="both"/>
        <w:rPr>
          <w:b/>
          <w:bCs/>
          <w:lang w:val="sq-AL"/>
        </w:rPr>
      </w:pPr>
    </w:p>
    <w:sectPr w:rsidR="002E1EEA" w:rsidRPr="00465D47" w:rsidSect="002359AC">
      <w:footerReference w:type="default" r:id="rId8"/>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484" w:rsidRDefault="000B2484" w:rsidP="00A75627">
      <w:r>
        <w:separator/>
      </w:r>
    </w:p>
  </w:endnote>
  <w:endnote w:type="continuationSeparator" w:id="0">
    <w:p w:rsidR="000B2484" w:rsidRDefault="000B2484" w:rsidP="00A7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EEA" w:rsidRDefault="002E1EEA">
    <w:pPr>
      <w:pStyle w:val="Footer"/>
      <w:jc w:val="right"/>
    </w:pPr>
    <w:r>
      <w:fldChar w:fldCharType="begin"/>
    </w:r>
    <w:r>
      <w:instrText xml:space="preserve"> PAGE   \* MERGEFORMAT </w:instrText>
    </w:r>
    <w:r>
      <w:fldChar w:fldCharType="separate"/>
    </w:r>
    <w:r w:rsidR="00BF0DD8">
      <w:rPr>
        <w:noProof/>
      </w:rPr>
      <w:t>2</w:t>
    </w:r>
    <w:r>
      <w:rPr>
        <w:noProof/>
      </w:rPr>
      <w:fldChar w:fldCharType="end"/>
    </w:r>
  </w:p>
  <w:p w:rsidR="00A75627" w:rsidRPr="00D063EA" w:rsidRDefault="00A75627" w:rsidP="00A75627">
    <w:pPr>
      <w:pStyle w:val="Footer"/>
      <w:rPr>
        <w:lang w:val="sq-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484" w:rsidRDefault="000B2484" w:rsidP="00A75627">
      <w:r>
        <w:separator/>
      </w:r>
    </w:p>
  </w:footnote>
  <w:footnote w:type="continuationSeparator" w:id="0">
    <w:p w:rsidR="000B2484" w:rsidRDefault="000B2484" w:rsidP="00A75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5443B"/>
    <w:multiLevelType w:val="hybridMultilevel"/>
    <w:tmpl w:val="24FC55CC"/>
    <w:lvl w:ilvl="0" w:tplc="FAC02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9E7161"/>
    <w:multiLevelType w:val="hybridMultilevel"/>
    <w:tmpl w:val="87E4DB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B5726E"/>
    <w:multiLevelType w:val="multilevel"/>
    <w:tmpl w:val="2980990C"/>
    <w:lvl w:ilvl="0">
      <w:start w:val="1"/>
      <w:numFmt w:val="decimal"/>
      <w:lvlText w:val="%1."/>
      <w:lvlJc w:val="left"/>
      <w:pPr>
        <w:ind w:left="1170" w:hanging="360"/>
      </w:pPr>
      <w:rPr>
        <w:rFonts w:ascii="Times New Roman" w:eastAsia="Calibri" w:hAnsi="Times New Roman" w:cs="Times New Roman"/>
        <w:b w:val="0"/>
      </w:rPr>
    </w:lvl>
    <w:lvl w:ilvl="1">
      <w:start w:val="1"/>
      <w:numFmt w:val="decimal"/>
      <w:isLgl/>
      <w:lvlText w:val="%1.%2."/>
      <w:lvlJc w:val="left"/>
      <w:pPr>
        <w:ind w:left="1170" w:hanging="360"/>
      </w:pPr>
      <w:rPr>
        <w:rFonts w:eastAsia="Times New Roman"/>
        <w:b w:val="0"/>
      </w:rPr>
    </w:lvl>
    <w:lvl w:ilvl="2">
      <w:start w:val="1"/>
      <w:numFmt w:val="decimal"/>
      <w:isLgl/>
      <w:lvlText w:val="%1.%2.%3."/>
      <w:lvlJc w:val="left"/>
      <w:pPr>
        <w:ind w:left="1620" w:hanging="720"/>
      </w:pPr>
      <w:rPr>
        <w:rFonts w:eastAsia="Times New Roman"/>
        <w:b/>
      </w:rPr>
    </w:lvl>
    <w:lvl w:ilvl="3">
      <w:start w:val="1"/>
      <w:numFmt w:val="decimal"/>
      <w:isLgl/>
      <w:lvlText w:val="%1.%2.%3.%4."/>
      <w:lvlJc w:val="left"/>
      <w:pPr>
        <w:ind w:left="1710" w:hanging="720"/>
      </w:pPr>
      <w:rPr>
        <w:rFonts w:eastAsia="Times New Roman"/>
        <w:b/>
      </w:rPr>
    </w:lvl>
    <w:lvl w:ilvl="4">
      <w:start w:val="1"/>
      <w:numFmt w:val="decimal"/>
      <w:isLgl/>
      <w:lvlText w:val="%1.%2.%3.%4.%5."/>
      <w:lvlJc w:val="left"/>
      <w:pPr>
        <w:ind w:left="2160" w:hanging="1080"/>
      </w:pPr>
      <w:rPr>
        <w:rFonts w:eastAsia="Times New Roman"/>
        <w:b/>
      </w:rPr>
    </w:lvl>
    <w:lvl w:ilvl="5">
      <w:start w:val="1"/>
      <w:numFmt w:val="decimal"/>
      <w:isLgl/>
      <w:lvlText w:val="%1.%2.%3.%4.%5.%6."/>
      <w:lvlJc w:val="left"/>
      <w:pPr>
        <w:ind w:left="2250" w:hanging="1080"/>
      </w:pPr>
      <w:rPr>
        <w:rFonts w:eastAsia="Times New Roman"/>
        <w:b/>
      </w:rPr>
    </w:lvl>
    <w:lvl w:ilvl="6">
      <w:start w:val="1"/>
      <w:numFmt w:val="decimal"/>
      <w:isLgl/>
      <w:lvlText w:val="%1.%2.%3.%4.%5.%6.%7."/>
      <w:lvlJc w:val="left"/>
      <w:pPr>
        <w:ind w:left="2700" w:hanging="1440"/>
      </w:pPr>
      <w:rPr>
        <w:rFonts w:eastAsia="Times New Roman"/>
        <w:b/>
      </w:rPr>
    </w:lvl>
    <w:lvl w:ilvl="7">
      <w:start w:val="1"/>
      <w:numFmt w:val="decimal"/>
      <w:isLgl/>
      <w:lvlText w:val="%1.%2.%3.%4.%5.%6.%7.%8."/>
      <w:lvlJc w:val="left"/>
      <w:pPr>
        <w:ind w:left="2790" w:hanging="1440"/>
      </w:pPr>
      <w:rPr>
        <w:rFonts w:eastAsia="Times New Roman"/>
        <w:b/>
      </w:rPr>
    </w:lvl>
    <w:lvl w:ilvl="8">
      <w:start w:val="1"/>
      <w:numFmt w:val="decimal"/>
      <w:isLgl/>
      <w:lvlText w:val="%1.%2.%3.%4.%5.%6.%7.%8.%9."/>
      <w:lvlJc w:val="left"/>
      <w:pPr>
        <w:ind w:left="3240" w:hanging="1800"/>
      </w:pPr>
      <w:rPr>
        <w:rFonts w:eastAsia="Times New Roman"/>
        <w:b/>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69"/>
    <w:rsid w:val="00014808"/>
    <w:rsid w:val="000205C2"/>
    <w:rsid w:val="00021C59"/>
    <w:rsid w:val="000B0F85"/>
    <w:rsid w:val="000B2484"/>
    <w:rsid w:val="001314FC"/>
    <w:rsid w:val="00132BAB"/>
    <w:rsid w:val="001632A9"/>
    <w:rsid w:val="001642BA"/>
    <w:rsid w:val="0019498C"/>
    <w:rsid w:val="001D443B"/>
    <w:rsid w:val="001F462D"/>
    <w:rsid w:val="00217B83"/>
    <w:rsid w:val="002359AC"/>
    <w:rsid w:val="00236A14"/>
    <w:rsid w:val="00237051"/>
    <w:rsid w:val="00237786"/>
    <w:rsid w:val="00240D0B"/>
    <w:rsid w:val="002713C3"/>
    <w:rsid w:val="002850C1"/>
    <w:rsid w:val="002D47B1"/>
    <w:rsid w:val="002E1EEA"/>
    <w:rsid w:val="002E7201"/>
    <w:rsid w:val="003356DB"/>
    <w:rsid w:val="00343375"/>
    <w:rsid w:val="00345328"/>
    <w:rsid w:val="003549B2"/>
    <w:rsid w:val="003910B8"/>
    <w:rsid w:val="003D6581"/>
    <w:rsid w:val="003E16A6"/>
    <w:rsid w:val="003E4E6D"/>
    <w:rsid w:val="00422613"/>
    <w:rsid w:val="00437603"/>
    <w:rsid w:val="00455BFE"/>
    <w:rsid w:val="00465D47"/>
    <w:rsid w:val="004A55F7"/>
    <w:rsid w:val="004B6C3C"/>
    <w:rsid w:val="004C7C48"/>
    <w:rsid w:val="004E1EA8"/>
    <w:rsid w:val="004F00F3"/>
    <w:rsid w:val="004F02B2"/>
    <w:rsid w:val="005042C6"/>
    <w:rsid w:val="00537B69"/>
    <w:rsid w:val="00542BF1"/>
    <w:rsid w:val="00543C56"/>
    <w:rsid w:val="00544462"/>
    <w:rsid w:val="00573176"/>
    <w:rsid w:val="0057406E"/>
    <w:rsid w:val="005A17CE"/>
    <w:rsid w:val="005C1575"/>
    <w:rsid w:val="005D60E3"/>
    <w:rsid w:val="0068266A"/>
    <w:rsid w:val="00690A5E"/>
    <w:rsid w:val="006A7951"/>
    <w:rsid w:val="006D3B18"/>
    <w:rsid w:val="006E61AD"/>
    <w:rsid w:val="00793E2A"/>
    <w:rsid w:val="007B095B"/>
    <w:rsid w:val="007B26AC"/>
    <w:rsid w:val="0084506A"/>
    <w:rsid w:val="00854EC1"/>
    <w:rsid w:val="008652BF"/>
    <w:rsid w:val="008844AC"/>
    <w:rsid w:val="00892869"/>
    <w:rsid w:val="008D5AEC"/>
    <w:rsid w:val="008E320B"/>
    <w:rsid w:val="00901135"/>
    <w:rsid w:val="009137DC"/>
    <w:rsid w:val="009170BD"/>
    <w:rsid w:val="00927298"/>
    <w:rsid w:val="009441E1"/>
    <w:rsid w:val="00976114"/>
    <w:rsid w:val="009971FA"/>
    <w:rsid w:val="009C2671"/>
    <w:rsid w:val="009D7D2B"/>
    <w:rsid w:val="009F605C"/>
    <w:rsid w:val="00A158D0"/>
    <w:rsid w:val="00A27CE8"/>
    <w:rsid w:val="00A4543B"/>
    <w:rsid w:val="00A51AB0"/>
    <w:rsid w:val="00A567AD"/>
    <w:rsid w:val="00A75627"/>
    <w:rsid w:val="00A853F5"/>
    <w:rsid w:val="00AD6384"/>
    <w:rsid w:val="00B126FD"/>
    <w:rsid w:val="00B444A4"/>
    <w:rsid w:val="00B469B1"/>
    <w:rsid w:val="00B52A04"/>
    <w:rsid w:val="00BB2D62"/>
    <w:rsid w:val="00BF0DD8"/>
    <w:rsid w:val="00C02189"/>
    <w:rsid w:val="00C230D7"/>
    <w:rsid w:val="00C30F8E"/>
    <w:rsid w:val="00C71883"/>
    <w:rsid w:val="00CD2398"/>
    <w:rsid w:val="00D063EA"/>
    <w:rsid w:val="00D10EF5"/>
    <w:rsid w:val="00D152FE"/>
    <w:rsid w:val="00D33131"/>
    <w:rsid w:val="00D426AB"/>
    <w:rsid w:val="00D66A8A"/>
    <w:rsid w:val="00D66F68"/>
    <w:rsid w:val="00DC27C6"/>
    <w:rsid w:val="00DE7D0E"/>
    <w:rsid w:val="00E21074"/>
    <w:rsid w:val="00E562B7"/>
    <w:rsid w:val="00E8386B"/>
    <w:rsid w:val="00E92DD8"/>
    <w:rsid w:val="00EB77AF"/>
    <w:rsid w:val="00EF33E9"/>
    <w:rsid w:val="00F041E8"/>
    <w:rsid w:val="00F2209C"/>
    <w:rsid w:val="00F7171B"/>
    <w:rsid w:val="00FD4972"/>
    <w:rsid w:val="00FD7B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3B9C5-925B-468E-A310-071D8CDD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B6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37B69"/>
    <w:rPr>
      <w:b/>
      <w:bCs/>
    </w:rPr>
  </w:style>
  <w:style w:type="paragraph" w:styleId="ListParagraph">
    <w:name w:val="List Paragraph"/>
    <w:aliases w:val="List Paragraph2"/>
    <w:basedOn w:val="Normal"/>
    <w:link w:val="ListParagraphChar"/>
    <w:uiPriority w:val="34"/>
    <w:qFormat/>
    <w:rsid w:val="00537B69"/>
    <w:pPr>
      <w:ind w:left="720"/>
      <w:contextualSpacing/>
    </w:pPr>
    <w:rPr>
      <w:rFonts w:eastAsia="Times New Roman"/>
      <w:lang w:val="sq-AL"/>
    </w:rPr>
  </w:style>
  <w:style w:type="character" w:customStyle="1" w:styleId="JuParaCar">
    <w:name w:val="Ju_Para Car"/>
    <w:link w:val="JuPara"/>
    <w:uiPriority w:val="99"/>
    <w:locked/>
    <w:rsid w:val="00537B69"/>
    <w:rPr>
      <w:rFonts w:eastAsia="Calibri"/>
      <w:lang w:val="en-GB" w:eastAsia="fr-FR"/>
    </w:rPr>
  </w:style>
  <w:style w:type="paragraph" w:customStyle="1" w:styleId="JuPara">
    <w:name w:val="Ju_Para"/>
    <w:basedOn w:val="Normal"/>
    <w:link w:val="JuParaCar"/>
    <w:uiPriority w:val="99"/>
    <w:rsid w:val="00537B69"/>
    <w:pPr>
      <w:suppressAutoHyphens/>
      <w:ind w:firstLine="284"/>
      <w:jc w:val="both"/>
    </w:pPr>
    <w:rPr>
      <w:rFonts w:ascii="Calibri" w:hAnsi="Calibri"/>
      <w:sz w:val="20"/>
      <w:szCs w:val="20"/>
      <w:lang w:val="en-GB" w:eastAsia="fr-FR"/>
    </w:rPr>
  </w:style>
  <w:style w:type="paragraph" w:customStyle="1" w:styleId="Default">
    <w:name w:val="Default"/>
    <w:rsid w:val="0084506A"/>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rsid w:val="0084506A"/>
    <w:pPr>
      <w:spacing w:after="120"/>
      <w:ind w:left="360"/>
    </w:pPr>
    <w:rPr>
      <w:rFonts w:eastAsia="MS Mincho"/>
      <w:lang w:val="sq-AL"/>
    </w:rPr>
  </w:style>
  <w:style w:type="character" w:customStyle="1" w:styleId="BodyTextIndentChar">
    <w:name w:val="Body Text Indent Char"/>
    <w:link w:val="BodyTextIndent"/>
    <w:rsid w:val="0084506A"/>
    <w:rPr>
      <w:rFonts w:ascii="Times New Roman" w:eastAsia="MS Mincho" w:hAnsi="Times New Roman" w:cs="Times New Roman"/>
      <w:sz w:val="24"/>
      <w:szCs w:val="24"/>
      <w:lang w:val="sq-AL"/>
    </w:rPr>
  </w:style>
  <w:style w:type="character" w:customStyle="1" w:styleId="JuParaChar">
    <w:name w:val="Ju_Para Char"/>
    <w:rsid w:val="00901135"/>
    <w:rPr>
      <w:rFonts w:ascii="Times New Roman" w:eastAsia="Times New Roman" w:hAnsi="Times New Roman" w:cs="Times New Roman"/>
      <w:sz w:val="24"/>
      <w:szCs w:val="20"/>
      <w:lang w:val="en-GB" w:eastAsia="fr-FR"/>
    </w:rPr>
  </w:style>
  <w:style w:type="character" w:customStyle="1" w:styleId="ListParagraphChar">
    <w:name w:val="List Paragraph Char"/>
    <w:aliases w:val="List Paragraph2 Char"/>
    <w:link w:val="ListParagraph"/>
    <w:uiPriority w:val="34"/>
    <w:locked/>
    <w:rsid w:val="00901135"/>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A75627"/>
    <w:pPr>
      <w:tabs>
        <w:tab w:val="center" w:pos="4680"/>
        <w:tab w:val="right" w:pos="9360"/>
      </w:tabs>
    </w:pPr>
  </w:style>
  <w:style w:type="character" w:customStyle="1" w:styleId="HeaderChar">
    <w:name w:val="Header Char"/>
    <w:link w:val="Header"/>
    <w:uiPriority w:val="99"/>
    <w:rsid w:val="00A75627"/>
    <w:rPr>
      <w:rFonts w:ascii="Times New Roman" w:hAnsi="Times New Roman" w:cs="Times New Roman"/>
      <w:sz w:val="24"/>
      <w:szCs w:val="24"/>
    </w:rPr>
  </w:style>
  <w:style w:type="paragraph" w:styleId="Footer">
    <w:name w:val="footer"/>
    <w:basedOn w:val="Normal"/>
    <w:link w:val="FooterChar"/>
    <w:uiPriority w:val="99"/>
    <w:unhideWhenUsed/>
    <w:rsid w:val="00A75627"/>
    <w:pPr>
      <w:tabs>
        <w:tab w:val="center" w:pos="4680"/>
        <w:tab w:val="right" w:pos="9360"/>
      </w:tabs>
    </w:pPr>
  </w:style>
  <w:style w:type="character" w:customStyle="1" w:styleId="FooterChar">
    <w:name w:val="Footer Char"/>
    <w:link w:val="Footer"/>
    <w:uiPriority w:val="99"/>
    <w:rsid w:val="00A7562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75627"/>
    <w:rPr>
      <w:rFonts w:ascii="Segoe UI" w:eastAsia="Times New Roman" w:hAnsi="Segoe UI" w:cs="Segoe UI"/>
      <w:sz w:val="18"/>
      <w:szCs w:val="18"/>
    </w:rPr>
  </w:style>
  <w:style w:type="character" w:customStyle="1" w:styleId="BalloonTextChar">
    <w:name w:val="Balloon Text Char"/>
    <w:link w:val="BalloonText"/>
    <w:uiPriority w:val="99"/>
    <w:semiHidden/>
    <w:rsid w:val="00A75627"/>
    <w:rPr>
      <w:rFonts w:ascii="Segoe UI" w:eastAsia="Times New Roman" w:hAnsi="Segoe UI" w:cs="Segoe UI"/>
      <w:sz w:val="18"/>
      <w:szCs w:val="18"/>
    </w:rPr>
  </w:style>
  <w:style w:type="paragraph" w:styleId="NormalWeb">
    <w:name w:val="Normal (Web)"/>
    <w:basedOn w:val="Normal"/>
    <w:uiPriority w:val="99"/>
    <w:semiHidden/>
    <w:unhideWhenUsed/>
    <w:rsid w:val="00EF33E9"/>
    <w:pPr>
      <w:spacing w:before="100" w:beforeAutospacing="1" w:after="100" w:afterAutospacing="1"/>
    </w:pPr>
    <w:rPr>
      <w:rFonts w:eastAsia="Times New Roman"/>
    </w:rPr>
  </w:style>
  <w:style w:type="paragraph" w:styleId="BodyText">
    <w:name w:val="Body Text"/>
    <w:basedOn w:val="Normal"/>
    <w:link w:val="BodyTextChar"/>
    <w:uiPriority w:val="99"/>
    <w:semiHidden/>
    <w:unhideWhenUsed/>
    <w:rsid w:val="00465D47"/>
    <w:pPr>
      <w:spacing w:after="120"/>
    </w:pPr>
  </w:style>
  <w:style w:type="character" w:customStyle="1" w:styleId="BodyTextChar">
    <w:name w:val="Body Text Char"/>
    <w:link w:val="BodyText"/>
    <w:uiPriority w:val="99"/>
    <w:semiHidden/>
    <w:rsid w:val="00465D47"/>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8255">
      <w:bodyDiv w:val="1"/>
      <w:marLeft w:val="0"/>
      <w:marRight w:val="0"/>
      <w:marTop w:val="0"/>
      <w:marBottom w:val="0"/>
      <w:divBdr>
        <w:top w:val="none" w:sz="0" w:space="0" w:color="auto"/>
        <w:left w:val="none" w:sz="0" w:space="0" w:color="auto"/>
        <w:bottom w:val="none" w:sz="0" w:space="0" w:color="auto"/>
        <w:right w:val="none" w:sz="0" w:space="0" w:color="auto"/>
      </w:divBdr>
    </w:div>
    <w:div w:id="829297511">
      <w:bodyDiv w:val="1"/>
      <w:marLeft w:val="0"/>
      <w:marRight w:val="0"/>
      <w:marTop w:val="0"/>
      <w:marBottom w:val="0"/>
      <w:divBdr>
        <w:top w:val="none" w:sz="0" w:space="0" w:color="auto"/>
        <w:left w:val="none" w:sz="0" w:space="0" w:color="auto"/>
        <w:bottom w:val="none" w:sz="0" w:space="0" w:color="auto"/>
        <w:right w:val="none" w:sz="0" w:space="0" w:color="auto"/>
      </w:divBdr>
    </w:div>
    <w:div w:id="16120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EDE6-83A3-4E8D-ADE0-7FC9447C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Gjykata Administrative e Shkalles se Pare Tirane</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Gjykata Administrative e Shkalles se Pare Tirane</dc:title>
  <dc:subject>Dt.10.03.2021</dc:subject>
  <dc:creator>Vitore TUSHA</dc:creator>
  <cp:keywords>Kaliona NUSHI</cp:keywords>
  <cp:lastModifiedBy>dritantelhaj@gmail.com</cp:lastModifiedBy>
  <cp:revision>2</cp:revision>
  <cp:lastPrinted>2021-03-11T09:18:00Z</cp:lastPrinted>
  <dcterms:created xsi:type="dcterms:W3CDTF">2021-03-18T18:07:00Z</dcterms:created>
  <dcterms:modified xsi:type="dcterms:W3CDTF">2021-03-18T18:07:00Z</dcterms:modified>
</cp:coreProperties>
</file>