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EE" w:rsidRPr="002A43EE" w:rsidRDefault="002A43EE" w:rsidP="002A43EE">
      <w:pPr>
        <w:spacing w:after="0" w:line="360" w:lineRule="auto"/>
        <w:jc w:val="center"/>
        <w:rPr>
          <w:rFonts w:ascii="Times New Roman" w:eastAsiaTheme="minorHAnsi" w:hAnsi="Times New Roman"/>
          <w:b/>
          <w:bCs/>
          <w:sz w:val="24"/>
          <w:szCs w:val="24"/>
          <w:lang w:val="sq-AL"/>
        </w:rPr>
      </w:pPr>
    </w:p>
    <w:p w:rsidR="002A43EE" w:rsidRPr="00231E6D" w:rsidRDefault="00F45804" w:rsidP="00231E6D">
      <w:pPr>
        <w:spacing w:line="360" w:lineRule="auto"/>
        <w:jc w:val="center"/>
        <w:rPr>
          <w:rFonts w:ascii="Times New Roman" w:hAnsi="Times New Roman"/>
          <w:b/>
          <w:bCs/>
          <w:lang w:val="it-IT"/>
        </w:rPr>
      </w:pPr>
      <w:r w:rsidRPr="00F45804">
        <w:rPr>
          <w:rFonts w:ascii="Times New Roman" w:hAnsi="Times New Roman"/>
          <w:b/>
          <w:bCs/>
          <w:lang w:val="it-IT"/>
        </w:rPr>
        <w:t>Vendim</w:t>
      </w:r>
      <w:r>
        <w:rPr>
          <w:rFonts w:ascii="Times New Roman" w:hAnsi="Times New Roman"/>
          <w:b/>
          <w:bCs/>
          <w:lang w:val="it-IT"/>
        </w:rPr>
        <w:t xml:space="preserve"> nr. 130</w:t>
      </w:r>
      <w:r w:rsidRPr="00F45804">
        <w:rPr>
          <w:rFonts w:ascii="Times New Roman" w:hAnsi="Times New Roman"/>
          <w:b/>
          <w:bCs/>
          <w:lang w:val="it-IT"/>
        </w:rPr>
        <w:t>, dat</w:t>
      </w:r>
      <w:r w:rsidRPr="00F45804">
        <w:rPr>
          <w:rFonts w:ascii="Times New Roman" w:hAnsi="Times New Roman"/>
          <w:b/>
          <w:lang w:val="it-IT"/>
        </w:rPr>
        <w:t xml:space="preserve">ë </w:t>
      </w:r>
      <w:r w:rsidR="00231E6D" w:rsidRPr="00766090">
        <w:rPr>
          <w:rFonts w:ascii="Times New Roman" w:eastAsia="Times New Roman" w:hAnsi="Times New Roman"/>
          <w:b/>
          <w:bCs/>
          <w:sz w:val="24"/>
          <w:szCs w:val="24"/>
          <w:lang w:val="sq-AL"/>
        </w:rPr>
        <w:t>05.11.</w:t>
      </w:r>
      <w:r w:rsidR="00231E6D" w:rsidRPr="00766090">
        <w:rPr>
          <w:rFonts w:ascii="Times New Roman" w:hAnsi="Times New Roman"/>
          <w:b/>
          <w:sz w:val="24"/>
          <w:szCs w:val="24"/>
          <w:lang w:val="sq-AL"/>
        </w:rPr>
        <w:t>2021</w:t>
      </w:r>
    </w:p>
    <w:p w:rsidR="002A43EE" w:rsidRPr="002A43EE" w:rsidRDefault="002A43EE" w:rsidP="002A43EE">
      <w:pPr>
        <w:spacing w:after="0" w:line="360" w:lineRule="auto"/>
        <w:jc w:val="center"/>
        <w:rPr>
          <w:rFonts w:ascii="Times New Roman" w:eastAsiaTheme="minorHAnsi" w:hAnsi="Times New Roman"/>
          <w:b/>
          <w:bCs/>
          <w:sz w:val="24"/>
          <w:szCs w:val="24"/>
          <w:lang w:val="sq-AL"/>
        </w:rPr>
      </w:pPr>
    </w:p>
    <w:p w:rsidR="002A43EE" w:rsidRPr="002A43EE" w:rsidRDefault="002A43EE" w:rsidP="002A43EE">
      <w:pPr>
        <w:tabs>
          <w:tab w:val="left" w:pos="0"/>
          <w:tab w:val="left" w:pos="720"/>
        </w:tabs>
        <w:spacing w:after="0" w:line="360" w:lineRule="auto"/>
        <w:jc w:val="both"/>
        <w:rPr>
          <w:rFonts w:ascii="Times New Roman" w:eastAsiaTheme="minorHAnsi" w:hAnsi="Times New Roman"/>
          <w:sz w:val="24"/>
          <w:szCs w:val="24"/>
          <w:lang w:val="sq-AL"/>
        </w:rPr>
      </w:pPr>
      <w:r w:rsidRPr="002A43EE">
        <w:rPr>
          <w:rFonts w:ascii="Times New Roman" w:eastAsiaTheme="minorHAnsi" w:hAnsi="Times New Roman"/>
          <w:sz w:val="24"/>
          <w:szCs w:val="24"/>
          <w:lang w:val="sq-AL"/>
        </w:rPr>
        <w:tab/>
        <w:t>Kolegji i Gjykatës Kushtetuese të Republikës së Shqipërisë, i përbërë nga:</w:t>
      </w:r>
    </w:p>
    <w:p w:rsidR="002A43EE" w:rsidRPr="002A43EE" w:rsidRDefault="002A43EE" w:rsidP="002A43EE">
      <w:pPr>
        <w:tabs>
          <w:tab w:val="left" w:pos="0"/>
          <w:tab w:val="left" w:pos="720"/>
        </w:tabs>
        <w:spacing w:after="0" w:line="360" w:lineRule="auto"/>
        <w:jc w:val="both"/>
        <w:rPr>
          <w:rFonts w:ascii="Times New Roman" w:eastAsiaTheme="minorHAnsi" w:hAnsi="Times New Roman"/>
          <w:sz w:val="24"/>
          <w:szCs w:val="24"/>
          <w:lang w:val="sq-AL"/>
        </w:rPr>
      </w:pPr>
    </w:p>
    <w:p w:rsidR="002A43EE" w:rsidRPr="002A43EE" w:rsidRDefault="002A43EE" w:rsidP="00801C10">
      <w:pPr>
        <w:spacing w:after="0" w:line="360" w:lineRule="auto"/>
        <w:ind w:left="720" w:firstLine="720"/>
        <w:jc w:val="both"/>
        <w:rPr>
          <w:rFonts w:ascii="Times New Roman" w:eastAsiaTheme="minorHAnsi" w:hAnsi="Times New Roman"/>
          <w:bCs/>
          <w:sz w:val="24"/>
          <w:szCs w:val="24"/>
          <w:lang w:val="sq-AL"/>
        </w:rPr>
      </w:pPr>
      <w:r w:rsidRPr="002A43EE">
        <w:rPr>
          <w:rFonts w:ascii="Times New Roman" w:eastAsiaTheme="minorHAnsi" w:hAnsi="Times New Roman"/>
          <w:bCs/>
          <w:sz w:val="24"/>
          <w:szCs w:val="24"/>
          <w:lang w:val="sq-AL"/>
        </w:rPr>
        <w:t xml:space="preserve">Vitore Tusha, </w:t>
      </w:r>
      <w:r w:rsidRPr="002A43EE">
        <w:rPr>
          <w:rFonts w:ascii="Times New Roman" w:eastAsiaTheme="minorHAnsi" w:hAnsi="Times New Roman"/>
          <w:bCs/>
          <w:sz w:val="24"/>
          <w:szCs w:val="24"/>
          <w:lang w:val="sq-AL"/>
        </w:rPr>
        <w:tab/>
      </w:r>
      <w:r w:rsidRPr="002A43EE">
        <w:rPr>
          <w:rFonts w:ascii="Times New Roman" w:eastAsiaTheme="minorHAnsi" w:hAnsi="Times New Roman"/>
          <w:bCs/>
          <w:sz w:val="24"/>
          <w:szCs w:val="24"/>
          <w:lang w:val="sq-AL"/>
        </w:rPr>
        <w:tab/>
      </w:r>
      <w:r w:rsidR="00801C10">
        <w:rPr>
          <w:rFonts w:ascii="Times New Roman" w:eastAsiaTheme="minorHAnsi" w:hAnsi="Times New Roman"/>
          <w:bCs/>
          <w:sz w:val="24"/>
          <w:szCs w:val="24"/>
          <w:lang w:val="sq-AL"/>
        </w:rPr>
        <w:tab/>
      </w:r>
      <w:r w:rsidRPr="002A43EE">
        <w:rPr>
          <w:rFonts w:ascii="Times New Roman" w:eastAsiaTheme="minorHAnsi" w:hAnsi="Times New Roman"/>
          <w:bCs/>
          <w:sz w:val="24"/>
          <w:szCs w:val="24"/>
          <w:lang w:val="sq-AL"/>
        </w:rPr>
        <w:t xml:space="preserve">Kryetare </w:t>
      </w:r>
    </w:p>
    <w:p w:rsidR="002A43EE" w:rsidRPr="002A43EE" w:rsidRDefault="002A43EE" w:rsidP="00801C10">
      <w:pPr>
        <w:spacing w:after="0" w:line="360" w:lineRule="auto"/>
        <w:ind w:left="720" w:firstLine="720"/>
        <w:jc w:val="both"/>
        <w:rPr>
          <w:rFonts w:ascii="Times New Roman" w:eastAsiaTheme="minorHAnsi" w:hAnsi="Times New Roman"/>
          <w:bCs/>
          <w:sz w:val="24"/>
          <w:szCs w:val="24"/>
          <w:lang w:val="sq-AL"/>
        </w:rPr>
      </w:pPr>
      <w:r>
        <w:rPr>
          <w:rFonts w:ascii="Times New Roman" w:eastAsiaTheme="minorHAnsi" w:hAnsi="Times New Roman"/>
          <w:bCs/>
          <w:sz w:val="24"/>
          <w:szCs w:val="24"/>
          <w:lang w:val="sq-AL"/>
        </w:rPr>
        <w:t>Marsida Xhaferllari</w:t>
      </w:r>
      <w:r w:rsidRPr="002A43EE">
        <w:rPr>
          <w:rFonts w:ascii="Times New Roman" w:eastAsiaTheme="minorHAnsi" w:hAnsi="Times New Roman"/>
          <w:bCs/>
          <w:sz w:val="24"/>
          <w:szCs w:val="24"/>
          <w:lang w:val="sq-AL"/>
        </w:rPr>
        <w:t>,</w:t>
      </w:r>
      <w:r w:rsidRPr="002A43EE">
        <w:rPr>
          <w:rFonts w:ascii="Times New Roman" w:eastAsiaTheme="minorHAnsi" w:hAnsi="Times New Roman"/>
          <w:bCs/>
          <w:sz w:val="24"/>
          <w:szCs w:val="24"/>
          <w:lang w:val="sq-AL"/>
        </w:rPr>
        <w:tab/>
      </w:r>
      <w:r w:rsidR="00801C10">
        <w:rPr>
          <w:rFonts w:ascii="Times New Roman" w:eastAsiaTheme="minorHAnsi" w:hAnsi="Times New Roman"/>
          <w:bCs/>
          <w:sz w:val="24"/>
          <w:szCs w:val="24"/>
          <w:lang w:val="sq-AL"/>
        </w:rPr>
        <w:tab/>
      </w:r>
      <w:r w:rsidRPr="002A43EE">
        <w:rPr>
          <w:rFonts w:ascii="Times New Roman" w:eastAsiaTheme="minorHAnsi" w:hAnsi="Times New Roman"/>
          <w:bCs/>
          <w:sz w:val="24"/>
          <w:szCs w:val="24"/>
          <w:lang w:val="sq-AL"/>
        </w:rPr>
        <w:t>Anëtar</w:t>
      </w:r>
      <w:r>
        <w:rPr>
          <w:rFonts w:ascii="Times New Roman" w:eastAsiaTheme="minorHAnsi" w:hAnsi="Times New Roman"/>
          <w:bCs/>
          <w:sz w:val="24"/>
          <w:szCs w:val="24"/>
          <w:lang w:val="sq-AL"/>
        </w:rPr>
        <w:t>e</w:t>
      </w:r>
      <w:r w:rsidRPr="002A43EE">
        <w:rPr>
          <w:rFonts w:ascii="Times New Roman" w:eastAsiaTheme="minorHAnsi" w:hAnsi="Times New Roman"/>
          <w:bCs/>
          <w:sz w:val="24"/>
          <w:szCs w:val="24"/>
          <w:lang w:val="sq-AL"/>
        </w:rPr>
        <w:t xml:space="preserve">   </w:t>
      </w:r>
    </w:p>
    <w:p w:rsidR="002A43EE" w:rsidRPr="002A43EE" w:rsidRDefault="002A43EE" w:rsidP="00801C10">
      <w:pPr>
        <w:spacing w:after="0" w:line="360" w:lineRule="auto"/>
        <w:ind w:left="720" w:firstLine="720"/>
        <w:jc w:val="both"/>
        <w:rPr>
          <w:rFonts w:ascii="Times New Roman" w:eastAsiaTheme="minorHAnsi" w:hAnsi="Times New Roman"/>
          <w:bCs/>
          <w:sz w:val="24"/>
          <w:szCs w:val="24"/>
          <w:lang w:val="sq-AL"/>
        </w:rPr>
      </w:pPr>
      <w:r>
        <w:rPr>
          <w:rFonts w:ascii="Times New Roman" w:eastAsiaTheme="minorHAnsi" w:hAnsi="Times New Roman"/>
          <w:bCs/>
          <w:sz w:val="24"/>
          <w:szCs w:val="24"/>
          <w:lang w:val="sq-AL"/>
        </w:rPr>
        <w:t>Altin Binaj,</w:t>
      </w:r>
      <w:r>
        <w:rPr>
          <w:rFonts w:ascii="Times New Roman" w:eastAsiaTheme="minorHAnsi" w:hAnsi="Times New Roman"/>
          <w:bCs/>
          <w:sz w:val="24"/>
          <w:szCs w:val="24"/>
          <w:lang w:val="sq-AL"/>
        </w:rPr>
        <w:tab/>
      </w:r>
      <w:r>
        <w:rPr>
          <w:rFonts w:ascii="Times New Roman" w:eastAsiaTheme="minorHAnsi" w:hAnsi="Times New Roman"/>
          <w:bCs/>
          <w:sz w:val="24"/>
          <w:szCs w:val="24"/>
          <w:lang w:val="sq-AL"/>
        </w:rPr>
        <w:tab/>
      </w:r>
      <w:r w:rsidR="00801C10">
        <w:rPr>
          <w:rFonts w:ascii="Times New Roman" w:eastAsiaTheme="minorHAnsi" w:hAnsi="Times New Roman"/>
          <w:bCs/>
          <w:sz w:val="24"/>
          <w:szCs w:val="24"/>
          <w:lang w:val="sq-AL"/>
        </w:rPr>
        <w:tab/>
      </w:r>
      <w:r>
        <w:rPr>
          <w:rFonts w:ascii="Times New Roman" w:eastAsiaTheme="minorHAnsi" w:hAnsi="Times New Roman"/>
          <w:bCs/>
          <w:sz w:val="24"/>
          <w:szCs w:val="24"/>
          <w:lang w:val="sq-AL"/>
        </w:rPr>
        <w:t>Anëtar</w:t>
      </w:r>
      <w:r w:rsidRPr="002A43EE">
        <w:rPr>
          <w:rFonts w:ascii="Times New Roman" w:eastAsiaTheme="minorHAnsi" w:hAnsi="Times New Roman"/>
          <w:bCs/>
          <w:sz w:val="24"/>
          <w:szCs w:val="24"/>
          <w:lang w:val="sq-AL"/>
        </w:rPr>
        <w:t xml:space="preserve">  </w:t>
      </w:r>
      <w:r>
        <w:rPr>
          <w:rFonts w:ascii="Times New Roman" w:eastAsiaTheme="minorHAnsi" w:hAnsi="Times New Roman"/>
          <w:bCs/>
          <w:sz w:val="24"/>
          <w:szCs w:val="24"/>
          <w:lang w:val="sq-AL"/>
        </w:rPr>
        <w:t xml:space="preserve">   </w:t>
      </w:r>
    </w:p>
    <w:p w:rsidR="002A43EE" w:rsidRPr="002A43EE" w:rsidRDefault="002A43EE" w:rsidP="002A43EE">
      <w:pPr>
        <w:spacing w:after="0" w:line="360" w:lineRule="auto"/>
        <w:jc w:val="both"/>
        <w:rPr>
          <w:rFonts w:ascii="Times New Roman" w:eastAsiaTheme="minorHAnsi" w:hAnsi="Times New Roman"/>
          <w:sz w:val="24"/>
          <w:szCs w:val="24"/>
          <w:lang w:val="sq-AL"/>
        </w:rPr>
      </w:pPr>
    </w:p>
    <w:p w:rsidR="002A43EE" w:rsidRPr="002A43EE" w:rsidRDefault="002A43EE" w:rsidP="002A43EE">
      <w:pPr>
        <w:spacing w:after="0" w:line="360" w:lineRule="auto"/>
        <w:jc w:val="both"/>
        <w:rPr>
          <w:rFonts w:ascii="Times New Roman" w:eastAsiaTheme="minorHAnsi" w:hAnsi="Times New Roman"/>
          <w:sz w:val="24"/>
          <w:szCs w:val="24"/>
          <w:lang w:val="sq-AL"/>
        </w:rPr>
      </w:pPr>
      <w:r w:rsidRPr="002A43EE">
        <w:rPr>
          <w:rFonts w:ascii="Times New Roman" w:eastAsiaTheme="minorHAnsi" w:hAnsi="Times New Roman"/>
          <w:sz w:val="24"/>
          <w:szCs w:val="24"/>
          <w:lang w:val="sq-AL"/>
        </w:rPr>
        <w:t xml:space="preserve">në datën </w:t>
      </w:r>
      <w:r w:rsidR="00220661" w:rsidRPr="00766090">
        <w:rPr>
          <w:rFonts w:ascii="Times New Roman" w:eastAsiaTheme="minorHAnsi" w:hAnsi="Times New Roman"/>
          <w:sz w:val="24"/>
          <w:szCs w:val="24"/>
          <w:lang w:val="sq-AL"/>
        </w:rPr>
        <w:t>05</w:t>
      </w:r>
      <w:r w:rsidRPr="00766090">
        <w:rPr>
          <w:rFonts w:ascii="Times New Roman" w:eastAsiaTheme="minorHAnsi" w:hAnsi="Times New Roman"/>
          <w:sz w:val="24"/>
          <w:szCs w:val="24"/>
          <w:lang w:val="sq-AL"/>
        </w:rPr>
        <w:t>.1</w:t>
      </w:r>
      <w:r w:rsidR="00220661" w:rsidRPr="00766090">
        <w:rPr>
          <w:rFonts w:ascii="Times New Roman" w:eastAsiaTheme="minorHAnsi" w:hAnsi="Times New Roman"/>
          <w:sz w:val="24"/>
          <w:szCs w:val="24"/>
          <w:lang w:val="sq-AL"/>
        </w:rPr>
        <w:t>1</w:t>
      </w:r>
      <w:r w:rsidRPr="00766090">
        <w:rPr>
          <w:rFonts w:ascii="Times New Roman" w:eastAsiaTheme="minorHAnsi" w:hAnsi="Times New Roman"/>
          <w:sz w:val="24"/>
          <w:szCs w:val="24"/>
          <w:lang w:val="sq-AL"/>
        </w:rPr>
        <w:t>.2021 mori në shqyrtim paraprak kërkesën nr. 10 (E) 2021</w:t>
      </w:r>
      <w:r w:rsidRPr="002A43EE">
        <w:rPr>
          <w:rFonts w:ascii="Times New Roman" w:eastAsiaTheme="minorHAnsi" w:hAnsi="Times New Roman"/>
          <w:sz w:val="24"/>
          <w:szCs w:val="24"/>
          <w:lang w:val="sq-AL"/>
        </w:rPr>
        <w:t xml:space="preserve"> të Regjistrit Themeltar, që i përket:</w:t>
      </w:r>
    </w:p>
    <w:p w:rsidR="002A43EE" w:rsidRDefault="002A43EE" w:rsidP="002A43EE">
      <w:pPr>
        <w:spacing w:after="0" w:line="360" w:lineRule="auto"/>
        <w:jc w:val="center"/>
        <w:rPr>
          <w:rFonts w:ascii="Times New Roman" w:hAnsi="Times New Roman"/>
          <w:b/>
          <w:sz w:val="24"/>
          <w:szCs w:val="24"/>
          <w:lang w:val="sq-AL"/>
        </w:rPr>
      </w:pPr>
    </w:p>
    <w:p w:rsidR="002A43EE" w:rsidRDefault="002A43EE" w:rsidP="002A43EE">
      <w:pPr>
        <w:spacing w:after="0" w:line="360" w:lineRule="auto"/>
        <w:ind w:firstLine="720"/>
        <w:jc w:val="both"/>
        <w:rPr>
          <w:rFonts w:ascii="Times New Roman" w:hAnsi="Times New Roman"/>
          <w:b/>
          <w:sz w:val="24"/>
          <w:szCs w:val="24"/>
          <w:lang w:val="sq-AL"/>
        </w:rPr>
      </w:pPr>
      <w:r>
        <w:rPr>
          <w:rFonts w:ascii="Times New Roman" w:hAnsi="Times New Roman"/>
          <w:b/>
          <w:sz w:val="24"/>
          <w:szCs w:val="24"/>
          <w:lang w:val="sq-AL"/>
        </w:rPr>
        <w:t>KËRKUES:</w:t>
      </w:r>
      <w:r>
        <w:rPr>
          <w:rFonts w:ascii="Times New Roman" w:hAnsi="Times New Roman"/>
          <w:b/>
          <w:sz w:val="24"/>
          <w:szCs w:val="24"/>
          <w:lang w:val="sq-AL"/>
        </w:rPr>
        <w:tab/>
      </w:r>
      <w:r>
        <w:rPr>
          <w:rFonts w:ascii="Times New Roman" w:hAnsi="Times New Roman"/>
          <w:b/>
          <w:sz w:val="24"/>
          <w:szCs w:val="24"/>
          <w:lang w:val="sq-AL"/>
        </w:rPr>
        <w:tab/>
        <w:t>EMILJANO SHULLAZI</w:t>
      </w:r>
    </w:p>
    <w:p w:rsidR="002A43EE" w:rsidRDefault="002A43EE" w:rsidP="002A43EE">
      <w:pPr>
        <w:spacing w:after="0" w:line="360" w:lineRule="auto"/>
        <w:jc w:val="both"/>
        <w:rPr>
          <w:rFonts w:ascii="Times New Roman" w:hAnsi="Times New Roman"/>
          <w:b/>
          <w:sz w:val="24"/>
          <w:szCs w:val="24"/>
          <w:lang w:val="sq-AL"/>
        </w:rPr>
      </w:pPr>
    </w:p>
    <w:p w:rsidR="002A43EE" w:rsidRDefault="002A43EE" w:rsidP="002A43EE">
      <w:pPr>
        <w:spacing w:after="0" w:line="360" w:lineRule="auto"/>
        <w:ind w:left="2880" w:hanging="2160"/>
        <w:jc w:val="both"/>
        <w:rPr>
          <w:rFonts w:ascii="Times New Roman" w:hAnsi="Times New Roman"/>
          <w:b/>
          <w:sz w:val="24"/>
          <w:szCs w:val="24"/>
          <w:lang w:val="sq-AL"/>
        </w:rPr>
      </w:pPr>
      <w:r>
        <w:rPr>
          <w:rFonts w:ascii="Times New Roman" w:hAnsi="Times New Roman"/>
          <w:b/>
          <w:sz w:val="24"/>
          <w:szCs w:val="24"/>
          <w:lang w:val="sq-AL"/>
        </w:rPr>
        <w:t>OBJEKTI:</w:t>
      </w:r>
      <w:r>
        <w:rPr>
          <w:rFonts w:ascii="Times New Roman" w:hAnsi="Times New Roman"/>
          <w:b/>
          <w:sz w:val="24"/>
          <w:szCs w:val="24"/>
          <w:lang w:val="sq-AL"/>
        </w:rPr>
        <w:tab/>
        <w:t>Shfuqizimi i vendimeve nr. 11, datë 14.04.2021 të Gjykatës së Posaçme të Apelit për Korrupsionin dhe Krimin e Organizuar dhe nr. 00-2021-328, datë 25.05.2021 të Kolegjit Penal të Gjykatës së Lartë, si të papajtueshëm me Kushtetutën</w:t>
      </w:r>
      <w:r w:rsidR="00CD53D4">
        <w:rPr>
          <w:rFonts w:ascii="Times New Roman" w:hAnsi="Times New Roman"/>
          <w:b/>
          <w:sz w:val="24"/>
          <w:szCs w:val="24"/>
          <w:lang w:val="sq-AL"/>
        </w:rPr>
        <w:t xml:space="preserve"> e Republikës së Shqipërisë</w:t>
      </w:r>
      <w:r>
        <w:rPr>
          <w:rFonts w:ascii="Times New Roman" w:hAnsi="Times New Roman"/>
          <w:b/>
          <w:sz w:val="24"/>
          <w:szCs w:val="24"/>
          <w:lang w:val="sq-AL"/>
        </w:rPr>
        <w:t>.</w:t>
      </w:r>
    </w:p>
    <w:p w:rsidR="002A43EE" w:rsidRDefault="002A43EE" w:rsidP="002A43EE">
      <w:pPr>
        <w:spacing w:after="0" w:line="360" w:lineRule="auto"/>
        <w:ind w:left="2880" w:hanging="2160"/>
        <w:jc w:val="both"/>
        <w:rPr>
          <w:rFonts w:ascii="Times New Roman" w:hAnsi="Times New Roman"/>
          <w:b/>
          <w:sz w:val="24"/>
          <w:szCs w:val="24"/>
          <w:lang w:val="sq-AL"/>
        </w:rPr>
      </w:pPr>
    </w:p>
    <w:p w:rsidR="002A43EE" w:rsidRPr="00B2634B" w:rsidRDefault="002A43EE" w:rsidP="002A43EE">
      <w:pPr>
        <w:spacing w:after="0" w:line="360" w:lineRule="auto"/>
        <w:ind w:left="2880" w:hanging="2160"/>
        <w:jc w:val="both"/>
        <w:rPr>
          <w:rFonts w:ascii="Times New Roman" w:hAnsi="Times New Roman"/>
          <w:b/>
          <w:sz w:val="24"/>
          <w:szCs w:val="24"/>
          <w:lang w:val="sq-AL"/>
        </w:rPr>
      </w:pPr>
      <w:r w:rsidRPr="00B2634B">
        <w:rPr>
          <w:rFonts w:ascii="Times New Roman" w:hAnsi="Times New Roman"/>
          <w:b/>
          <w:sz w:val="24"/>
          <w:szCs w:val="24"/>
          <w:lang w:val="sq-AL"/>
        </w:rPr>
        <w:t>BAZA LIGJORE:</w:t>
      </w:r>
      <w:r w:rsidRPr="00B2634B">
        <w:rPr>
          <w:rFonts w:ascii="Times New Roman" w:hAnsi="Times New Roman"/>
          <w:b/>
          <w:sz w:val="24"/>
          <w:szCs w:val="24"/>
          <w:lang w:val="sq-AL"/>
        </w:rPr>
        <w:tab/>
      </w:r>
      <w:r w:rsidRPr="00B2634B">
        <w:rPr>
          <w:rFonts w:ascii="Times New Roman" w:hAnsi="Times New Roman"/>
          <w:sz w:val="24"/>
          <w:szCs w:val="24"/>
          <w:lang w:val="sq-AL"/>
        </w:rPr>
        <w:t>Nenet 42, 131, pika 1, shkronja</w:t>
      </w:r>
      <w:r>
        <w:rPr>
          <w:rFonts w:ascii="Times New Roman" w:hAnsi="Times New Roman"/>
          <w:sz w:val="24"/>
          <w:szCs w:val="24"/>
          <w:lang w:val="sq-AL"/>
        </w:rPr>
        <w:t xml:space="preserve"> “f” dhe 134, pika 1, shkronja “i” dhe pika 2,</w:t>
      </w:r>
      <w:r w:rsidRPr="00B2634B">
        <w:rPr>
          <w:rFonts w:ascii="Times New Roman" w:hAnsi="Times New Roman"/>
          <w:sz w:val="24"/>
          <w:szCs w:val="24"/>
          <w:lang w:val="sq-AL"/>
        </w:rPr>
        <w:t xml:space="preserve"> të Kushtetutës; neni 6 i Konventës Evropiane për të Drejtat e Njeriut </w:t>
      </w:r>
      <w:r w:rsidRPr="00B2634B">
        <w:rPr>
          <w:rFonts w:ascii="Times New Roman" w:hAnsi="Times New Roman"/>
          <w:i/>
          <w:sz w:val="24"/>
          <w:szCs w:val="24"/>
          <w:lang w:val="sq-AL"/>
        </w:rPr>
        <w:t>(KEDNJ)</w:t>
      </w:r>
      <w:r w:rsidRPr="00B2634B">
        <w:rPr>
          <w:rFonts w:ascii="Times New Roman" w:hAnsi="Times New Roman"/>
          <w:sz w:val="24"/>
          <w:szCs w:val="24"/>
          <w:lang w:val="sq-AL"/>
        </w:rPr>
        <w:t xml:space="preserve">; ligji nr. 8577, datë 10.02.2000 “Për organizimin dhe funksionimin e Gjykatës Kushtetuese të Republikës së Shqipërisë”, i ndryshuar </w:t>
      </w:r>
      <w:r w:rsidRPr="00B2634B">
        <w:rPr>
          <w:rFonts w:ascii="Times New Roman" w:hAnsi="Times New Roman"/>
          <w:i/>
          <w:sz w:val="24"/>
          <w:szCs w:val="24"/>
          <w:lang w:val="sq-AL"/>
        </w:rPr>
        <w:t>(ligji nr. 8577/2000)</w:t>
      </w:r>
      <w:r w:rsidRPr="00B2634B">
        <w:rPr>
          <w:rFonts w:ascii="Times New Roman" w:hAnsi="Times New Roman"/>
          <w:sz w:val="24"/>
          <w:szCs w:val="24"/>
          <w:lang w:val="sq-AL"/>
        </w:rPr>
        <w:t>.</w:t>
      </w:r>
    </w:p>
    <w:p w:rsidR="002A43EE" w:rsidRDefault="002A43EE" w:rsidP="002A43EE">
      <w:pPr>
        <w:spacing w:after="0" w:line="360" w:lineRule="auto"/>
        <w:ind w:left="2880" w:hanging="2160"/>
        <w:jc w:val="both"/>
        <w:rPr>
          <w:rFonts w:ascii="Times New Roman" w:hAnsi="Times New Roman"/>
          <w:b/>
          <w:sz w:val="24"/>
          <w:szCs w:val="24"/>
          <w:lang w:val="sq-AL"/>
        </w:rPr>
      </w:pPr>
    </w:p>
    <w:p w:rsidR="002A43EE" w:rsidRPr="002A43EE" w:rsidRDefault="002A43EE" w:rsidP="002A43EE">
      <w:pPr>
        <w:spacing w:after="0" w:line="360" w:lineRule="auto"/>
        <w:ind w:firstLine="567"/>
        <w:jc w:val="both"/>
        <w:rPr>
          <w:rFonts w:ascii="Times New Roman" w:eastAsiaTheme="minorHAnsi" w:hAnsi="Times New Roman"/>
          <w:bCs/>
          <w:sz w:val="24"/>
          <w:szCs w:val="24"/>
          <w:lang w:val="sq-AL" w:eastAsia="fr-FR"/>
        </w:rPr>
      </w:pPr>
      <w:r w:rsidRPr="002A43EE">
        <w:rPr>
          <w:rFonts w:ascii="Times New Roman" w:eastAsiaTheme="minorHAnsi" w:hAnsi="Times New Roman"/>
          <w:bCs/>
          <w:sz w:val="24"/>
          <w:szCs w:val="24"/>
          <w:lang w:val="sq-AL" w:eastAsia="fr-FR"/>
        </w:rPr>
        <w:t xml:space="preserve">Kolegji i Gjykatës Kushtetuese </w:t>
      </w:r>
      <w:r w:rsidRPr="002A43EE">
        <w:rPr>
          <w:rFonts w:ascii="Times New Roman" w:eastAsiaTheme="minorHAnsi" w:hAnsi="Times New Roman"/>
          <w:bCs/>
          <w:sz w:val="24"/>
          <w:szCs w:val="24"/>
          <w:lang w:val="sq-AL"/>
        </w:rPr>
        <w:t>(</w:t>
      </w:r>
      <w:r w:rsidRPr="002A43EE">
        <w:rPr>
          <w:rFonts w:ascii="Times New Roman" w:eastAsiaTheme="minorHAnsi" w:hAnsi="Times New Roman"/>
          <w:bCs/>
          <w:i/>
          <w:iCs/>
          <w:sz w:val="24"/>
          <w:szCs w:val="24"/>
          <w:lang w:val="sq-AL"/>
        </w:rPr>
        <w:t>Kolegji</w:t>
      </w:r>
      <w:r w:rsidRPr="002A43EE">
        <w:rPr>
          <w:rFonts w:ascii="Times New Roman" w:eastAsiaTheme="minorHAnsi" w:hAnsi="Times New Roman"/>
          <w:bCs/>
          <w:sz w:val="24"/>
          <w:szCs w:val="24"/>
          <w:lang w:val="sq-AL"/>
        </w:rPr>
        <w:t>)</w:t>
      </w:r>
      <w:r>
        <w:rPr>
          <w:rFonts w:ascii="Times New Roman" w:eastAsiaTheme="minorHAnsi" w:hAnsi="Times New Roman"/>
          <w:bCs/>
          <w:sz w:val="24"/>
          <w:szCs w:val="24"/>
          <w:lang w:val="sq-AL" w:eastAsia="fr-FR"/>
        </w:rPr>
        <w:t>, pasi dëgjoi relatorin</w:t>
      </w:r>
      <w:r w:rsidRPr="002A43EE">
        <w:rPr>
          <w:rFonts w:ascii="Times New Roman" w:eastAsiaTheme="minorHAnsi" w:hAnsi="Times New Roman"/>
          <w:bCs/>
          <w:sz w:val="24"/>
          <w:szCs w:val="24"/>
          <w:lang w:val="sq-AL" w:eastAsia="fr-FR"/>
        </w:rPr>
        <w:t xml:space="preserve"> e çështjes </w:t>
      </w:r>
      <w:r>
        <w:rPr>
          <w:rFonts w:ascii="Times New Roman" w:eastAsiaTheme="minorHAnsi" w:hAnsi="Times New Roman"/>
          <w:bCs/>
          <w:sz w:val="24"/>
          <w:szCs w:val="24"/>
          <w:lang w:val="sq-AL" w:eastAsia="fr-FR"/>
        </w:rPr>
        <w:t>Altin Binaj</w:t>
      </w:r>
      <w:r w:rsidRPr="002A43EE">
        <w:rPr>
          <w:rFonts w:ascii="Times New Roman" w:eastAsiaTheme="minorHAnsi" w:hAnsi="Times New Roman"/>
          <w:bCs/>
          <w:sz w:val="24"/>
          <w:szCs w:val="24"/>
          <w:lang w:val="sq-AL" w:eastAsia="fr-FR"/>
        </w:rPr>
        <w:t>, shqyrtoi kërkesën, dokumentet shoqëruese dhe diskutoi çështjen në tërësi,</w:t>
      </w:r>
    </w:p>
    <w:p w:rsidR="00ED2E1C" w:rsidRDefault="00ED2E1C" w:rsidP="002A43EE">
      <w:pPr>
        <w:spacing w:after="0" w:line="360" w:lineRule="auto"/>
        <w:jc w:val="center"/>
        <w:rPr>
          <w:rFonts w:ascii="Times New Roman" w:eastAsia="Times New Roman" w:hAnsi="Times New Roman"/>
          <w:b/>
          <w:bCs/>
          <w:sz w:val="24"/>
          <w:szCs w:val="24"/>
          <w:lang w:val="sq-AL"/>
        </w:rPr>
      </w:pPr>
    </w:p>
    <w:p w:rsidR="00ED2E1C" w:rsidRDefault="00ED2E1C" w:rsidP="002A43EE">
      <w:pPr>
        <w:spacing w:after="0" w:line="360" w:lineRule="auto"/>
        <w:jc w:val="center"/>
        <w:rPr>
          <w:rFonts w:ascii="Times New Roman" w:eastAsia="Times New Roman" w:hAnsi="Times New Roman"/>
          <w:b/>
          <w:bCs/>
          <w:sz w:val="24"/>
          <w:szCs w:val="24"/>
          <w:lang w:val="sq-AL"/>
        </w:rPr>
      </w:pPr>
    </w:p>
    <w:p w:rsidR="002A43EE" w:rsidRPr="002A43EE" w:rsidRDefault="002A43EE" w:rsidP="002A43EE">
      <w:pPr>
        <w:spacing w:after="0" w:line="360" w:lineRule="auto"/>
        <w:jc w:val="center"/>
        <w:rPr>
          <w:rFonts w:ascii="Times New Roman" w:eastAsia="Times New Roman" w:hAnsi="Times New Roman"/>
          <w:b/>
          <w:bCs/>
          <w:sz w:val="24"/>
          <w:szCs w:val="24"/>
          <w:lang w:val="sq-AL"/>
        </w:rPr>
      </w:pPr>
      <w:r w:rsidRPr="002A43EE">
        <w:rPr>
          <w:rFonts w:ascii="Times New Roman" w:eastAsia="Times New Roman" w:hAnsi="Times New Roman"/>
          <w:b/>
          <w:bCs/>
          <w:sz w:val="24"/>
          <w:szCs w:val="24"/>
          <w:lang w:val="sq-AL"/>
        </w:rPr>
        <w:t>V Ë R E N:</w:t>
      </w:r>
    </w:p>
    <w:p w:rsidR="002A43EE" w:rsidRDefault="002A43EE" w:rsidP="002A43EE">
      <w:pPr>
        <w:spacing w:after="0" w:line="360" w:lineRule="auto"/>
        <w:ind w:left="2880" w:hanging="2880"/>
        <w:jc w:val="center"/>
        <w:rPr>
          <w:rFonts w:ascii="Times New Roman" w:hAnsi="Times New Roman"/>
          <w:b/>
          <w:sz w:val="24"/>
          <w:szCs w:val="24"/>
          <w:lang w:val="sq-AL"/>
        </w:rPr>
      </w:pPr>
      <w:r>
        <w:rPr>
          <w:rFonts w:ascii="Times New Roman" w:hAnsi="Times New Roman"/>
          <w:b/>
          <w:sz w:val="24"/>
          <w:szCs w:val="24"/>
          <w:lang w:val="sq-AL"/>
        </w:rPr>
        <w:t>I</w:t>
      </w:r>
    </w:p>
    <w:p w:rsidR="002A43EE" w:rsidRDefault="002A43EE" w:rsidP="002A43EE">
      <w:pPr>
        <w:spacing w:after="0" w:line="360" w:lineRule="auto"/>
        <w:ind w:left="2880" w:hanging="2880"/>
        <w:jc w:val="center"/>
        <w:rPr>
          <w:rFonts w:ascii="Times New Roman" w:hAnsi="Times New Roman"/>
          <w:b/>
          <w:sz w:val="24"/>
          <w:szCs w:val="24"/>
          <w:lang w:val="sq-AL"/>
        </w:rPr>
      </w:pPr>
      <w:r>
        <w:rPr>
          <w:rFonts w:ascii="Times New Roman" w:hAnsi="Times New Roman"/>
          <w:b/>
          <w:sz w:val="24"/>
          <w:szCs w:val="24"/>
          <w:lang w:val="sq-AL"/>
        </w:rPr>
        <w:t>Rrethanat e çështjes</w:t>
      </w:r>
    </w:p>
    <w:p w:rsidR="002A43EE" w:rsidRDefault="00CD53D4"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Në Gjykatën</w:t>
      </w:r>
      <w:r w:rsidR="002A43EE" w:rsidRPr="0069266B">
        <w:rPr>
          <w:rFonts w:ascii="Times New Roman" w:hAnsi="Times New Roman"/>
          <w:sz w:val="24"/>
          <w:szCs w:val="24"/>
          <w:lang w:val="sq-AL"/>
        </w:rPr>
        <w:t xml:space="preserve"> </w:t>
      </w:r>
      <w:r>
        <w:rPr>
          <w:rFonts w:ascii="Times New Roman" w:hAnsi="Times New Roman"/>
          <w:sz w:val="24"/>
          <w:szCs w:val="24"/>
          <w:lang w:val="sq-AL"/>
        </w:rPr>
        <w:t>e</w:t>
      </w:r>
      <w:r w:rsidR="002A43EE" w:rsidRPr="0069266B">
        <w:rPr>
          <w:rFonts w:ascii="Times New Roman" w:hAnsi="Times New Roman"/>
          <w:sz w:val="24"/>
          <w:szCs w:val="24"/>
          <w:lang w:val="sq-AL"/>
        </w:rPr>
        <w:t xml:space="preserve"> Posaçme të Apelit për Korrupsionin dhe Krimin e Organizuar</w:t>
      </w:r>
      <w:r w:rsidR="002A43EE">
        <w:rPr>
          <w:rFonts w:ascii="Times New Roman" w:hAnsi="Times New Roman"/>
          <w:sz w:val="24"/>
          <w:szCs w:val="24"/>
          <w:lang w:val="sq-AL"/>
        </w:rPr>
        <w:t xml:space="preserve"> </w:t>
      </w:r>
      <w:r w:rsidR="002A43EE">
        <w:rPr>
          <w:rFonts w:ascii="Times New Roman" w:hAnsi="Times New Roman"/>
          <w:i/>
          <w:sz w:val="24"/>
          <w:szCs w:val="24"/>
          <w:lang w:val="sq-AL"/>
        </w:rPr>
        <w:t>(Gjykata e Posaçme e Apelit)</w:t>
      </w:r>
      <w:r w:rsidR="002A43EE" w:rsidRPr="0069266B">
        <w:rPr>
          <w:rFonts w:ascii="Times New Roman" w:hAnsi="Times New Roman"/>
          <w:sz w:val="24"/>
          <w:szCs w:val="24"/>
          <w:lang w:val="sq-AL"/>
        </w:rPr>
        <w:t xml:space="preserve"> </w:t>
      </w:r>
      <w:r w:rsidR="002A43EE">
        <w:rPr>
          <w:rFonts w:ascii="Times New Roman" w:hAnsi="Times New Roman"/>
          <w:sz w:val="24"/>
          <w:szCs w:val="24"/>
          <w:lang w:val="sq-AL"/>
        </w:rPr>
        <w:t>është duke u gjykuar</w:t>
      </w:r>
      <w:r w:rsidR="002A43EE" w:rsidRPr="0069266B">
        <w:rPr>
          <w:rFonts w:ascii="Times New Roman" w:hAnsi="Times New Roman"/>
          <w:sz w:val="24"/>
          <w:szCs w:val="24"/>
          <w:lang w:val="sq-AL"/>
        </w:rPr>
        <w:t xml:space="preserve"> çështja penale në ngarkim të kërkuesit dhe të bashkëpandehurve të tjerë </w:t>
      </w:r>
      <w:r w:rsidR="002A43EE">
        <w:rPr>
          <w:rFonts w:ascii="Times New Roman" w:hAnsi="Times New Roman"/>
          <w:sz w:val="24"/>
          <w:szCs w:val="24"/>
          <w:lang w:val="sq-AL"/>
        </w:rPr>
        <w:t xml:space="preserve">G.D., </w:t>
      </w:r>
      <w:r w:rsidR="002A43EE" w:rsidRPr="0069266B">
        <w:rPr>
          <w:rFonts w:ascii="Times New Roman" w:hAnsi="Times New Roman"/>
          <w:sz w:val="24"/>
          <w:szCs w:val="24"/>
          <w:lang w:val="sq-AL"/>
        </w:rPr>
        <w:t xml:space="preserve">E.Q., </w:t>
      </w:r>
      <w:r w:rsidR="002A43EE">
        <w:rPr>
          <w:rFonts w:ascii="Times New Roman" w:hAnsi="Times New Roman"/>
          <w:sz w:val="24"/>
          <w:szCs w:val="24"/>
          <w:lang w:val="sq-AL"/>
        </w:rPr>
        <w:t>E.Z.</w:t>
      </w:r>
      <w:r w:rsidR="002A43EE" w:rsidRPr="0069266B">
        <w:rPr>
          <w:rFonts w:ascii="Times New Roman" w:hAnsi="Times New Roman"/>
          <w:sz w:val="24"/>
          <w:szCs w:val="24"/>
          <w:lang w:val="sq-AL"/>
        </w:rPr>
        <w:t xml:space="preserve"> dhe B.S</w:t>
      </w:r>
      <w:r w:rsidR="002A43EE">
        <w:rPr>
          <w:rFonts w:ascii="Times New Roman" w:hAnsi="Times New Roman"/>
          <w:sz w:val="24"/>
          <w:szCs w:val="24"/>
          <w:lang w:val="sq-AL"/>
        </w:rPr>
        <w:t>h</w:t>
      </w:r>
      <w:r w:rsidR="002A43EE" w:rsidRPr="0069266B">
        <w:rPr>
          <w:rFonts w:ascii="Times New Roman" w:hAnsi="Times New Roman"/>
          <w:sz w:val="24"/>
          <w:szCs w:val="24"/>
          <w:lang w:val="sq-AL"/>
        </w:rPr>
        <w:t>.</w:t>
      </w:r>
      <w:r w:rsidR="002A43EE">
        <w:rPr>
          <w:rFonts w:ascii="Times New Roman" w:hAnsi="Times New Roman"/>
          <w:sz w:val="24"/>
          <w:szCs w:val="24"/>
          <w:lang w:val="sq-AL"/>
        </w:rPr>
        <w:t>,</w:t>
      </w:r>
      <w:r w:rsidR="002A43EE" w:rsidRPr="0069266B">
        <w:rPr>
          <w:rFonts w:ascii="Times New Roman" w:hAnsi="Times New Roman"/>
          <w:sz w:val="24"/>
          <w:szCs w:val="24"/>
          <w:lang w:val="sq-AL"/>
        </w:rPr>
        <w:t xml:space="preserve"> të akuzuar për veprën penale “Shtrëngimi me anë të kanosjes apo të dhunës fizike për dhënien e pasurisë”, të kryer në bashkëpunim, në kuadrin e “</w:t>
      </w:r>
      <w:r w:rsidR="002A43EE">
        <w:rPr>
          <w:rFonts w:ascii="Times New Roman" w:hAnsi="Times New Roman"/>
          <w:sz w:val="24"/>
          <w:szCs w:val="24"/>
          <w:lang w:val="sq-AL"/>
        </w:rPr>
        <w:t>g</w:t>
      </w:r>
      <w:r w:rsidR="002A43EE" w:rsidRPr="0069266B">
        <w:rPr>
          <w:rFonts w:ascii="Times New Roman" w:hAnsi="Times New Roman"/>
          <w:sz w:val="24"/>
          <w:szCs w:val="24"/>
          <w:lang w:val="sq-AL"/>
        </w:rPr>
        <w:t>rupit të strukt</w:t>
      </w:r>
      <w:r w:rsidR="002A43EE">
        <w:rPr>
          <w:rFonts w:ascii="Times New Roman" w:hAnsi="Times New Roman"/>
          <w:sz w:val="24"/>
          <w:szCs w:val="24"/>
          <w:lang w:val="sq-AL"/>
        </w:rPr>
        <w:t>uruar kriminal”, të parashikuar</w:t>
      </w:r>
      <w:r w:rsidR="002A43EE" w:rsidRPr="0069266B">
        <w:rPr>
          <w:rFonts w:ascii="Times New Roman" w:hAnsi="Times New Roman"/>
          <w:sz w:val="24"/>
          <w:szCs w:val="24"/>
          <w:lang w:val="sq-AL"/>
        </w:rPr>
        <w:t xml:space="preserve"> nga </w:t>
      </w:r>
      <w:r w:rsidR="002A43EE" w:rsidRPr="00C8513F">
        <w:rPr>
          <w:rFonts w:ascii="Times New Roman" w:hAnsi="Times New Roman"/>
          <w:sz w:val="24"/>
          <w:szCs w:val="24"/>
          <w:lang w:val="sq-AL"/>
        </w:rPr>
        <w:t>nenet 109/b, 333/a, 334/1 të Kodit Penal.</w:t>
      </w:r>
    </w:p>
    <w:p w:rsidR="002A43EE" w:rsidRDefault="002A43EE"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 xml:space="preserve">Përmes procedurës së shortit të datës 07.04.2021, gjyqtarja M.M. është caktuar në përbërje të kolegjit të Gjykatës së Posaçme të Apelit, në cilësinë e relatores së çështjes në ngarkim të kërkuesit dhe të të bashkëpandehurve të tjerë. </w:t>
      </w:r>
    </w:p>
    <w:p w:rsidR="002A43EE" w:rsidRDefault="002A43EE"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BD7CED">
        <w:rPr>
          <w:rFonts w:ascii="Times New Roman" w:hAnsi="Times New Roman"/>
          <w:sz w:val="24"/>
          <w:szCs w:val="24"/>
          <w:lang w:val="sq-AL"/>
        </w:rPr>
        <w:t>Në datën 12.04.2021, në sekretarinë e Gjykatës së Posaçme të Apelit është regjistruar kërkesa e kërkuesit për përjashtimin e gjyqtares M.M nga gjykimi i çështjes penale në ngarkim të t</w:t>
      </w:r>
      <w:r w:rsidR="00CD53D4">
        <w:rPr>
          <w:rFonts w:ascii="Times New Roman" w:hAnsi="Times New Roman"/>
          <w:sz w:val="24"/>
          <w:szCs w:val="24"/>
          <w:lang w:val="sq-AL"/>
        </w:rPr>
        <w:t>ij</w:t>
      </w:r>
      <w:r>
        <w:rPr>
          <w:rFonts w:ascii="Times New Roman" w:hAnsi="Times New Roman"/>
          <w:sz w:val="24"/>
          <w:szCs w:val="24"/>
          <w:lang w:val="sq-AL"/>
        </w:rPr>
        <w:t xml:space="preserve">. Në kërkesën e tij, </w:t>
      </w:r>
      <w:r w:rsidR="006D457B">
        <w:rPr>
          <w:rFonts w:ascii="Times New Roman" w:hAnsi="Times New Roman"/>
          <w:sz w:val="24"/>
          <w:szCs w:val="24"/>
          <w:lang w:val="sq-AL"/>
        </w:rPr>
        <w:t>a</w:t>
      </w:r>
      <w:r>
        <w:rPr>
          <w:rFonts w:ascii="Times New Roman" w:hAnsi="Times New Roman"/>
          <w:sz w:val="24"/>
          <w:szCs w:val="24"/>
          <w:lang w:val="sq-AL"/>
        </w:rPr>
        <w:t xml:space="preserve">i </w:t>
      </w:r>
      <w:r w:rsidRPr="00BD7CED">
        <w:rPr>
          <w:rFonts w:ascii="Times New Roman" w:hAnsi="Times New Roman"/>
          <w:sz w:val="24"/>
          <w:szCs w:val="24"/>
          <w:lang w:val="sq-AL"/>
        </w:rPr>
        <w:t>ka pretenduar si</w:t>
      </w:r>
      <w:r>
        <w:rPr>
          <w:rFonts w:ascii="Times New Roman" w:hAnsi="Times New Roman"/>
          <w:sz w:val="24"/>
          <w:szCs w:val="24"/>
          <w:lang w:val="sq-AL"/>
        </w:rPr>
        <w:t xml:space="preserve"> shkak</w:t>
      </w:r>
      <w:r w:rsidRPr="00BD7CED">
        <w:rPr>
          <w:rFonts w:ascii="Times New Roman" w:hAnsi="Times New Roman"/>
          <w:sz w:val="24"/>
          <w:szCs w:val="24"/>
          <w:lang w:val="sq-AL"/>
        </w:rPr>
        <w:t xml:space="preserve"> të përjashtimit </w:t>
      </w:r>
      <w:r>
        <w:rPr>
          <w:rFonts w:ascii="Times New Roman" w:hAnsi="Times New Roman"/>
          <w:sz w:val="24"/>
          <w:szCs w:val="24"/>
          <w:lang w:val="sq-AL"/>
        </w:rPr>
        <w:t xml:space="preserve">faktin </w:t>
      </w:r>
      <w:r w:rsidRPr="00BD7CED">
        <w:rPr>
          <w:rFonts w:ascii="Times New Roman" w:hAnsi="Times New Roman"/>
          <w:sz w:val="24"/>
          <w:szCs w:val="24"/>
          <w:lang w:val="sq-AL"/>
        </w:rPr>
        <w:t>se kjo gjyqtare ka qenë pjesë përbërëse e trupit gjykues që, gjatë fazës së hetimit paraprak, ka marrë dëshminë e shtetasit Y.B.</w:t>
      </w:r>
      <w:r>
        <w:rPr>
          <w:rFonts w:ascii="Times New Roman" w:hAnsi="Times New Roman"/>
          <w:sz w:val="24"/>
          <w:szCs w:val="24"/>
          <w:lang w:val="sq-AL"/>
        </w:rPr>
        <w:t xml:space="preserve"> </w:t>
      </w:r>
      <w:r w:rsidRPr="00BD7CED">
        <w:rPr>
          <w:rFonts w:ascii="Times New Roman" w:hAnsi="Times New Roman"/>
          <w:sz w:val="24"/>
          <w:szCs w:val="24"/>
          <w:lang w:val="sq-AL"/>
        </w:rPr>
        <w:t>përmes procedurës së sigurimit të provës</w:t>
      </w:r>
      <w:r>
        <w:rPr>
          <w:rFonts w:ascii="Times New Roman" w:hAnsi="Times New Roman"/>
          <w:sz w:val="24"/>
          <w:szCs w:val="24"/>
          <w:lang w:val="sq-AL"/>
        </w:rPr>
        <w:t>,</w:t>
      </w:r>
      <w:r w:rsidRPr="00BD7CED">
        <w:rPr>
          <w:rFonts w:ascii="Times New Roman" w:hAnsi="Times New Roman"/>
          <w:sz w:val="24"/>
          <w:szCs w:val="24"/>
          <w:lang w:val="sq-AL"/>
        </w:rPr>
        <w:t xml:space="preserve"> </w:t>
      </w:r>
      <w:r>
        <w:rPr>
          <w:rFonts w:ascii="Times New Roman" w:hAnsi="Times New Roman"/>
          <w:sz w:val="24"/>
          <w:szCs w:val="24"/>
          <w:lang w:val="sq-AL"/>
        </w:rPr>
        <w:t>shkak për të cilin kjo gjyqtare është përjashtuar nga shorti i hedhur për gjykimin e çështjes së themelit në ngarkim të kërkuesit.</w:t>
      </w:r>
    </w:p>
    <w:p w:rsidR="002A43EE" w:rsidRDefault="002A43EE"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 xml:space="preserve">Krahas kërkesës së paraqitur nga kërkuesi, në datën 12.04.2021, gjyqtarja M.M. i është drejtuar zëvendëskryetarit të Gjykatës së Posaçme të Apelit me kërkesë për heqje dorë nga gjykimi i çështjes penale në ngarkim të kërkuesit </w:t>
      </w:r>
      <w:r w:rsidR="006D457B">
        <w:rPr>
          <w:rFonts w:ascii="Times New Roman" w:hAnsi="Times New Roman"/>
          <w:sz w:val="24"/>
          <w:szCs w:val="24"/>
          <w:lang w:val="sq-AL"/>
        </w:rPr>
        <w:t>dh</w:t>
      </w:r>
      <w:r>
        <w:rPr>
          <w:rFonts w:ascii="Times New Roman" w:hAnsi="Times New Roman"/>
          <w:sz w:val="24"/>
          <w:szCs w:val="24"/>
          <w:lang w:val="sq-AL"/>
        </w:rPr>
        <w:t xml:space="preserve">e të bashkëpandehurve të tjerë, duke pretenduar se ndodhet në kushtet e parashikuara nga neni 17, shkronja “ë”, i Kodit të Procedurës Penale </w:t>
      </w:r>
      <w:r>
        <w:rPr>
          <w:rFonts w:ascii="Times New Roman" w:hAnsi="Times New Roman"/>
          <w:i/>
          <w:sz w:val="24"/>
          <w:szCs w:val="24"/>
          <w:lang w:val="sq-AL"/>
        </w:rPr>
        <w:t>(KPP)</w:t>
      </w:r>
      <w:r>
        <w:rPr>
          <w:rFonts w:ascii="Times New Roman" w:hAnsi="Times New Roman"/>
          <w:sz w:val="24"/>
          <w:szCs w:val="24"/>
          <w:lang w:val="sq-AL"/>
        </w:rPr>
        <w:t xml:space="preserve"> dhe, në datën 13.04.2021, në zbatim të nenit 21, pika 1/1, të KPP-së ka paraqitur mendimin e saj me shkrim për kërkesën për përjashtimin e saj. Krahas pretendimit të kërkuesit, g</w:t>
      </w:r>
      <w:r w:rsidRPr="0079257A">
        <w:rPr>
          <w:rStyle w:val="normalchar"/>
          <w:rFonts w:ascii="Times New Roman" w:eastAsia="MS Mincho" w:hAnsi="Times New Roman"/>
          <w:color w:val="000000"/>
          <w:sz w:val="24"/>
          <w:szCs w:val="24"/>
          <w:lang w:val="sq-AL"/>
        </w:rPr>
        <w:t>jyqtarja M.M. ka vlerësuar se ka papajtueshmëri për gjykimin e çështjes</w:t>
      </w:r>
      <w:r>
        <w:rPr>
          <w:rStyle w:val="normalchar"/>
          <w:rFonts w:ascii="Times New Roman" w:eastAsia="MS Mincho" w:hAnsi="Times New Roman"/>
          <w:color w:val="000000"/>
          <w:sz w:val="24"/>
          <w:szCs w:val="24"/>
          <w:lang w:val="sq-AL"/>
        </w:rPr>
        <w:t xml:space="preserve"> edhe për shkak se </w:t>
      </w:r>
      <w:r w:rsidR="006D457B">
        <w:rPr>
          <w:rFonts w:ascii="Times New Roman" w:hAnsi="Times New Roman"/>
          <w:sz w:val="24"/>
          <w:szCs w:val="24"/>
          <w:lang w:val="sq-AL"/>
        </w:rPr>
        <w:t>ka qenë pjesë e trupit</w:t>
      </w:r>
      <w:r>
        <w:rPr>
          <w:rFonts w:ascii="Times New Roman" w:hAnsi="Times New Roman"/>
          <w:sz w:val="24"/>
          <w:szCs w:val="24"/>
          <w:lang w:val="sq-AL"/>
        </w:rPr>
        <w:t xml:space="preserve"> gjyqësor që ka vendosur në lidhje me urdhrin nr. 255, datë 28.07.2020 të ministrit të Drejtësisë “Për vendosjen në regjim të posaçëm të ushtrimit të të drejtave në burgun e sigurisë së lartë për të paraburgosurin G.D.”, si dhe anëtare e trup</w:t>
      </w:r>
      <w:r w:rsidR="006D457B">
        <w:rPr>
          <w:rFonts w:ascii="Times New Roman" w:hAnsi="Times New Roman"/>
          <w:sz w:val="24"/>
          <w:szCs w:val="24"/>
          <w:lang w:val="sq-AL"/>
        </w:rPr>
        <w:t>it gjyqësor</w:t>
      </w:r>
      <w:r>
        <w:rPr>
          <w:rFonts w:ascii="Times New Roman" w:hAnsi="Times New Roman"/>
          <w:sz w:val="24"/>
          <w:szCs w:val="24"/>
          <w:lang w:val="sq-AL"/>
        </w:rPr>
        <w:t xml:space="preserve"> që ka disponuar me vendim për dy kërkesa të Prokurorisë së Posaçme Kundër Korrupsionit dhe Krimit të Organizuar me objekt sekuestrimin dhe konfiskimin e pasurisë së kërkuesit, si rrjedhojë e zbatimit të aktit normativ nr. 1, datë 31.01.2020 “Për masat parandaluese në kuadër të forcimit të luftës kundër terrorizmit, krimit të organizuar, krimeve të rënda dhe konsolidimit të rendit e sigurisë publike”, për shkak të kryerjes prej tij të veprës penale</w:t>
      </w:r>
      <w:r w:rsidR="006D457B">
        <w:rPr>
          <w:rFonts w:ascii="Times New Roman" w:hAnsi="Times New Roman"/>
          <w:sz w:val="24"/>
          <w:szCs w:val="24"/>
          <w:lang w:val="sq-AL"/>
        </w:rPr>
        <w:t>,</w:t>
      </w:r>
      <w:r>
        <w:rPr>
          <w:rFonts w:ascii="Times New Roman" w:hAnsi="Times New Roman"/>
          <w:sz w:val="24"/>
          <w:szCs w:val="24"/>
          <w:lang w:val="sq-AL"/>
        </w:rPr>
        <w:t xml:space="preserve"> </w:t>
      </w:r>
      <w:r w:rsidRPr="009A5A48">
        <w:rPr>
          <w:rFonts w:ascii="Times New Roman" w:hAnsi="Times New Roman"/>
          <w:sz w:val="24"/>
          <w:szCs w:val="24"/>
          <w:lang w:val="sq-AL"/>
        </w:rPr>
        <w:t>të parashiku</w:t>
      </w:r>
      <w:r>
        <w:rPr>
          <w:rFonts w:ascii="Times New Roman" w:hAnsi="Times New Roman"/>
          <w:sz w:val="24"/>
          <w:szCs w:val="24"/>
          <w:lang w:val="sq-AL"/>
        </w:rPr>
        <w:t>ar nga neni 109/a i Kodit Penal.</w:t>
      </w:r>
    </w:p>
    <w:p w:rsidR="002A43EE" w:rsidRDefault="002A43EE"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 xml:space="preserve">Me vendimin nr. 11, datë 14.04.2021, Gjykata e Posaçme e Apelit ka vendosur: </w:t>
      </w:r>
      <w:r>
        <w:rPr>
          <w:rFonts w:ascii="Times New Roman" w:hAnsi="Times New Roman"/>
          <w:i/>
          <w:sz w:val="24"/>
          <w:szCs w:val="24"/>
          <w:lang w:val="sq-AL"/>
        </w:rPr>
        <w:t>“Të shpallë të papranueshme kërkesën e kërkuesit Emiljano Shullazi, me objekt: “Përjashtimi i anëtares së trupit gjykues znj. M.M. nga gjykimi i çështjes penale në ngarkim të të pandehurve Emiljano Shullazi, E.Q., G.D., B.Sh., E.Z.”. Ky vendim i njoftohet gjyqtares M.M., kërkuesit Emiljano Shullazi, si dhe prokurorit.”</w:t>
      </w:r>
      <w:r>
        <w:rPr>
          <w:rFonts w:ascii="Times New Roman" w:hAnsi="Times New Roman"/>
          <w:sz w:val="24"/>
          <w:szCs w:val="24"/>
          <w:lang w:val="sq-AL"/>
        </w:rPr>
        <w:t>.</w:t>
      </w:r>
    </w:p>
    <w:p w:rsidR="002A43EE" w:rsidRDefault="002A43EE"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Kërkuesi ka ushtruar rekurs ndaj vendimit të lartpërmendur të Gjykatës së Posaçme të Apelit, për të cilin  Kolegji Penal i Gjykatës së Lartë, me vendimin nr. 00-2021-328, datë 25.05.2021, ka vendosur mospranimin e tij.</w:t>
      </w:r>
    </w:p>
    <w:p w:rsidR="007226E4" w:rsidRDefault="007226E4"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Në datën 03.08.2021 k</w:t>
      </w:r>
      <w:r w:rsidRPr="00F54D07">
        <w:rPr>
          <w:rFonts w:ascii="Times New Roman" w:hAnsi="Times New Roman"/>
          <w:sz w:val="24"/>
          <w:szCs w:val="24"/>
          <w:lang w:val="sq-AL"/>
        </w:rPr>
        <w:t xml:space="preserve">ërkuesi i është drejtuar Gjykatës Kushtetuese </w:t>
      </w:r>
      <w:r w:rsidRPr="00F54D07">
        <w:rPr>
          <w:rFonts w:ascii="Times New Roman" w:hAnsi="Times New Roman"/>
          <w:i/>
          <w:sz w:val="24"/>
          <w:szCs w:val="24"/>
          <w:lang w:val="sq-AL"/>
        </w:rPr>
        <w:t>(Gjykata)</w:t>
      </w:r>
      <w:r>
        <w:rPr>
          <w:rFonts w:ascii="Times New Roman" w:hAnsi="Times New Roman"/>
          <w:sz w:val="24"/>
          <w:szCs w:val="24"/>
          <w:lang w:val="sq-AL"/>
        </w:rPr>
        <w:t xml:space="preserve"> për shfuqizimin e vendimeve gjyqësore </w:t>
      </w:r>
      <w:r w:rsidRPr="007226E4">
        <w:rPr>
          <w:rFonts w:ascii="Times New Roman" w:hAnsi="Times New Roman"/>
          <w:sz w:val="24"/>
          <w:szCs w:val="24"/>
          <w:lang w:val="sq-AL"/>
        </w:rPr>
        <w:t>nr. 11, datë 14.04.2021 të Gjykatës së Posaçme të Apelit dhe nr. 00-2021-328, datë 25.05.2021 të Kolegjit Penal të Gjykatës së Lartë</w:t>
      </w:r>
      <w:r>
        <w:rPr>
          <w:rFonts w:ascii="Times New Roman" w:hAnsi="Times New Roman"/>
          <w:sz w:val="24"/>
          <w:szCs w:val="24"/>
          <w:lang w:val="sq-AL"/>
        </w:rPr>
        <w:t>.</w:t>
      </w:r>
    </w:p>
    <w:p w:rsidR="002A43EE" w:rsidRDefault="002A43EE" w:rsidP="002A43EE">
      <w:pPr>
        <w:tabs>
          <w:tab w:val="left" w:pos="1080"/>
        </w:tabs>
        <w:spacing w:after="0" w:line="360" w:lineRule="auto"/>
        <w:jc w:val="both"/>
        <w:rPr>
          <w:rFonts w:ascii="Times New Roman" w:hAnsi="Times New Roman"/>
          <w:sz w:val="24"/>
          <w:szCs w:val="24"/>
          <w:lang w:val="sq-AL"/>
        </w:rPr>
      </w:pPr>
    </w:p>
    <w:p w:rsidR="002A43EE" w:rsidRDefault="002A43EE" w:rsidP="002A43EE">
      <w:pPr>
        <w:pStyle w:val="Heading1"/>
        <w:tabs>
          <w:tab w:val="left" w:pos="1080"/>
        </w:tabs>
      </w:pPr>
      <w:r>
        <w:t>II</w:t>
      </w:r>
    </w:p>
    <w:p w:rsidR="002A43EE" w:rsidRPr="00F54D07" w:rsidRDefault="002A43EE" w:rsidP="002A43EE">
      <w:pPr>
        <w:tabs>
          <w:tab w:val="left" w:pos="1080"/>
        </w:tabs>
        <w:spacing w:after="0" w:line="360" w:lineRule="auto"/>
        <w:jc w:val="center"/>
        <w:rPr>
          <w:rFonts w:ascii="Times New Roman" w:hAnsi="Times New Roman"/>
          <w:b/>
          <w:sz w:val="24"/>
          <w:szCs w:val="24"/>
          <w:lang w:val="sq-AL"/>
        </w:rPr>
      </w:pPr>
      <w:r>
        <w:rPr>
          <w:rFonts w:ascii="Times New Roman" w:hAnsi="Times New Roman"/>
          <w:b/>
          <w:sz w:val="24"/>
          <w:szCs w:val="24"/>
          <w:lang w:val="sq-AL"/>
        </w:rPr>
        <w:t>Pretendimet e kërkuesit</w:t>
      </w:r>
    </w:p>
    <w:p w:rsidR="002A43EE" w:rsidRDefault="002A43EE"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7226E4">
        <w:rPr>
          <w:rFonts w:ascii="Times New Roman" w:hAnsi="Times New Roman"/>
          <w:b/>
          <w:i/>
          <w:sz w:val="24"/>
          <w:szCs w:val="24"/>
          <w:lang w:val="sq-AL"/>
        </w:rPr>
        <w:t>Kërkuesi</w:t>
      </w:r>
      <w:r w:rsidRPr="00F54D07">
        <w:rPr>
          <w:rFonts w:ascii="Times New Roman" w:hAnsi="Times New Roman"/>
          <w:sz w:val="24"/>
          <w:szCs w:val="24"/>
          <w:lang w:val="sq-AL"/>
        </w:rPr>
        <w:t xml:space="preserve"> </w:t>
      </w:r>
      <w:r w:rsidR="007226E4">
        <w:rPr>
          <w:rFonts w:ascii="Times New Roman" w:hAnsi="Times New Roman"/>
          <w:sz w:val="24"/>
          <w:szCs w:val="24"/>
          <w:lang w:val="sq-AL"/>
        </w:rPr>
        <w:t>në kërkesën e tij drejtuar Gjykatës</w:t>
      </w:r>
      <w:r w:rsidRPr="00F54D07">
        <w:rPr>
          <w:rFonts w:ascii="Times New Roman" w:hAnsi="Times New Roman"/>
          <w:sz w:val="24"/>
          <w:szCs w:val="24"/>
          <w:lang w:val="sq-AL"/>
        </w:rPr>
        <w:t xml:space="preserve"> </w:t>
      </w:r>
      <w:r w:rsidR="007226E4">
        <w:rPr>
          <w:rFonts w:ascii="Times New Roman" w:hAnsi="Times New Roman"/>
          <w:sz w:val="24"/>
          <w:szCs w:val="24"/>
          <w:lang w:val="sq-AL"/>
        </w:rPr>
        <w:t xml:space="preserve">ka </w:t>
      </w:r>
      <w:r w:rsidR="00383BC7">
        <w:rPr>
          <w:rFonts w:ascii="Times New Roman" w:hAnsi="Times New Roman"/>
          <w:sz w:val="24"/>
          <w:szCs w:val="24"/>
          <w:lang w:val="sq-AL"/>
        </w:rPr>
        <w:t xml:space="preserve">pretenduar se </w:t>
      </w:r>
      <w:r w:rsidRPr="00F54D07">
        <w:rPr>
          <w:rFonts w:ascii="Times New Roman" w:hAnsi="Times New Roman"/>
          <w:sz w:val="24"/>
          <w:szCs w:val="24"/>
          <w:lang w:val="sq-AL"/>
        </w:rPr>
        <w:t>janë cenuar</w:t>
      </w:r>
      <w:r>
        <w:rPr>
          <w:rFonts w:ascii="Times New Roman" w:hAnsi="Times New Roman"/>
          <w:sz w:val="24"/>
          <w:szCs w:val="24"/>
          <w:lang w:val="sq-AL"/>
        </w:rPr>
        <w:t>:</w:t>
      </w:r>
    </w:p>
    <w:p w:rsidR="002A43EE" w:rsidRDefault="002A43EE" w:rsidP="002A43EE">
      <w:pPr>
        <w:pStyle w:val="ListParagraph"/>
        <w:numPr>
          <w:ilvl w:val="0"/>
          <w:numId w:val="2"/>
        </w:numPr>
        <w:tabs>
          <w:tab w:val="left" w:pos="1080"/>
        </w:tabs>
        <w:spacing w:after="0" w:line="360" w:lineRule="auto"/>
        <w:ind w:left="1170" w:hanging="450"/>
        <w:jc w:val="both"/>
        <w:rPr>
          <w:rFonts w:ascii="Times New Roman" w:hAnsi="Times New Roman"/>
          <w:sz w:val="24"/>
          <w:szCs w:val="24"/>
          <w:lang w:val="sq-AL"/>
        </w:rPr>
      </w:pPr>
      <w:r>
        <w:rPr>
          <w:rFonts w:ascii="Times New Roman" w:hAnsi="Times New Roman"/>
          <w:sz w:val="24"/>
          <w:szCs w:val="24"/>
          <w:lang w:val="sq-AL"/>
        </w:rPr>
        <w:t xml:space="preserve"> </w:t>
      </w:r>
      <w:r>
        <w:rPr>
          <w:rFonts w:ascii="Times New Roman" w:hAnsi="Times New Roman"/>
          <w:i/>
          <w:sz w:val="24"/>
          <w:szCs w:val="24"/>
          <w:lang w:val="sq-AL"/>
        </w:rPr>
        <w:t>Parimi i gjykimit nga një gjykatë e paanshme</w:t>
      </w:r>
      <w:r>
        <w:rPr>
          <w:rFonts w:ascii="Times New Roman" w:hAnsi="Times New Roman"/>
          <w:sz w:val="24"/>
          <w:szCs w:val="24"/>
          <w:lang w:val="sq-AL"/>
        </w:rPr>
        <w:t>, pasi gj</w:t>
      </w:r>
      <w:r w:rsidR="006D457B">
        <w:rPr>
          <w:rFonts w:ascii="Times New Roman" w:hAnsi="Times New Roman"/>
          <w:sz w:val="24"/>
          <w:szCs w:val="24"/>
          <w:lang w:val="sq-AL"/>
        </w:rPr>
        <w:t>yqtarja M.M., kryesuese e trupit gjyqësor</w:t>
      </w:r>
      <w:r>
        <w:rPr>
          <w:rFonts w:ascii="Times New Roman" w:hAnsi="Times New Roman"/>
          <w:sz w:val="24"/>
          <w:szCs w:val="24"/>
          <w:lang w:val="sq-AL"/>
        </w:rPr>
        <w:t xml:space="preserve"> që po shqyrton çështjen penale në ngarkim të </w:t>
      </w:r>
      <w:r w:rsidR="009309F5">
        <w:rPr>
          <w:rFonts w:ascii="Times New Roman" w:hAnsi="Times New Roman"/>
          <w:sz w:val="24"/>
          <w:szCs w:val="24"/>
          <w:lang w:val="sq-AL"/>
        </w:rPr>
        <w:t>tij</w:t>
      </w:r>
      <w:r>
        <w:rPr>
          <w:rFonts w:ascii="Times New Roman" w:hAnsi="Times New Roman"/>
          <w:sz w:val="24"/>
          <w:szCs w:val="24"/>
          <w:lang w:val="sq-AL"/>
        </w:rPr>
        <w:t xml:space="preserve"> në Gjykatën e Posaçme të Apelit, është e njëjta gjyqtare që ka marrë pjesë në trupin gjykues i cili në fazën e hetimeve paraprake ka bërë sigurimin e provës, e konkretisht të dëshmisë së shtetasit Y.B., provë kjo thelbësore </w:t>
      </w:r>
      <w:r w:rsidR="00B979BE">
        <w:rPr>
          <w:rFonts w:ascii="Times New Roman" w:hAnsi="Times New Roman"/>
          <w:sz w:val="24"/>
          <w:szCs w:val="24"/>
          <w:lang w:val="sq-AL"/>
        </w:rPr>
        <w:t>për</w:t>
      </w:r>
      <w:r>
        <w:rPr>
          <w:rFonts w:ascii="Times New Roman" w:hAnsi="Times New Roman"/>
          <w:sz w:val="24"/>
          <w:szCs w:val="24"/>
          <w:lang w:val="sq-AL"/>
        </w:rPr>
        <w:t xml:space="preserve"> çështjen e themelit. Pikërisht për këtë shkak kjo gjyqtare është përjashtuar nga shorti për gjykimin në shkallë të parë të çështjes penale në ngarkim të </w:t>
      </w:r>
      <w:r w:rsidR="00B131CF">
        <w:rPr>
          <w:rFonts w:ascii="Times New Roman" w:hAnsi="Times New Roman"/>
          <w:sz w:val="24"/>
          <w:szCs w:val="24"/>
          <w:lang w:val="sq-AL"/>
        </w:rPr>
        <w:t>kërkuesit</w:t>
      </w:r>
      <w:r>
        <w:rPr>
          <w:rFonts w:ascii="Times New Roman" w:hAnsi="Times New Roman"/>
          <w:sz w:val="24"/>
          <w:szCs w:val="24"/>
          <w:lang w:val="sq-AL"/>
        </w:rPr>
        <w:t xml:space="preserve">. Po kjo gjyqtare ka </w:t>
      </w:r>
      <w:r w:rsidR="006D457B">
        <w:rPr>
          <w:rFonts w:ascii="Times New Roman" w:hAnsi="Times New Roman"/>
          <w:sz w:val="24"/>
          <w:szCs w:val="24"/>
          <w:lang w:val="sq-AL"/>
        </w:rPr>
        <w:t>qenë edhe anëtare e trupit gjyqësor</w:t>
      </w:r>
      <w:r>
        <w:rPr>
          <w:rFonts w:ascii="Times New Roman" w:hAnsi="Times New Roman"/>
          <w:sz w:val="24"/>
          <w:szCs w:val="24"/>
          <w:lang w:val="sq-AL"/>
        </w:rPr>
        <w:t xml:space="preserve"> që ka vendosur sekuestrimin e më pas konfiskimin e pasurisë së kërkuesit, objekt i gjykimit të çështjes penale të t</w:t>
      </w:r>
      <w:r w:rsidR="006D457B">
        <w:rPr>
          <w:rFonts w:ascii="Times New Roman" w:hAnsi="Times New Roman"/>
          <w:sz w:val="24"/>
          <w:szCs w:val="24"/>
          <w:lang w:val="sq-AL"/>
        </w:rPr>
        <w:t>hemelit, si dhe anëtare e trupit gjyqësor</w:t>
      </w:r>
      <w:r>
        <w:rPr>
          <w:rFonts w:ascii="Times New Roman" w:hAnsi="Times New Roman"/>
          <w:sz w:val="24"/>
          <w:szCs w:val="24"/>
          <w:lang w:val="sq-AL"/>
        </w:rPr>
        <w:t xml:space="preserve"> që ka vendosur në lidhje me vendosjen e bashkëpandehurit G.D. në regjim të posaçëm të ushtrimit të të drejtave në burg të sigurisë së lartë. </w:t>
      </w:r>
      <w:r w:rsidRPr="00BE287C">
        <w:rPr>
          <w:rFonts w:ascii="Times New Roman" w:hAnsi="Times New Roman"/>
          <w:color w:val="000000"/>
          <w:sz w:val="24"/>
          <w:szCs w:val="24"/>
          <w:lang w:val="sq-AL" w:eastAsia="sq-AL"/>
        </w:rPr>
        <w:t xml:space="preserve">Për më tepër, vetë gjyqtarja ka </w:t>
      </w:r>
      <w:r>
        <w:rPr>
          <w:rFonts w:ascii="Times New Roman" w:hAnsi="Times New Roman"/>
          <w:color w:val="000000"/>
          <w:sz w:val="24"/>
          <w:szCs w:val="24"/>
          <w:lang w:val="sq-AL" w:eastAsia="sq-AL"/>
        </w:rPr>
        <w:t>paraqitur deklarim për</w:t>
      </w:r>
      <w:r w:rsidRPr="00BE287C">
        <w:rPr>
          <w:rFonts w:ascii="Times New Roman" w:hAnsi="Times New Roman"/>
          <w:color w:val="000000"/>
          <w:sz w:val="24"/>
          <w:szCs w:val="24"/>
          <w:lang w:val="sq-AL" w:eastAsia="sq-AL"/>
        </w:rPr>
        <w:t xml:space="preserve"> heqjen dorë nga gjykimi, </w:t>
      </w:r>
      <w:r>
        <w:rPr>
          <w:rFonts w:ascii="Times New Roman" w:hAnsi="Times New Roman"/>
          <w:color w:val="000000"/>
          <w:sz w:val="24"/>
          <w:szCs w:val="24"/>
          <w:lang w:val="sq-AL" w:eastAsia="sq-AL"/>
        </w:rPr>
        <w:t>duke</w:t>
      </w:r>
      <w:r w:rsidRPr="00BE287C">
        <w:rPr>
          <w:rFonts w:ascii="Times New Roman" w:hAnsi="Times New Roman"/>
          <w:color w:val="000000"/>
          <w:sz w:val="24"/>
          <w:szCs w:val="24"/>
          <w:lang w:val="sq-AL" w:eastAsia="sq-AL"/>
        </w:rPr>
        <w:t xml:space="preserve"> vlerësuar se ndodhej përpara shkaqeve të njëanshmërisë</w:t>
      </w:r>
      <w:r w:rsidR="002328BF">
        <w:rPr>
          <w:rFonts w:ascii="Times New Roman" w:hAnsi="Times New Roman"/>
          <w:color w:val="000000"/>
          <w:sz w:val="24"/>
          <w:szCs w:val="24"/>
          <w:lang w:val="sq-AL" w:eastAsia="sq-AL"/>
        </w:rPr>
        <w:t>,</w:t>
      </w:r>
      <w:r w:rsidRPr="00BE287C">
        <w:rPr>
          <w:rFonts w:ascii="Times New Roman" w:hAnsi="Times New Roman"/>
          <w:color w:val="000000"/>
          <w:sz w:val="24"/>
          <w:szCs w:val="24"/>
          <w:lang w:val="sq-AL" w:eastAsia="sq-AL"/>
        </w:rPr>
        <w:t xml:space="preserve"> të përcaktuara në nenin 17, pika “ë”</w:t>
      </w:r>
      <w:r>
        <w:rPr>
          <w:rFonts w:ascii="Times New Roman" w:hAnsi="Times New Roman"/>
          <w:color w:val="000000"/>
          <w:sz w:val="24"/>
          <w:szCs w:val="24"/>
          <w:lang w:val="sq-AL" w:eastAsia="sq-AL"/>
        </w:rPr>
        <w:t>,</w:t>
      </w:r>
      <w:r w:rsidRPr="00BE287C">
        <w:rPr>
          <w:rFonts w:ascii="Times New Roman" w:hAnsi="Times New Roman"/>
          <w:color w:val="000000"/>
          <w:sz w:val="24"/>
          <w:szCs w:val="24"/>
          <w:lang w:val="sq-AL" w:eastAsia="sq-AL"/>
        </w:rPr>
        <w:t xml:space="preserve"> të KPP-së</w:t>
      </w:r>
      <w:r>
        <w:rPr>
          <w:rFonts w:ascii="Times New Roman" w:hAnsi="Times New Roman"/>
          <w:color w:val="000000"/>
          <w:sz w:val="24"/>
          <w:szCs w:val="24"/>
          <w:lang w:val="sq-AL" w:eastAsia="sq-AL"/>
        </w:rPr>
        <w:t xml:space="preserve">. Për rrjedhojë, kjo gjyqtare nuk ofron garancitë e nevojshme për zhvillimin e një gjykimi të paanshëm dhe objektiv ndaj kërkuesit. </w:t>
      </w:r>
    </w:p>
    <w:p w:rsidR="002A43EE" w:rsidRPr="00BF5047" w:rsidRDefault="002A43EE" w:rsidP="002A43EE">
      <w:pPr>
        <w:pStyle w:val="ListParagraph"/>
        <w:numPr>
          <w:ilvl w:val="0"/>
          <w:numId w:val="2"/>
        </w:numPr>
        <w:tabs>
          <w:tab w:val="left" w:pos="1080"/>
        </w:tabs>
        <w:spacing w:after="0" w:line="360" w:lineRule="auto"/>
        <w:ind w:left="1170" w:hanging="450"/>
        <w:jc w:val="both"/>
        <w:rPr>
          <w:rFonts w:ascii="Times New Roman" w:hAnsi="Times New Roman"/>
          <w:i/>
          <w:sz w:val="24"/>
          <w:szCs w:val="24"/>
          <w:lang w:val="sq-AL"/>
        </w:rPr>
      </w:pPr>
      <w:r>
        <w:rPr>
          <w:rFonts w:ascii="Times New Roman" w:hAnsi="Times New Roman"/>
          <w:sz w:val="24"/>
          <w:szCs w:val="24"/>
          <w:lang w:val="sq-AL"/>
        </w:rPr>
        <w:t xml:space="preserve"> </w:t>
      </w:r>
      <w:r>
        <w:rPr>
          <w:rFonts w:ascii="Times New Roman" w:hAnsi="Times New Roman"/>
          <w:i/>
          <w:sz w:val="24"/>
          <w:szCs w:val="24"/>
          <w:lang w:val="sq-AL"/>
        </w:rPr>
        <w:t>Standardi i arsyetimit të vendimit,</w:t>
      </w:r>
      <w:r>
        <w:rPr>
          <w:rFonts w:ascii="Times New Roman" w:hAnsi="Times New Roman"/>
          <w:sz w:val="24"/>
          <w:szCs w:val="24"/>
          <w:lang w:val="sq-AL"/>
        </w:rPr>
        <w:t xml:space="preserve"> pasi </w:t>
      </w:r>
      <w:r w:rsidRPr="008437B2">
        <w:rPr>
          <w:rFonts w:ascii="Times New Roman" w:hAnsi="Times New Roman"/>
          <w:bCs/>
          <w:sz w:val="24"/>
          <w:szCs w:val="24"/>
          <w:lang w:val="sq-AL"/>
        </w:rPr>
        <w:t>Kolegji Penal i Gjykatës së Lartë nuk ka vlerësuar shkaqet e rekursit dhe nuk u ka dhënë përgjigje pretendimeve të ngritura në të</w:t>
      </w:r>
      <w:r>
        <w:rPr>
          <w:rFonts w:ascii="Times New Roman" w:hAnsi="Times New Roman"/>
          <w:bCs/>
          <w:sz w:val="24"/>
          <w:szCs w:val="24"/>
          <w:lang w:val="sq-AL"/>
        </w:rPr>
        <w:t>. Gjykatat ganë gabuar në arsyetimin e vendimeve të tyre</w:t>
      </w:r>
      <w:r w:rsidR="00D80166">
        <w:rPr>
          <w:rFonts w:ascii="Times New Roman" w:hAnsi="Times New Roman"/>
          <w:bCs/>
          <w:sz w:val="24"/>
          <w:szCs w:val="24"/>
          <w:lang w:val="sq-AL"/>
        </w:rPr>
        <w:t>,</w:t>
      </w:r>
      <w:r>
        <w:rPr>
          <w:rFonts w:ascii="Times New Roman" w:hAnsi="Times New Roman"/>
          <w:bCs/>
          <w:sz w:val="24"/>
          <w:szCs w:val="24"/>
          <w:lang w:val="sq-AL"/>
        </w:rPr>
        <w:t xml:space="preserve"> pasi shprehja “nga e njëjta gjykatë që do të gjykojë ç</w:t>
      </w:r>
      <w:r w:rsidR="00D80166">
        <w:rPr>
          <w:rFonts w:ascii="Times New Roman" w:hAnsi="Times New Roman"/>
          <w:bCs/>
          <w:sz w:val="24"/>
          <w:szCs w:val="24"/>
          <w:lang w:val="sq-AL"/>
        </w:rPr>
        <w:t>ështjen”, nuk nënkupton të njëjtin</w:t>
      </w:r>
      <w:r>
        <w:rPr>
          <w:rFonts w:ascii="Times New Roman" w:hAnsi="Times New Roman"/>
          <w:bCs/>
          <w:sz w:val="24"/>
          <w:szCs w:val="24"/>
          <w:lang w:val="sq-AL"/>
        </w:rPr>
        <w:t xml:space="preserve"> trup gjyqësor, por të njëjtën gjykatë që ka kompetencën lëndore për të shqyrtuar çështjen. Interpretimi i Gjykatës së Posaçme të Apelit është jologjik, i shkëputur nga konteksti i interpretimit sistematik të dispozitave të tjera të KPP-së në lidhje me sigurimin e provës, si dhe në kundërshtim flagrant me nenet 15/2 dhe 17/1, shkronjat “e” dhe “ë”, të KPP-së e me </w:t>
      </w:r>
      <w:r>
        <w:rPr>
          <w:rFonts w:ascii="Times New Roman" w:hAnsi="Times New Roman"/>
          <w:bCs/>
          <w:i/>
          <w:sz w:val="24"/>
          <w:szCs w:val="24"/>
          <w:lang w:val="sq-AL"/>
        </w:rPr>
        <w:t>ratio legis</w:t>
      </w:r>
      <w:r>
        <w:rPr>
          <w:rFonts w:ascii="Times New Roman" w:hAnsi="Times New Roman"/>
          <w:bCs/>
          <w:sz w:val="24"/>
          <w:szCs w:val="24"/>
          <w:lang w:val="sq-AL"/>
        </w:rPr>
        <w:t xml:space="preserve"> të këtyre dispozitave.</w:t>
      </w:r>
    </w:p>
    <w:p w:rsidR="002A43EE" w:rsidRDefault="002A43EE" w:rsidP="002A43EE">
      <w:pPr>
        <w:tabs>
          <w:tab w:val="left" w:pos="1080"/>
        </w:tabs>
        <w:spacing w:after="0" w:line="360" w:lineRule="auto"/>
        <w:jc w:val="both"/>
        <w:rPr>
          <w:rFonts w:ascii="Times New Roman" w:hAnsi="Times New Roman"/>
          <w:sz w:val="24"/>
          <w:szCs w:val="24"/>
          <w:lang w:val="sq-AL"/>
        </w:rPr>
      </w:pPr>
    </w:p>
    <w:p w:rsidR="002A43EE" w:rsidRDefault="002A43EE" w:rsidP="002A43EE">
      <w:pPr>
        <w:pStyle w:val="Heading1"/>
        <w:tabs>
          <w:tab w:val="left" w:pos="1080"/>
        </w:tabs>
      </w:pPr>
      <w:r>
        <w:t>III</w:t>
      </w:r>
    </w:p>
    <w:p w:rsidR="002A43EE" w:rsidRPr="00BF5047" w:rsidRDefault="002A43EE" w:rsidP="002A43EE">
      <w:pPr>
        <w:tabs>
          <w:tab w:val="left" w:pos="1080"/>
        </w:tabs>
        <w:spacing w:after="0" w:line="360" w:lineRule="auto"/>
        <w:jc w:val="center"/>
        <w:rPr>
          <w:rFonts w:ascii="Times New Roman" w:hAnsi="Times New Roman"/>
          <w:b/>
          <w:sz w:val="24"/>
          <w:szCs w:val="24"/>
          <w:lang w:val="sq-AL"/>
        </w:rPr>
      </w:pPr>
      <w:r>
        <w:rPr>
          <w:rFonts w:ascii="Times New Roman" w:hAnsi="Times New Roman"/>
          <w:b/>
          <w:sz w:val="24"/>
          <w:szCs w:val="24"/>
          <w:lang w:val="sq-AL"/>
        </w:rPr>
        <w:t xml:space="preserve">Vlerësimi i </w:t>
      </w:r>
      <w:r w:rsidR="00FD444B">
        <w:rPr>
          <w:rFonts w:ascii="Times New Roman" w:hAnsi="Times New Roman"/>
          <w:b/>
          <w:sz w:val="24"/>
          <w:szCs w:val="24"/>
          <w:lang w:val="sq-AL"/>
        </w:rPr>
        <w:t>Kolegjit</w:t>
      </w:r>
    </w:p>
    <w:p w:rsidR="002A43EE" w:rsidRPr="00BF5047" w:rsidRDefault="002A43EE" w:rsidP="002A43EE">
      <w:pPr>
        <w:pStyle w:val="ListParagraph"/>
        <w:tabs>
          <w:tab w:val="left" w:pos="1080"/>
        </w:tabs>
        <w:spacing w:after="0" w:line="360" w:lineRule="auto"/>
        <w:jc w:val="both"/>
        <w:rPr>
          <w:rFonts w:ascii="Times New Roman" w:hAnsi="Times New Roman"/>
          <w:i/>
          <w:sz w:val="24"/>
          <w:szCs w:val="24"/>
          <w:lang w:val="sq-AL"/>
        </w:rPr>
      </w:pPr>
      <w:r>
        <w:rPr>
          <w:rFonts w:ascii="Times New Roman" w:hAnsi="Times New Roman"/>
          <w:i/>
          <w:sz w:val="24"/>
          <w:szCs w:val="24"/>
          <w:lang w:val="sq-AL"/>
        </w:rPr>
        <w:t xml:space="preserve">A. </w:t>
      </w:r>
      <w:r w:rsidR="00D80166">
        <w:rPr>
          <w:rFonts w:ascii="Times New Roman" w:hAnsi="Times New Roman"/>
          <w:i/>
          <w:sz w:val="24"/>
          <w:szCs w:val="24"/>
          <w:lang w:val="sq-AL"/>
        </w:rPr>
        <w:t>Për l</w:t>
      </w:r>
      <w:r>
        <w:rPr>
          <w:rFonts w:ascii="Times New Roman" w:hAnsi="Times New Roman"/>
          <w:i/>
          <w:sz w:val="24"/>
          <w:szCs w:val="24"/>
          <w:lang w:val="sq-AL"/>
        </w:rPr>
        <w:t>egjitimimi</w:t>
      </w:r>
      <w:r w:rsidR="00D80166">
        <w:rPr>
          <w:rFonts w:ascii="Times New Roman" w:hAnsi="Times New Roman"/>
          <w:i/>
          <w:sz w:val="24"/>
          <w:szCs w:val="24"/>
          <w:lang w:val="sq-AL"/>
        </w:rPr>
        <w:t>n e</w:t>
      </w:r>
      <w:r>
        <w:rPr>
          <w:rFonts w:ascii="Times New Roman" w:hAnsi="Times New Roman"/>
          <w:i/>
          <w:sz w:val="24"/>
          <w:szCs w:val="24"/>
          <w:lang w:val="sq-AL"/>
        </w:rPr>
        <w:t xml:space="preserve"> kërkuesit</w:t>
      </w:r>
    </w:p>
    <w:p w:rsidR="002A43EE" w:rsidRPr="00BF5047" w:rsidRDefault="002A43EE"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BF5047">
        <w:rPr>
          <w:rFonts w:ascii="Times New Roman" w:eastAsia="Times New Roman" w:hAnsi="Times New Roman"/>
          <w:sz w:val="24"/>
          <w:szCs w:val="24"/>
          <w:lang w:val="sq-AL"/>
        </w:rPr>
        <w:t>Çështja e legjitimimit (</w:t>
      </w:r>
      <w:r w:rsidRPr="00BF5047">
        <w:rPr>
          <w:rFonts w:ascii="Times New Roman" w:eastAsia="Times New Roman" w:hAnsi="Times New Roman"/>
          <w:i/>
          <w:sz w:val="24"/>
          <w:szCs w:val="24"/>
          <w:lang w:val="sq-AL"/>
        </w:rPr>
        <w:t>locus standi</w:t>
      </w:r>
      <w:r w:rsidRPr="00BF5047">
        <w:rPr>
          <w:rFonts w:ascii="Times New Roman" w:eastAsia="Times New Roman" w:hAnsi="Times New Roman"/>
          <w:sz w:val="24"/>
          <w:szCs w:val="24"/>
          <w:lang w:val="sq-AL"/>
        </w:rPr>
        <w:t>) është vlerësuar nga Gjykata si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r>
        <w:rPr>
          <w:rFonts w:ascii="Times New Roman" w:eastAsia="Times New Roman" w:hAnsi="Times New Roman"/>
          <w:sz w:val="24"/>
          <w:szCs w:val="24"/>
          <w:lang w:val="sq-AL"/>
        </w:rPr>
        <w:t>.</w:t>
      </w:r>
    </w:p>
    <w:p w:rsidR="002A43EE" w:rsidRDefault="002A43EE"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BF5047">
        <w:rPr>
          <w:rFonts w:ascii="Times New Roman" w:hAnsi="Times New Roman"/>
          <w:sz w:val="24"/>
          <w:szCs w:val="24"/>
          <w:lang w:val="sq-AL"/>
        </w:rPr>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w:t>
      </w:r>
      <w:r>
        <w:rPr>
          <w:rFonts w:ascii="Times New Roman" w:hAnsi="Times New Roman"/>
          <w:sz w:val="24"/>
          <w:szCs w:val="24"/>
          <w:lang w:val="sq-AL"/>
        </w:rPr>
        <w:t>.</w:t>
      </w:r>
    </w:p>
    <w:p w:rsidR="002A43EE" w:rsidRDefault="002A43EE"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BF5047">
        <w:rPr>
          <w:rFonts w:ascii="Times New Roman" w:hAnsi="Times New Roman"/>
          <w:sz w:val="24"/>
          <w:szCs w:val="24"/>
          <w:lang w:val="sq-AL"/>
        </w:rPr>
        <w:t>Kriteret për pranueshmërinë e ankimit kushtetues individual janë të natyrës kumulative, pra duhet të plotësohen njëkohësisht. Në këtë vështrim, mjafton mosplotësimi i njërit prej kritereve që kërkuesi të mos legjitimohet për vënien në lëvizje të gjykimit kushtetues</w:t>
      </w:r>
      <w:r>
        <w:rPr>
          <w:rFonts w:ascii="Times New Roman" w:hAnsi="Times New Roman"/>
          <w:sz w:val="24"/>
          <w:szCs w:val="24"/>
          <w:lang w:val="sq-AL"/>
        </w:rPr>
        <w:t>.</w:t>
      </w:r>
    </w:p>
    <w:p w:rsidR="002A43EE" w:rsidRDefault="002A43EE"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8A247B">
        <w:rPr>
          <w:rFonts w:ascii="Times New Roman" w:hAnsi="Times New Roman"/>
          <w:sz w:val="24"/>
          <w:szCs w:val="24"/>
          <w:lang w:val="sq-AL"/>
        </w:rPr>
        <w:t xml:space="preserve">Për sa i përket përmbushjes së këtyre kritereve, kërkuesi, si individ, legjitimohet </w:t>
      </w:r>
      <w:r w:rsidRPr="008A247B">
        <w:rPr>
          <w:rFonts w:ascii="Times New Roman" w:hAnsi="Times New Roman"/>
          <w:i/>
          <w:sz w:val="24"/>
          <w:szCs w:val="24"/>
          <w:lang w:val="sq-AL"/>
        </w:rPr>
        <w:t>ratione personae</w:t>
      </w:r>
      <w:r w:rsidRPr="008A247B">
        <w:rPr>
          <w:rFonts w:ascii="Times New Roman" w:hAnsi="Times New Roman"/>
          <w:sz w:val="24"/>
          <w:szCs w:val="24"/>
          <w:lang w:val="sq-AL"/>
        </w:rPr>
        <w:t>, në kuptim të neneve 131, pika 1, shkronja “f”, 134, pika 1, shkronja “i” dhe 134, pika 2, të Kushtetutë</w:t>
      </w:r>
      <w:r w:rsidR="00F5258C">
        <w:rPr>
          <w:rFonts w:ascii="Times New Roman" w:hAnsi="Times New Roman"/>
          <w:sz w:val="24"/>
          <w:szCs w:val="24"/>
          <w:lang w:val="sq-AL"/>
        </w:rPr>
        <w:t>s, pasi ka qenë palë në proceset</w:t>
      </w:r>
      <w:r w:rsidRPr="008A247B">
        <w:rPr>
          <w:rFonts w:ascii="Times New Roman" w:hAnsi="Times New Roman"/>
          <w:sz w:val="24"/>
          <w:szCs w:val="24"/>
          <w:lang w:val="sq-AL"/>
        </w:rPr>
        <w:t xml:space="preserve"> gjyqësor</w:t>
      </w:r>
      <w:r w:rsidR="00F5258C">
        <w:rPr>
          <w:rFonts w:ascii="Times New Roman" w:hAnsi="Times New Roman"/>
          <w:sz w:val="24"/>
          <w:szCs w:val="24"/>
          <w:lang w:val="sq-AL"/>
        </w:rPr>
        <w:t>e</w:t>
      </w:r>
      <w:r w:rsidRPr="008A247B">
        <w:rPr>
          <w:rFonts w:ascii="Times New Roman" w:hAnsi="Times New Roman"/>
          <w:sz w:val="24"/>
          <w:szCs w:val="24"/>
          <w:lang w:val="sq-AL"/>
        </w:rPr>
        <w:t>, për të cilat janë dhënë vendimet</w:t>
      </w:r>
      <w:r w:rsidR="00A2750D">
        <w:rPr>
          <w:rFonts w:ascii="Times New Roman" w:hAnsi="Times New Roman"/>
          <w:sz w:val="24"/>
          <w:szCs w:val="24"/>
          <w:lang w:val="sq-AL"/>
        </w:rPr>
        <w:t xml:space="preserve"> objekt kundërshtimi në Gjykatë</w:t>
      </w:r>
      <w:r>
        <w:rPr>
          <w:rFonts w:ascii="Times New Roman" w:hAnsi="Times New Roman"/>
          <w:sz w:val="24"/>
          <w:szCs w:val="24"/>
          <w:lang w:val="sq-AL"/>
        </w:rPr>
        <w:t>.</w:t>
      </w:r>
    </w:p>
    <w:p w:rsidR="002C0AB6" w:rsidRDefault="002C0AB6"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156E63">
        <w:rPr>
          <w:rFonts w:ascii="Times New Roman" w:hAnsi="Times New Roman"/>
          <w:sz w:val="24"/>
          <w:szCs w:val="24"/>
          <w:lang w:val="sq-AL" w:eastAsia="sq-AL"/>
        </w:rPr>
        <w:t xml:space="preserve">Një kriter tjetër paraprak është </w:t>
      </w:r>
      <w:r w:rsidRPr="00156E63">
        <w:rPr>
          <w:rFonts w:ascii="Times New Roman" w:hAnsi="Times New Roman"/>
          <w:i/>
          <w:sz w:val="24"/>
          <w:szCs w:val="24"/>
          <w:lang w:val="sq-AL" w:eastAsia="sq-AL"/>
        </w:rPr>
        <w:t>shterimi i mjeteve juridike,</w:t>
      </w:r>
      <w:r w:rsidRPr="00156E63">
        <w:rPr>
          <w:rFonts w:ascii="Times New Roman" w:hAnsi="Times New Roman"/>
          <w:sz w:val="24"/>
          <w:szCs w:val="24"/>
          <w:lang w:val="sq-AL" w:eastAsia="sq-AL"/>
        </w:rPr>
        <w:t xml:space="preserve"> që përcaktohet nga neni </w:t>
      </w:r>
      <w:r w:rsidRPr="00156E63">
        <w:rPr>
          <w:rFonts w:ascii="Times New Roman" w:hAnsi="Times New Roman"/>
          <w:color w:val="000000"/>
          <w:sz w:val="24"/>
          <w:szCs w:val="24"/>
          <w:lang w:val="sq-AL" w:eastAsia="sq-AL"/>
        </w:rPr>
        <w:t>131, pika 1, shkronja “f”, i Kushtetutës, sipas të cilit Gjykata Kushtetuese bën gjykimin përfundimtar të ankesave individuale kundër çdo vendimi gjyqësor</w:t>
      </w:r>
      <w:r w:rsidRPr="00156E63">
        <w:rPr>
          <w:rFonts w:ascii="Times New Roman" w:hAnsi="Times New Roman"/>
          <w:color w:val="000000"/>
          <w:sz w:val="24"/>
          <w:szCs w:val="24"/>
          <w:lang w:val="sq-AL" w:eastAsia="fr-FR"/>
        </w:rPr>
        <w:t xml:space="preserve">, pasi të jenë shteruar të gjitha mjetet juridike efektive për mbrojtjen e të drejtave dhe lirive themelore kushtetuese, që pretendohet se janë cenuar. </w:t>
      </w:r>
      <w:r w:rsidRPr="00156E63">
        <w:rPr>
          <w:rFonts w:ascii="Times New Roman" w:hAnsi="Times New Roman"/>
          <w:sz w:val="24"/>
          <w:szCs w:val="24"/>
          <w:lang w:val="sq-AL"/>
        </w:rPr>
        <w:t xml:space="preserve">Në nenin 71/a, pika 1, shkronja “a”, të ligjit nr. 8577/2000, përmbushja e këtij kriteri është detajuar në dy hipoteza: i) kur kërkuesi ka shteruar të gjitha mjetet juridike efektive para se t’i drejtohet </w:t>
      </w:r>
      <w:r w:rsidR="0091494E">
        <w:rPr>
          <w:rFonts w:ascii="Times New Roman" w:hAnsi="Times New Roman"/>
          <w:sz w:val="24"/>
          <w:szCs w:val="24"/>
          <w:lang w:val="sq-AL"/>
        </w:rPr>
        <w:t>G</w:t>
      </w:r>
      <w:r w:rsidRPr="00156E63">
        <w:rPr>
          <w:rFonts w:ascii="Times New Roman" w:hAnsi="Times New Roman"/>
          <w:sz w:val="24"/>
          <w:szCs w:val="24"/>
          <w:lang w:val="sq-AL"/>
        </w:rPr>
        <w:t>jykatës; ose ii) kur legjislacioni i brendshëm nuk parashikon mjete efektive në dispozicion</w:t>
      </w:r>
      <w:r>
        <w:rPr>
          <w:rFonts w:ascii="Times New Roman" w:hAnsi="Times New Roman"/>
          <w:sz w:val="24"/>
          <w:szCs w:val="24"/>
          <w:lang w:val="sq-AL"/>
        </w:rPr>
        <w:t>.</w:t>
      </w:r>
    </w:p>
    <w:p w:rsidR="002C0AB6" w:rsidRDefault="002C0AB6"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156E63">
        <w:rPr>
          <w:rFonts w:ascii="Times New Roman" w:eastAsia="Times New Roman" w:hAnsi="Times New Roman"/>
          <w:sz w:val="24"/>
          <w:szCs w:val="24"/>
          <w:lang w:val="sq-AL"/>
        </w:rPr>
        <w:t xml:space="preserve">Kriteri për shterimin e mjeteve juridike nënkupton se kërkuesi duhet të shfrytëzojë paraprakisht në rrugë normale mjetet juridike, të cilat janë të përshtatshme, të disponueshme dhe efikase për një çështje konkrete </w:t>
      </w:r>
      <w:r w:rsidRPr="002C0AB6">
        <w:rPr>
          <w:rFonts w:ascii="Times New Roman" w:eastAsia="Times New Roman" w:hAnsi="Times New Roman"/>
          <w:i/>
          <w:sz w:val="24"/>
          <w:szCs w:val="24"/>
          <w:lang w:val="sq-AL"/>
        </w:rPr>
        <w:t>(shih vendimin nr. 13, datë 09.03.2021 të Gjykatës Kushtetuese)</w:t>
      </w:r>
      <w:r w:rsidRPr="00156E63">
        <w:rPr>
          <w:rFonts w:ascii="Times New Roman" w:eastAsia="Times New Roman" w:hAnsi="Times New Roman"/>
          <w:sz w:val="24"/>
          <w:szCs w:val="24"/>
          <w:lang w:val="sq-AL"/>
        </w:rPr>
        <w:t>.</w:t>
      </w:r>
      <w:r w:rsidR="00217A5A">
        <w:rPr>
          <w:rFonts w:ascii="Times New Roman" w:eastAsia="Times New Roman" w:hAnsi="Times New Roman"/>
          <w:sz w:val="24"/>
          <w:szCs w:val="24"/>
          <w:lang w:val="sq-AL"/>
        </w:rPr>
        <w:t xml:space="preserve"> </w:t>
      </w:r>
      <w:r w:rsidR="00217A5A" w:rsidRPr="00156E63">
        <w:rPr>
          <w:rFonts w:ascii="Times New Roman" w:hAnsi="Times New Roman"/>
          <w:color w:val="000000"/>
          <w:sz w:val="24"/>
          <w:szCs w:val="24"/>
          <w:lang w:val="sq-AL" w:eastAsia="fr-FR"/>
        </w:rPr>
        <w:t xml:space="preserve">Shterimi i mjeteve juridike ka të bëjë me funksionin subsidiar të mbrojtjes kushtetuese, e cila </w:t>
      </w:r>
      <w:r w:rsidR="00217A5A" w:rsidRPr="00156E63">
        <w:rPr>
          <w:rFonts w:ascii="Times New Roman" w:hAnsi="Times New Roman"/>
          <w:sz w:val="24"/>
          <w:szCs w:val="24"/>
          <w:lang w:val="sq-AL"/>
        </w:rPr>
        <w:t xml:space="preserve">mund të kërkohet vetëm për një vendim gjyqësor përfundimtar, që përmbyll procesin gjyqësor. Cenimi i së drejtës për një proces të rregullt ligjor, e garantuar nga neni 42 i Kushtetutës, mund të pretendohet në këtë Gjykatë vetëm pasi të shterohen të gjitha mundësitë e ofruara nga sistemi i apelimeve dhe kjo vlen edhe në rastet kur procedurat gjyqësore paraprake çojnë në një rëndim të mëtejshëm ose në tejzgjatjen e cenimit të kësaj të drejte </w:t>
      </w:r>
      <w:r w:rsidR="00217A5A" w:rsidRPr="00217A5A">
        <w:rPr>
          <w:rFonts w:ascii="Times New Roman" w:hAnsi="Times New Roman"/>
          <w:i/>
          <w:sz w:val="24"/>
          <w:szCs w:val="24"/>
          <w:lang w:val="sq-AL"/>
        </w:rPr>
        <w:t xml:space="preserve">(shih vendimet nr. </w:t>
      </w:r>
      <w:r w:rsidR="00217A5A" w:rsidRPr="00217A5A">
        <w:rPr>
          <w:rFonts w:ascii="Times New Roman" w:hAnsi="Times New Roman"/>
          <w:bCs/>
          <w:i/>
          <w:sz w:val="24"/>
          <w:szCs w:val="24"/>
          <w:lang w:val="sq-AL"/>
        </w:rPr>
        <w:t xml:space="preserve">14, datë 11.03.2021; </w:t>
      </w:r>
      <w:r w:rsidR="00217A5A" w:rsidRPr="00217A5A">
        <w:rPr>
          <w:rFonts w:ascii="Times New Roman" w:hAnsi="Times New Roman"/>
          <w:i/>
          <w:sz w:val="24"/>
          <w:szCs w:val="24"/>
          <w:lang w:val="sq-AL"/>
        </w:rPr>
        <w:t>nr. 29, datë 30.03.2017 të Gjykatës Kushtetuese)</w:t>
      </w:r>
      <w:r w:rsidR="00217A5A">
        <w:rPr>
          <w:rFonts w:ascii="Times New Roman" w:hAnsi="Times New Roman"/>
          <w:sz w:val="24"/>
          <w:szCs w:val="24"/>
          <w:lang w:val="sq-AL"/>
        </w:rPr>
        <w:t>.</w:t>
      </w:r>
    </w:p>
    <w:p w:rsidR="00136950" w:rsidRDefault="00136950"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Kolegji vëren</w:t>
      </w:r>
      <w:r w:rsidRPr="007B283E">
        <w:rPr>
          <w:rFonts w:ascii="Times New Roman" w:hAnsi="Times New Roman"/>
          <w:sz w:val="24"/>
          <w:szCs w:val="24"/>
          <w:lang w:val="sq-AL"/>
        </w:rPr>
        <w:t xml:space="preserve"> se</w:t>
      </w:r>
      <w:r>
        <w:rPr>
          <w:rFonts w:ascii="Times New Roman" w:hAnsi="Times New Roman"/>
          <w:sz w:val="24"/>
          <w:szCs w:val="24"/>
          <w:lang w:val="sq-AL"/>
        </w:rPr>
        <w:t xml:space="preserve"> objekt </w:t>
      </w:r>
      <w:r w:rsidRPr="00156E63">
        <w:rPr>
          <w:rFonts w:ascii="Times New Roman" w:hAnsi="Times New Roman"/>
          <w:sz w:val="24"/>
          <w:szCs w:val="24"/>
          <w:lang w:val="sq-AL"/>
        </w:rPr>
        <w:t xml:space="preserve">i ankimit individual kushtetues në çështjen konkrete </w:t>
      </w:r>
      <w:r w:rsidRPr="007B283E">
        <w:rPr>
          <w:rFonts w:ascii="Times New Roman" w:hAnsi="Times New Roman"/>
          <w:sz w:val="24"/>
          <w:szCs w:val="24"/>
          <w:lang w:val="sq-AL"/>
        </w:rPr>
        <w:t>janë vendimet gjyqësore që kanë vendosur rrëzimin e kërkesës së kërkuesit pë</w:t>
      </w:r>
      <w:r w:rsidR="00E824C3">
        <w:rPr>
          <w:rFonts w:ascii="Times New Roman" w:hAnsi="Times New Roman"/>
          <w:sz w:val="24"/>
          <w:szCs w:val="24"/>
          <w:lang w:val="sq-AL"/>
        </w:rPr>
        <w:t>r përjashtimin e gjyqtares M.M.</w:t>
      </w:r>
      <w:r w:rsidRPr="007B283E">
        <w:rPr>
          <w:rFonts w:ascii="Times New Roman" w:hAnsi="Times New Roman"/>
          <w:sz w:val="24"/>
          <w:szCs w:val="24"/>
          <w:lang w:val="sq-AL"/>
        </w:rPr>
        <w:t xml:space="preserve"> nga </w:t>
      </w:r>
      <w:r w:rsidRPr="00E824C3">
        <w:rPr>
          <w:rFonts w:ascii="Times New Roman" w:hAnsi="Times New Roman"/>
          <w:sz w:val="24"/>
          <w:szCs w:val="24"/>
          <w:lang w:val="sq-AL"/>
        </w:rPr>
        <w:t xml:space="preserve">gjykimi </w:t>
      </w:r>
      <w:r w:rsidR="00E824C3" w:rsidRPr="00E824C3">
        <w:rPr>
          <w:rFonts w:ascii="Times New Roman" w:hAnsi="Times New Roman"/>
          <w:sz w:val="24"/>
          <w:szCs w:val="24"/>
          <w:lang w:val="sq-AL"/>
        </w:rPr>
        <w:t xml:space="preserve">në shkallë të dytë </w:t>
      </w:r>
      <w:r w:rsidRPr="00E824C3">
        <w:rPr>
          <w:rFonts w:ascii="Times New Roman" w:hAnsi="Times New Roman"/>
          <w:sz w:val="24"/>
          <w:szCs w:val="24"/>
          <w:lang w:val="sq-AL"/>
        </w:rPr>
        <w:t>i çështjes</w:t>
      </w:r>
      <w:r w:rsidRPr="007B283E">
        <w:rPr>
          <w:rFonts w:ascii="Times New Roman" w:hAnsi="Times New Roman"/>
          <w:sz w:val="24"/>
          <w:szCs w:val="24"/>
          <w:lang w:val="sq-AL"/>
        </w:rPr>
        <w:t xml:space="preserve"> penale në ngarkim të </w:t>
      </w:r>
      <w:r>
        <w:rPr>
          <w:rFonts w:ascii="Times New Roman" w:hAnsi="Times New Roman"/>
          <w:sz w:val="24"/>
          <w:szCs w:val="24"/>
          <w:lang w:val="sq-AL"/>
        </w:rPr>
        <w:t>tij</w:t>
      </w:r>
      <w:r w:rsidRPr="007B283E">
        <w:rPr>
          <w:rFonts w:ascii="Times New Roman" w:hAnsi="Times New Roman"/>
          <w:sz w:val="24"/>
          <w:szCs w:val="24"/>
          <w:lang w:val="sq-AL"/>
        </w:rPr>
        <w:t xml:space="preserve">. </w:t>
      </w:r>
      <w:r w:rsidRPr="00156E63">
        <w:rPr>
          <w:rFonts w:ascii="Times New Roman" w:hAnsi="Times New Roman"/>
          <w:sz w:val="24"/>
          <w:szCs w:val="24"/>
          <w:lang w:val="sq-AL"/>
        </w:rPr>
        <w:t>Në këtë situatë, për të vlerësuar përmbushjen e kriterit të shterimit të mjeteve juridike efektive, merr rëndësi të përcaktohet nëse vendimet e kundërshtuara nga kërkuesi kanë formë përfundimtare, në kuptim të nenit 131, pika 1, shkronja “f”, të Kushtetutës</w:t>
      </w:r>
      <w:r>
        <w:rPr>
          <w:rFonts w:ascii="Times New Roman" w:hAnsi="Times New Roman"/>
          <w:sz w:val="24"/>
          <w:szCs w:val="24"/>
          <w:lang w:val="sq-AL"/>
        </w:rPr>
        <w:t>.</w:t>
      </w:r>
    </w:p>
    <w:p w:rsidR="002A43EE" w:rsidRPr="00806378" w:rsidRDefault="00136950"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156E63">
        <w:rPr>
          <w:rFonts w:ascii="Times New Roman" w:hAnsi="Times New Roman"/>
          <w:sz w:val="24"/>
          <w:szCs w:val="24"/>
          <w:lang w:val="sq-AL"/>
        </w:rPr>
        <w:t xml:space="preserve">Gjykata ka pohuar në jurisprudencën e saj </w:t>
      </w:r>
      <w:r w:rsidR="009E5BF6">
        <w:rPr>
          <w:rFonts w:ascii="Times New Roman" w:hAnsi="Times New Roman"/>
          <w:sz w:val="24"/>
          <w:szCs w:val="24"/>
          <w:lang w:val="sq-AL"/>
        </w:rPr>
        <w:t>se, si rregull, individi mund t’</w:t>
      </w:r>
      <w:r w:rsidRPr="00156E63">
        <w:rPr>
          <w:rFonts w:ascii="Times New Roman" w:hAnsi="Times New Roman"/>
          <w:sz w:val="24"/>
          <w:szCs w:val="24"/>
          <w:lang w:val="sq-AL"/>
        </w:rPr>
        <w:t>i drejtohet asaj për kontrollin e kushtetutshmërisë së një vendimi gjyqësor, i cili ka vendosur në mënyrë përfundimtare mbi të drejtën kushtetuese që pretendohet të jetë cenuar. Megjithatë, duke pasur parasysh edhe natyrën e kontrollit kushtetues individual, si dhe në varësi të rrethanave konkrete të çështjes rast pas rasti, përjashtimisht nga ky rregull, kontrollit kushtetues mund t’i nënshtrohen edhe vendimet e ndërmjetme që jepen gjatë një procesi gjyqësor. Ky përjashtim zbatohet vetëm kur plotësohen disa kritere që lidhen me pasojat e drejtpërdrejta ndaj së drejtës së individit. Në këtë kuptim, vendimi i ndërmjetëm duhet që të ketë vendosur mbi të drejtën e individit të pretenduar të cenuar, të jetë bërë objekt i ankimit të veçantë dhe të jetë shqyrtuar edhe nga gjykatat më të larta, të cilat të jenë shprehur, qoftë edhe tërthorazi</w:t>
      </w:r>
      <w:r w:rsidR="00961CB1">
        <w:rPr>
          <w:rFonts w:ascii="Times New Roman" w:hAnsi="Times New Roman"/>
          <w:sz w:val="24"/>
          <w:szCs w:val="24"/>
          <w:lang w:val="sq-AL"/>
        </w:rPr>
        <w:t>,</w:t>
      </w:r>
      <w:r w:rsidRPr="00156E63">
        <w:rPr>
          <w:rFonts w:ascii="Times New Roman" w:hAnsi="Times New Roman"/>
          <w:sz w:val="24"/>
          <w:szCs w:val="24"/>
          <w:lang w:val="sq-AL"/>
        </w:rPr>
        <w:t xml:space="preserve"> për të drejtën që pretendohet të jetë cenuar. Po ashtu, ky lloj vendimi i ndërmjetëm duhet të ketë një masë autonomie nga procesi i themelit, në kuptimin që pavarësisht se shqyrtimi gjyqësor i mosmarrëveshjes së themelit vazhdon, vendimi përfundimtar që do të jepet në themel nuk është i aftë të ndryshojë vendimin e ndërmjetëm dhe as të riparojë në masën e duhur efektet që ai ka sjellë. Po aq rëndësi ka edhe fakti që shkelja e pretenduar të jetë pasojë e drejtpërdrejtë e vendimit të ndërmjetëm të kundërshtuar, pra kërkuesi duhet të provojë se është viktimë e shke</w:t>
      </w:r>
      <w:r>
        <w:rPr>
          <w:rFonts w:ascii="Times New Roman" w:hAnsi="Times New Roman"/>
          <w:sz w:val="24"/>
          <w:szCs w:val="24"/>
          <w:lang w:val="sq-AL"/>
        </w:rPr>
        <w:t xml:space="preserve">ljes </w:t>
      </w:r>
      <w:r w:rsidR="00AC3B87">
        <w:rPr>
          <w:rFonts w:ascii="Times New Roman" w:hAnsi="Times New Roman"/>
          <w:sz w:val="24"/>
          <w:szCs w:val="24"/>
          <w:lang w:val="sq-AL"/>
        </w:rPr>
        <w:t xml:space="preserve">së </w:t>
      </w:r>
      <w:r>
        <w:rPr>
          <w:rFonts w:ascii="Times New Roman" w:hAnsi="Times New Roman"/>
          <w:sz w:val="24"/>
          <w:szCs w:val="24"/>
          <w:lang w:val="sq-AL"/>
        </w:rPr>
        <w:t>të drejtës kushtetuese</w:t>
      </w:r>
      <w:r w:rsidRPr="00262457">
        <w:rPr>
          <w:rFonts w:ascii="Times New Roman" w:hAnsi="Times New Roman"/>
          <w:i/>
          <w:sz w:val="24"/>
          <w:szCs w:val="24"/>
          <w:lang w:val="sq-AL"/>
        </w:rPr>
        <w:t xml:space="preserve"> </w:t>
      </w:r>
      <w:r w:rsidR="002A43EE" w:rsidRPr="00262457">
        <w:rPr>
          <w:rFonts w:ascii="Times New Roman" w:hAnsi="Times New Roman"/>
          <w:i/>
          <w:sz w:val="24"/>
          <w:szCs w:val="24"/>
          <w:lang w:val="sq-AL"/>
        </w:rPr>
        <w:t xml:space="preserve">(shih vendimin nr. 14, datë 11.03.2021 të Gjykatës </w:t>
      </w:r>
      <w:r w:rsidR="002A43EE" w:rsidRPr="00806378">
        <w:rPr>
          <w:rFonts w:ascii="Times New Roman" w:hAnsi="Times New Roman"/>
          <w:i/>
          <w:sz w:val="24"/>
          <w:szCs w:val="24"/>
          <w:lang w:val="sq-AL"/>
        </w:rPr>
        <w:t>Kushtetuese)</w:t>
      </w:r>
      <w:r w:rsidR="002A43EE" w:rsidRPr="00806378">
        <w:rPr>
          <w:rFonts w:ascii="Times New Roman" w:hAnsi="Times New Roman"/>
          <w:sz w:val="24"/>
          <w:szCs w:val="24"/>
          <w:lang w:val="sq-AL"/>
        </w:rPr>
        <w:t>.</w:t>
      </w:r>
    </w:p>
    <w:p w:rsidR="00136950" w:rsidRPr="00150A0D" w:rsidRDefault="00136950" w:rsidP="00D35D82">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806378">
        <w:rPr>
          <w:rFonts w:ascii="Times New Roman" w:hAnsi="Times New Roman"/>
          <w:sz w:val="24"/>
          <w:szCs w:val="24"/>
          <w:lang w:val="sq-AL"/>
        </w:rPr>
        <w:t>Duke iu kthyer rastit në shqyrtim, Kolegji vlerëson se procesi gjyqësor për përjashtimin e gjyqtares M.M.</w:t>
      </w:r>
      <w:r w:rsidR="00D35D82" w:rsidRPr="00806378">
        <w:rPr>
          <w:rFonts w:ascii="Times New Roman" w:hAnsi="Times New Roman"/>
          <w:sz w:val="24"/>
          <w:szCs w:val="24"/>
          <w:lang w:val="sq-AL"/>
        </w:rPr>
        <w:t>,</w:t>
      </w:r>
      <w:r w:rsidRPr="00806378">
        <w:rPr>
          <w:rFonts w:ascii="Times New Roman" w:hAnsi="Times New Roman"/>
          <w:sz w:val="24"/>
          <w:szCs w:val="24"/>
          <w:lang w:val="sq-AL"/>
        </w:rPr>
        <w:t xml:space="preserve"> </w:t>
      </w:r>
      <w:r w:rsidR="00D35D82" w:rsidRPr="00806378">
        <w:rPr>
          <w:rFonts w:ascii="Times New Roman" w:hAnsi="Times New Roman"/>
          <w:sz w:val="24"/>
          <w:szCs w:val="24"/>
          <w:lang w:val="sq-AL"/>
        </w:rPr>
        <w:t>në kuadër të të cilit janë dhënë vendimet gjyqësore të kundërshtuara nga kërkuesi, nuk paraqet masën e duhur të autonomisë nga procesi i themelit, por është në raport ndërvarësie me të, pasi procedura e përjashtimit të gjyqtarit është në funksion të procesit të themelit</w:t>
      </w:r>
      <w:r w:rsidRPr="00806378">
        <w:rPr>
          <w:rFonts w:ascii="Times New Roman" w:hAnsi="Times New Roman"/>
          <w:sz w:val="24"/>
          <w:szCs w:val="24"/>
          <w:lang w:val="sq-AL"/>
        </w:rPr>
        <w:t xml:space="preserve">. </w:t>
      </w:r>
      <w:r w:rsidR="00D35D82" w:rsidRPr="00806378">
        <w:rPr>
          <w:rFonts w:ascii="Times New Roman" w:hAnsi="Times New Roman"/>
          <w:sz w:val="24"/>
          <w:szCs w:val="24"/>
          <w:lang w:val="sq-AL"/>
        </w:rPr>
        <w:t>Në këtë pikëpamje</w:t>
      </w:r>
      <w:r w:rsidR="00150A0D" w:rsidRPr="00806378">
        <w:rPr>
          <w:rFonts w:ascii="Times New Roman" w:hAnsi="Times New Roman"/>
          <w:sz w:val="24"/>
          <w:szCs w:val="24"/>
          <w:lang w:val="sq-AL"/>
        </w:rPr>
        <w:t xml:space="preserve">, </w:t>
      </w:r>
      <w:r w:rsidRPr="00806378">
        <w:rPr>
          <w:rFonts w:ascii="Times New Roman" w:hAnsi="Times New Roman"/>
          <w:sz w:val="24"/>
          <w:szCs w:val="24"/>
          <w:lang w:val="sq-AL"/>
        </w:rPr>
        <w:t xml:space="preserve">procedura e përjashtimit </w:t>
      </w:r>
      <w:r w:rsidR="009E5BF6" w:rsidRPr="00806378">
        <w:rPr>
          <w:rFonts w:ascii="Times New Roman" w:hAnsi="Times New Roman"/>
          <w:sz w:val="24"/>
          <w:szCs w:val="24"/>
          <w:lang w:val="sq-AL"/>
        </w:rPr>
        <w:t xml:space="preserve">të gjyqtarit </w:t>
      </w:r>
      <w:r w:rsidRPr="00806378">
        <w:rPr>
          <w:rFonts w:ascii="Times New Roman" w:hAnsi="Times New Roman"/>
          <w:sz w:val="24"/>
          <w:szCs w:val="24"/>
          <w:lang w:val="sq-AL"/>
        </w:rPr>
        <w:t>përbën një mjet juridik që garanton të</w:t>
      </w:r>
      <w:r w:rsidRPr="00150A0D">
        <w:rPr>
          <w:rFonts w:ascii="Times New Roman" w:hAnsi="Times New Roman"/>
          <w:sz w:val="24"/>
          <w:szCs w:val="24"/>
          <w:lang w:val="sq-AL"/>
        </w:rPr>
        <w:t xml:space="preserve"> drejtën për t’u gjykuar nga një gjykatë e paanshme, si një prej aspekteve të procesit të rregullt ligjor gjatë shqyrtimit gjyqësor, në funksion të rezultatit përfundimtar </w:t>
      </w:r>
      <w:r w:rsidR="00AC3B87">
        <w:rPr>
          <w:rFonts w:ascii="Times New Roman" w:hAnsi="Times New Roman"/>
          <w:sz w:val="24"/>
          <w:szCs w:val="24"/>
          <w:lang w:val="sq-AL"/>
        </w:rPr>
        <w:t>për</w:t>
      </w:r>
      <w:r w:rsidRPr="00150A0D">
        <w:rPr>
          <w:rFonts w:ascii="Times New Roman" w:hAnsi="Times New Roman"/>
          <w:sz w:val="24"/>
          <w:szCs w:val="24"/>
          <w:lang w:val="sq-AL"/>
        </w:rPr>
        <w:t xml:space="preserve"> fajësinë ose pafajësinë e kërkuesit. </w:t>
      </w:r>
      <w:r w:rsidR="00220661" w:rsidRPr="00150A0D">
        <w:rPr>
          <w:rFonts w:ascii="Times New Roman" w:hAnsi="Times New Roman"/>
          <w:sz w:val="24"/>
          <w:szCs w:val="24"/>
          <w:lang w:val="sq-AL"/>
        </w:rPr>
        <w:t>Për rrjedhojë</w:t>
      </w:r>
      <w:r w:rsidRPr="00150A0D">
        <w:rPr>
          <w:rFonts w:ascii="Times New Roman" w:hAnsi="Times New Roman"/>
          <w:sz w:val="24"/>
          <w:szCs w:val="24"/>
          <w:lang w:val="sq-AL"/>
        </w:rPr>
        <w:t>, pretendimet që kër</w:t>
      </w:r>
      <w:r w:rsidR="00806378">
        <w:rPr>
          <w:rFonts w:ascii="Times New Roman" w:hAnsi="Times New Roman"/>
          <w:sz w:val="24"/>
          <w:szCs w:val="24"/>
          <w:lang w:val="sq-AL"/>
        </w:rPr>
        <w:t>kuesi ka ngritur para Gjykatës</w:t>
      </w:r>
      <w:r w:rsidRPr="00150A0D">
        <w:rPr>
          <w:rFonts w:ascii="Times New Roman" w:hAnsi="Times New Roman"/>
          <w:sz w:val="24"/>
          <w:szCs w:val="24"/>
          <w:lang w:val="sq-AL"/>
        </w:rPr>
        <w:t xml:space="preserve"> janë të tilla që</w:t>
      </w:r>
      <w:r w:rsidR="00307884">
        <w:rPr>
          <w:rFonts w:ascii="Times New Roman" w:hAnsi="Times New Roman"/>
          <w:sz w:val="24"/>
          <w:szCs w:val="24"/>
          <w:lang w:val="sq-AL"/>
        </w:rPr>
        <w:t xml:space="preserve"> mund</w:t>
      </w:r>
      <w:r w:rsidRPr="00150A0D">
        <w:rPr>
          <w:rFonts w:ascii="Times New Roman" w:hAnsi="Times New Roman"/>
          <w:sz w:val="24"/>
          <w:szCs w:val="24"/>
          <w:lang w:val="sq-AL"/>
        </w:rPr>
        <w:t xml:space="preserve"> t’i </w:t>
      </w:r>
      <w:r w:rsidR="00806378">
        <w:rPr>
          <w:rFonts w:ascii="Times New Roman" w:hAnsi="Times New Roman"/>
          <w:sz w:val="24"/>
          <w:szCs w:val="24"/>
          <w:lang w:val="sq-AL"/>
        </w:rPr>
        <w:t>nënshtrohen</w:t>
      </w:r>
      <w:r w:rsidRPr="00150A0D">
        <w:rPr>
          <w:rFonts w:ascii="Times New Roman" w:hAnsi="Times New Roman"/>
          <w:sz w:val="24"/>
          <w:szCs w:val="24"/>
          <w:lang w:val="sq-AL"/>
        </w:rPr>
        <w:t xml:space="preserve"> kontrollit të mëtejshëm gjyqësor gjatë shqyrtimit të themelit të çështjes nga gjykatat e juridiksionit të zakonshëm. </w:t>
      </w:r>
    </w:p>
    <w:p w:rsidR="002A43EE" w:rsidRPr="007B283E" w:rsidRDefault="00220661" w:rsidP="00220661">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 xml:space="preserve">Për sa më lart, Kolegji vlerëson se </w:t>
      </w:r>
      <w:r w:rsidR="002A43EE">
        <w:rPr>
          <w:rFonts w:ascii="Times New Roman" w:hAnsi="Times New Roman"/>
          <w:color w:val="231F20"/>
          <w:sz w:val="24"/>
          <w:szCs w:val="24"/>
          <w:lang w:val="sq-AL" w:eastAsia="sq-AL"/>
        </w:rPr>
        <w:t>n</w:t>
      </w:r>
      <w:r w:rsidR="002A43EE" w:rsidRPr="007B283E">
        <w:rPr>
          <w:rFonts w:ascii="Times New Roman" w:hAnsi="Times New Roman"/>
          <w:sz w:val="24"/>
          <w:szCs w:val="24"/>
          <w:lang w:val="sq-AL"/>
        </w:rPr>
        <w:t xml:space="preserve">ë kuptim të nenit 131, pika 1, shkronja “f”, të Kushtetutës, vendimi i pranimit ose jo të kërkesës për përjashtimin e gjyqtarit nga gjykimi i çështjes, nuk është vendim përfundimtar për efekt të gjykimit kushtetues, pasi nuk vendos në mënyrë përfundimtare për themelin e çështjes. </w:t>
      </w:r>
      <w:r w:rsidR="00E824C3" w:rsidRPr="00156E63">
        <w:rPr>
          <w:rFonts w:ascii="Times New Roman" w:hAnsi="Times New Roman"/>
          <w:sz w:val="24"/>
          <w:szCs w:val="24"/>
          <w:lang w:val="sq-AL"/>
        </w:rPr>
        <w:t>Në këto kushte, Gjykata nuk mund të bëjë gjykimin përfundimtar të ankesës individuale të kërkuesit kundër vendimeve gjyqësore, pasi nuk janë shteruar ende të gjitha mjetet juridike efektive</w:t>
      </w:r>
      <w:r w:rsidR="002A43EE" w:rsidRPr="007B283E">
        <w:rPr>
          <w:rFonts w:ascii="Times New Roman" w:hAnsi="Times New Roman"/>
          <w:sz w:val="24"/>
          <w:szCs w:val="24"/>
          <w:lang w:val="sq-AL"/>
        </w:rPr>
        <w:t>.</w:t>
      </w:r>
    </w:p>
    <w:p w:rsidR="002A43EE" w:rsidRDefault="00C846CD"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156E63">
        <w:rPr>
          <w:rFonts w:ascii="Times New Roman" w:hAnsi="Times New Roman"/>
          <w:sz w:val="24"/>
          <w:szCs w:val="24"/>
          <w:lang w:val="sq-AL"/>
        </w:rPr>
        <w:t>Në kushtet kur kriteri paraprak për shterimin e mjeteve juridike efektive nuk plotësohet, analiza e përmbushjes së kritereve të tjera të pranueshmërisë së ankimit individual të kërkuesit bëhet e panevojshme, për shkak të karakterit kumulativ të tyre</w:t>
      </w:r>
      <w:r w:rsidR="002A43EE">
        <w:rPr>
          <w:rFonts w:ascii="Times New Roman" w:hAnsi="Times New Roman"/>
          <w:sz w:val="24"/>
          <w:szCs w:val="24"/>
          <w:lang w:val="sq-AL"/>
        </w:rPr>
        <w:t>.</w:t>
      </w:r>
    </w:p>
    <w:p w:rsidR="00C846CD" w:rsidRDefault="00C846CD" w:rsidP="002A43EE">
      <w:pPr>
        <w:pStyle w:val="ListParagraph"/>
        <w:numPr>
          <w:ilvl w:val="0"/>
          <w:numId w:val="1"/>
        </w:numPr>
        <w:tabs>
          <w:tab w:val="left" w:pos="1080"/>
        </w:tabs>
        <w:spacing w:after="0" w:line="360" w:lineRule="auto"/>
        <w:ind w:left="0" w:firstLine="720"/>
        <w:jc w:val="both"/>
        <w:rPr>
          <w:rFonts w:ascii="Times New Roman" w:hAnsi="Times New Roman"/>
          <w:sz w:val="24"/>
          <w:szCs w:val="24"/>
          <w:lang w:val="sq-AL"/>
        </w:rPr>
      </w:pPr>
      <w:r w:rsidRPr="00156E63">
        <w:rPr>
          <w:rFonts w:ascii="Times New Roman" w:hAnsi="Times New Roman"/>
          <w:bCs/>
          <w:sz w:val="24"/>
          <w:szCs w:val="24"/>
          <w:lang w:val="sq-AL"/>
        </w:rPr>
        <w:t xml:space="preserve">Në përfundim, Kolegji vlerëson se kërkesa e paraqitur nga kërkuesi </w:t>
      </w:r>
      <w:r>
        <w:rPr>
          <w:rFonts w:ascii="Times New Roman" w:hAnsi="Times New Roman"/>
          <w:bCs/>
          <w:sz w:val="24"/>
          <w:szCs w:val="24"/>
          <w:lang w:val="sq-AL"/>
        </w:rPr>
        <w:t>Emiljano Shullazi</w:t>
      </w:r>
      <w:r w:rsidR="00AC3B87">
        <w:rPr>
          <w:rFonts w:ascii="Times New Roman" w:hAnsi="Times New Roman"/>
          <w:bCs/>
          <w:sz w:val="24"/>
          <w:szCs w:val="24"/>
          <w:lang w:val="sq-AL"/>
        </w:rPr>
        <w:t>,</w:t>
      </w:r>
      <w:r w:rsidRPr="00156E63">
        <w:rPr>
          <w:rFonts w:ascii="Times New Roman" w:hAnsi="Times New Roman"/>
          <w:bCs/>
          <w:sz w:val="24"/>
          <w:szCs w:val="24"/>
          <w:lang w:val="sq-AL"/>
        </w:rPr>
        <w:t xml:space="preserve"> nuk plotëson kushtet për kalimin e saj </w:t>
      </w:r>
      <w:r w:rsidRPr="00156E63">
        <w:rPr>
          <w:rFonts w:ascii="Times New Roman" w:hAnsi="Times New Roman"/>
          <w:sz w:val="24"/>
          <w:szCs w:val="24"/>
          <w:lang w:val="sq-AL"/>
        </w:rPr>
        <w:t>për shqyrtim në seancë plenare</w:t>
      </w:r>
      <w:r>
        <w:rPr>
          <w:rFonts w:ascii="Times New Roman" w:hAnsi="Times New Roman"/>
          <w:sz w:val="24"/>
          <w:szCs w:val="24"/>
          <w:lang w:val="sq-AL"/>
        </w:rPr>
        <w:t>.</w:t>
      </w:r>
    </w:p>
    <w:p w:rsidR="00C846CD" w:rsidRDefault="00C846CD" w:rsidP="00C846CD">
      <w:pPr>
        <w:pStyle w:val="ListParagraph"/>
        <w:tabs>
          <w:tab w:val="left" w:pos="1080"/>
        </w:tabs>
        <w:spacing w:after="0" w:line="360" w:lineRule="auto"/>
        <w:jc w:val="both"/>
        <w:rPr>
          <w:rFonts w:ascii="Times New Roman" w:hAnsi="Times New Roman"/>
          <w:sz w:val="24"/>
          <w:szCs w:val="24"/>
          <w:lang w:val="sq-AL"/>
        </w:rPr>
      </w:pPr>
    </w:p>
    <w:p w:rsidR="00C846CD" w:rsidRPr="00156E63" w:rsidRDefault="00C846CD" w:rsidP="00C846CD">
      <w:pPr>
        <w:spacing w:after="0" w:line="360" w:lineRule="auto"/>
        <w:jc w:val="center"/>
        <w:rPr>
          <w:rFonts w:ascii="Times New Roman" w:eastAsia="Times New Roman" w:hAnsi="Times New Roman"/>
          <w:b/>
          <w:bCs/>
          <w:sz w:val="24"/>
          <w:szCs w:val="24"/>
          <w:lang w:val="sq-AL"/>
        </w:rPr>
      </w:pPr>
      <w:r w:rsidRPr="00156E63">
        <w:rPr>
          <w:rFonts w:ascii="Times New Roman" w:eastAsia="Times New Roman" w:hAnsi="Times New Roman"/>
          <w:b/>
          <w:bCs/>
          <w:sz w:val="24"/>
          <w:szCs w:val="24"/>
          <w:lang w:val="sq-AL"/>
        </w:rPr>
        <w:t>PËR KËTO ARSYE,</w:t>
      </w:r>
    </w:p>
    <w:p w:rsidR="00C846CD" w:rsidRPr="00156E63" w:rsidRDefault="00C846CD" w:rsidP="00C846CD">
      <w:pPr>
        <w:spacing w:after="0" w:line="360" w:lineRule="auto"/>
        <w:jc w:val="both"/>
        <w:rPr>
          <w:rFonts w:ascii="Times New Roman" w:hAnsi="Times New Roman"/>
          <w:sz w:val="24"/>
          <w:szCs w:val="24"/>
          <w:lang w:val="sq-AL"/>
        </w:rPr>
      </w:pPr>
      <w:r w:rsidRPr="00156E63">
        <w:rPr>
          <w:rFonts w:ascii="Times New Roman" w:eastAsia="Times New Roman" w:hAnsi="Times New Roman"/>
          <w:sz w:val="24"/>
          <w:szCs w:val="24"/>
          <w:lang w:val="sq-AL"/>
        </w:rPr>
        <w:tab/>
        <w:t xml:space="preserve">Kolegji i Gjykatës Kushtetuese të Republikës së Shqipërisë, </w:t>
      </w:r>
      <w:r w:rsidRPr="00156E63">
        <w:rPr>
          <w:rFonts w:ascii="Times New Roman" w:hAnsi="Times New Roman"/>
          <w:sz w:val="24"/>
          <w:szCs w:val="24"/>
          <w:lang w:val="sq-AL"/>
        </w:rPr>
        <w:t>në bazë të nenit 31/a, pikat 1 dhe 2</w:t>
      </w:r>
      <w:r w:rsidRPr="00156E63">
        <w:rPr>
          <w:rFonts w:ascii="Times New Roman" w:eastAsia="Times New Roman" w:hAnsi="Times New Roman"/>
          <w:sz w:val="24"/>
          <w:szCs w:val="24"/>
          <w:lang w:val="sq-AL"/>
        </w:rPr>
        <w:t xml:space="preserve">, shkronja “d”, </w:t>
      </w:r>
      <w:r w:rsidRPr="00156E63">
        <w:rPr>
          <w:rFonts w:ascii="Times New Roman" w:hAnsi="Times New Roman"/>
          <w:sz w:val="24"/>
          <w:szCs w:val="24"/>
          <w:lang w:val="sq-AL"/>
        </w:rPr>
        <w:t>të ligjit nr. 8577, datë 10.02.2000 “Për organizimin dhe funksionimin e Gjykatës Kushtetuese të Republikës së Shqipërisë”, të ndryshuar,</w:t>
      </w:r>
    </w:p>
    <w:p w:rsidR="00C846CD" w:rsidRPr="00156E63" w:rsidRDefault="00C846CD" w:rsidP="00C846CD">
      <w:pPr>
        <w:spacing w:after="0" w:line="360" w:lineRule="auto"/>
        <w:jc w:val="both"/>
        <w:rPr>
          <w:rFonts w:ascii="Times New Roman" w:hAnsi="Times New Roman"/>
          <w:sz w:val="24"/>
          <w:szCs w:val="24"/>
          <w:lang w:val="sq-AL"/>
        </w:rPr>
      </w:pPr>
    </w:p>
    <w:p w:rsidR="00C846CD" w:rsidRPr="00156E63" w:rsidRDefault="00C846CD" w:rsidP="00C846CD">
      <w:pPr>
        <w:spacing w:after="0" w:line="360" w:lineRule="auto"/>
        <w:jc w:val="center"/>
        <w:rPr>
          <w:rFonts w:ascii="Times New Roman" w:eastAsia="Times New Roman" w:hAnsi="Times New Roman"/>
          <w:b/>
          <w:bCs/>
          <w:sz w:val="24"/>
          <w:szCs w:val="24"/>
          <w:lang w:val="sq-AL"/>
        </w:rPr>
      </w:pPr>
      <w:r w:rsidRPr="00156E63">
        <w:rPr>
          <w:rFonts w:ascii="Times New Roman" w:eastAsia="Times New Roman" w:hAnsi="Times New Roman"/>
          <w:b/>
          <w:bCs/>
          <w:sz w:val="24"/>
          <w:szCs w:val="24"/>
          <w:lang w:val="sq-AL"/>
        </w:rPr>
        <w:t>V E N D O S I:</w:t>
      </w:r>
    </w:p>
    <w:p w:rsidR="00C846CD" w:rsidRPr="00156E63" w:rsidRDefault="00C846CD" w:rsidP="00C846CD">
      <w:pPr>
        <w:spacing w:after="0" w:line="360" w:lineRule="auto"/>
        <w:ind w:firstLine="720"/>
        <w:rPr>
          <w:rFonts w:ascii="Times New Roman" w:eastAsia="Times New Roman" w:hAnsi="Times New Roman"/>
          <w:b/>
          <w:bCs/>
          <w:sz w:val="24"/>
          <w:szCs w:val="24"/>
          <w:lang w:val="sq-AL"/>
        </w:rPr>
      </w:pPr>
      <w:r w:rsidRPr="00156E63">
        <w:rPr>
          <w:rFonts w:ascii="Times New Roman" w:eastAsia="Times New Roman" w:hAnsi="Times New Roman"/>
          <w:sz w:val="24"/>
          <w:szCs w:val="24"/>
          <w:lang w:val="sq-AL"/>
        </w:rPr>
        <w:t xml:space="preserve">Moskalimin e çështjes për shqyrtim në seancë plenare.  </w:t>
      </w:r>
    </w:p>
    <w:p w:rsidR="00C846CD" w:rsidRPr="00156E63" w:rsidRDefault="00C846CD" w:rsidP="00C846CD">
      <w:pPr>
        <w:tabs>
          <w:tab w:val="left" w:pos="0"/>
        </w:tabs>
        <w:spacing w:after="0" w:line="360" w:lineRule="auto"/>
        <w:rPr>
          <w:rFonts w:ascii="Times New Roman" w:hAnsi="Times New Roman"/>
          <w:b/>
          <w:bCs/>
          <w:sz w:val="24"/>
          <w:szCs w:val="24"/>
          <w:lang w:val="sq-AL"/>
        </w:rPr>
      </w:pPr>
      <w:r w:rsidRPr="00156E63">
        <w:rPr>
          <w:rFonts w:ascii="Times New Roman" w:hAnsi="Times New Roman"/>
          <w:b/>
          <w:bCs/>
          <w:sz w:val="24"/>
          <w:szCs w:val="24"/>
          <w:lang w:val="sq-AL"/>
        </w:rPr>
        <w:tab/>
      </w:r>
    </w:p>
    <w:p w:rsidR="00F3695C" w:rsidRPr="00B31E85" w:rsidRDefault="00F3695C" w:rsidP="00C846CD">
      <w:pPr>
        <w:tabs>
          <w:tab w:val="left" w:pos="1080"/>
        </w:tabs>
        <w:spacing w:after="0" w:line="360" w:lineRule="auto"/>
        <w:jc w:val="both"/>
        <w:rPr>
          <w:lang w:val="it-IT"/>
        </w:rPr>
      </w:pPr>
    </w:p>
    <w:sectPr w:rsidR="00F3695C" w:rsidRPr="00B31E85" w:rsidSect="00ED2E1C">
      <w:footerReference w:type="default" r:id="rId8"/>
      <w:footerReference w:type="first" r:id="rId9"/>
      <w:pgSz w:w="11906" w:h="16838"/>
      <w:pgMar w:top="709" w:right="1440" w:bottom="126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746" w:rsidRDefault="004E0746" w:rsidP="002A43EE">
      <w:pPr>
        <w:spacing w:after="0" w:line="240" w:lineRule="auto"/>
      </w:pPr>
      <w:r>
        <w:separator/>
      </w:r>
    </w:p>
  </w:endnote>
  <w:endnote w:type="continuationSeparator" w:id="0">
    <w:p w:rsidR="004E0746" w:rsidRDefault="004E0746" w:rsidP="002A4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90305"/>
      <w:docPartObj>
        <w:docPartGallery w:val="Page Numbers (Bottom of Page)"/>
        <w:docPartUnique/>
      </w:docPartObj>
    </w:sdtPr>
    <w:sdtEndPr>
      <w:rPr>
        <w:noProof/>
      </w:rPr>
    </w:sdtEndPr>
    <w:sdtContent>
      <w:p w:rsidR="00ED2E1C" w:rsidRDefault="00FC769A">
        <w:pPr>
          <w:pStyle w:val="Footer"/>
          <w:jc w:val="right"/>
        </w:pPr>
        <w:r>
          <w:fldChar w:fldCharType="begin"/>
        </w:r>
        <w:r w:rsidR="00ED2E1C">
          <w:instrText xml:space="preserve"> PAGE   \* MERGEFORMAT </w:instrText>
        </w:r>
        <w:r>
          <w:fldChar w:fldCharType="separate"/>
        </w:r>
        <w:r w:rsidR="007E5C89">
          <w:rPr>
            <w:noProof/>
          </w:rPr>
          <w:t>2</w:t>
        </w:r>
        <w:r>
          <w:rPr>
            <w:noProof/>
          </w:rPr>
          <w:fldChar w:fldCharType="end"/>
        </w:r>
      </w:p>
    </w:sdtContent>
  </w:sdt>
  <w:p w:rsidR="00C851BD" w:rsidRDefault="004E07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7B" w:rsidRDefault="004E0746">
    <w:pPr>
      <w:pStyle w:val="Footer"/>
      <w:jc w:val="right"/>
    </w:pPr>
  </w:p>
  <w:p w:rsidR="008A247B" w:rsidRDefault="004E0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746" w:rsidRDefault="004E0746" w:rsidP="002A43EE">
      <w:pPr>
        <w:spacing w:after="0" w:line="240" w:lineRule="auto"/>
      </w:pPr>
      <w:r>
        <w:separator/>
      </w:r>
    </w:p>
  </w:footnote>
  <w:footnote w:type="continuationSeparator" w:id="0">
    <w:p w:rsidR="004E0746" w:rsidRDefault="004E0746" w:rsidP="002A4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2E84"/>
    <w:multiLevelType w:val="hybridMultilevel"/>
    <w:tmpl w:val="2D3EE9AC"/>
    <w:lvl w:ilvl="0" w:tplc="C8BED1CC">
      <w:start w:val="1"/>
      <w:numFmt w:val="decimal"/>
      <w:lvlText w:val="8.%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352DE3"/>
    <w:multiLevelType w:val="hybridMultilevel"/>
    <w:tmpl w:val="39500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2A43EE"/>
    <w:rsid w:val="00012FED"/>
    <w:rsid w:val="0002363A"/>
    <w:rsid w:val="00035CE4"/>
    <w:rsid w:val="000734DA"/>
    <w:rsid w:val="000B4822"/>
    <w:rsid w:val="00136950"/>
    <w:rsid w:val="00150A0D"/>
    <w:rsid w:val="001A7071"/>
    <w:rsid w:val="00217A5A"/>
    <w:rsid w:val="00220661"/>
    <w:rsid w:val="00231E6D"/>
    <w:rsid w:val="002328BF"/>
    <w:rsid w:val="002A43EE"/>
    <w:rsid w:val="002C0AB6"/>
    <w:rsid w:val="00307884"/>
    <w:rsid w:val="0035094D"/>
    <w:rsid w:val="00383BC7"/>
    <w:rsid w:val="004B684C"/>
    <w:rsid w:val="004E0746"/>
    <w:rsid w:val="00593BF9"/>
    <w:rsid w:val="006D457B"/>
    <w:rsid w:val="007226E4"/>
    <w:rsid w:val="00766090"/>
    <w:rsid w:val="007E5C89"/>
    <w:rsid w:val="00801C10"/>
    <w:rsid w:val="00806378"/>
    <w:rsid w:val="008A12A5"/>
    <w:rsid w:val="0091494E"/>
    <w:rsid w:val="009309F5"/>
    <w:rsid w:val="00952D09"/>
    <w:rsid w:val="00953BD9"/>
    <w:rsid w:val="00955A41"/>
    <w:rsid w:val="00961CB1"/>
    <w:rsid w:val="00984EF1"/>
    <w:rsid w:val="009C7136"/>
    <w:rsid w:val="009E5BF6"/>
    <w:rsid w:val="00A2750D"/>
    <w:rsid w:val="00A82E05"/>
    <w:rsid w:val="00AC3B87"/>
    <w:rsid w:val="00AE0349"/>
    <w:rsid w:val="00B131CF"/>
    <w:rsid w:val="00B31E85"/>
    <w:rsid w:val="00B44B3C"/>
    <w:rsid w:val="00B90999"/>
    <w:rsid w:val="00B979BE"/>
    <w:rsid w:val="00BB1E76"/>
    <w:rsid w:val="00C846CD"/>
    <w:rsid w:val="00CB47B6"/>
    <w:rsid w:val="00CD53D4"/>
    <w:rsid w:val="00D35D82"/>
    <w:rsid w:val="00D50E1A"/>
    <w:rsid w:val="00D80166"/>
    <w:rsid w:val="00E065F5"/>
    <w:rsid w:val="00E703C0"/>
    <w:rsid w:val="00E824C3"/>
    <w:rsid w:val="00E96C06"/>
    <w:rsid w:val="00EA3740"/>
    <w:rsid w:val="00ED2E0C"/>
    <w:rsid w:val="00ED2E1C"/>
    <w:rsid w:val="00F3695C"/>
    <w:rsid w:val="00F45804"/>
    <w:rsid w:val="00F5258C"/>
    <w:rsid w:val="00F60725"/>
    <w:rsid w:val="00FC5497"/>
    <w:rsid w:val="00FC769A"/>
    <w:rsid w:val="00FD444B"/>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q-A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EE"/>
    <w:pPr>
      <w:spacing w:after="200" w:line="276" w:lineRule="auto"/>
    </w:pPr>
    <w:rPr>
      <w:rFonts w:ascii="Calibri" w:eastAsia="Calibri" w:hAnsi="Calibri"/>
      <w:sz w:val="22"/>
      <w:szCs w:val="22"/>
      <w:lang w:val="en-US"/>
    </w:rPr>
  </w:style>
  <w:style w:type="paragraph" w:styleId="Heading1">
    <w:name w:val="heading 1"/>
    <w:basedOn w:val="Normal"/>
    <w:next w:val="Normal"/>
    <w:link w:val="Heading1Char"/>
    <w:uiPriority w:val="9"/>
    <w:qFormat/>
    <w:rsid w:val="002A43EE"/>
    <w:pPr>
      <w:keepNext/>
      <w:spacing w:after="0" w:line="360" w:lineRule="auto"/>
      <w:jc w:val="center"/>
      <w:outlineLvl w:val="0"/>
    </w:pPr>
    <w:rPr>
      <w:rFonts w:ascii="Times New Roman" w:hAnsi="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E1A"/>
  </w:style>
  <w:style w:type="character" w:customStyle="1" w:styleId="FootnoteTextChar">
    <w:name w:val="Footnote Text Char"/>
    <w:basedOn w:val="DefaultParagraphFont"/>
    <w:link w:val="FootnoteText"/>
    <w:uiPriority w:val="99"/>
    <w:semiHidden/>
    <w:rsid w:val="00D50E1A"/>
    <w:rPr>
      <w:sz w:val="20"/>
      <w:szCs w:val="20"/>
    </w:rPr>
  </w:style>
  <w:style w:type="paragraph" w:styleId="Header">
    <w:name w:val="header"/>
    <w:basedOn w:val="Normal"/>
    <w:link w:val="HeaderChar"/>
    <w:uiPriority w:val="99"/>
    <w:unhideWhenUsed/>
    <w:rsid w:val="00D50E1A"/>
    <w:pPr>
      <w:tabs>
        <w:tab w:val="center" w:pos="4680"/>
        <w:tab w:val="right" w:pos="9360"/>
      </w:tabs>
    </w:pPr>
  </w:style>
  <w:style w:type="character" w:customStyle="1" w:styleId="HeaderChar">
    <w:name w:val="Header Char"/>
    <w:basedOn w:val="DefaultParagraphFont"/>
    <w:link w:val="Header"/>
    <w:uiPriority w:val="99"/>
    <w:rsid w:val="00D50E1A"/>
  </w:style>
  <w:style w:type="paragraph" w:styleId="Footer">
    <w:name w:val="footer"/>
    <w:basedOn w:val="Normal"/>
    <w:link w:val="FooterChar"/>
    <w:uiPriority w:val="99"/>
    <w:unhideWhenUsed/>
    <w:rsid w:val="00012FED"/>
    <w:pPr>
      <w:tabs>
        <w:tab w:val="center" w:pos="4680"/>
        <w:tab w:val="right" w:pos="9360"/>
      </w:tabs>
    </w:pPr>
  </w:style>
  <w:style w:type="character" w:customStyle="1" w:styleId="FooterChar">
    <w:name w:val="Footer Char"/>
    <w:basedOn w:val="DefaultParagraphFont"/>
    <w:link w:val="Footer"/>
    <w:uiPriority w:val="99"/>
    <w:rsid w:val="00012FED"/>
    <w:rPr>
      <w:sz w:val="20"/>
    </w:rPr>
  </w:style>
  <w:style w:type="character" w:styleId="FootnoteReference">
    <w:name w:val="footnote reference"/>
    <w:basedOn w:val="DefaultParagraphFont"/>
    <w:uiPriority w:val="99"/>
    <w:semiHidden/>
    <w:unhideWhenUsed/>
    <w:rsid w:val="00D50E1A"/>
    <w:rPr>
      <w:rFonts w:ascii="Times New Roman" w:hAnsi="Times New Roman"/>
      <w:sz w:val="20"/>
      <w:vertAlign w:val="superscript"/>
    </w:rPr>
  </w:style>
  <w:style w:type="paragraph" w:styleId="BodyTextIndent">
    <w:name w:val="Body Text Indent"/>
    <w:basedOn w:val="Normal"/>
    <w:link w:val="BodyTextIndentChar"/>
    <w:uiPriority w:val="99"/>
    <w:unhideWhenUsed/>
    <w:rsid w:val="00D50E1A"/>
    <w:pPr>
      <w:spacing w:after="120"/>
      <w:ind w:left="360"/>
    </w:pPr>
  </w:style>
  <w:style w:type="character" w:customStyle="1" w:styleId="BodyTextIndentChar">
    <w:name w:val="Body Text Indent Char"/>
    <w:basedOn w:val="DefaultParagraphFont"/>
    <w:link w:val="BodyTextIndent"/>
    <w:uiPriority w:val="99"/>
    <w:rsid w:val="00D50E1A"/>
    <w:rPr>
      <w:rFonts w:ascii="Calibri" w:eastAsia="Calibri" w:hAnsi="Calibri"/>
      <w:sz w:val="22"/>
      <w:szCs w:val="22"/>
    </w:rPr>
  </w:style>
  <w:style w:type="paragraph" w:styleId="ListParagraph">
    <w:name w:val="List Paragraph"/>
    <w:aliases w:val="List Paragraph2"/>
    <w:basedOn w:val="Normal"/>
    <w:link w:val="ListParagraphChar"/>
    <w:uiPriority w:val="34"/>
    <w:qFormat/>
    <w:rsid w:val="00D50E1A"/>
    <w:pPr>
      <w:ind w:left="720"/>
      <w:contextualSpacing/>
    </w:pPr>
  </w:style>
  <w:style w:type="character" w:customStyle="1" w:styleId="ListParagraphChar">
    <w:name w:val="List Paragraph Char"/>
    <w:aliases w:val="List Paragraph2 Char"/>
    <w:basedOn w:val="DefaultParagraphFont"/>
    <w:link w:val="ListParagraph"/>
    <w:uiPriority w:val="34"/>
    <w:locked/>
    <w:rsid w:val="00D50E1A"/>
  </w:style>
  <w:style w:type="character" w:customStyle="1" w:styleId="Heading1Char">
    <w:name w:val="Heading 1 Char"/>
    <w:basedOn w:val="DefaultParagraphFont"/>
    <w:link w:val="Heading1"/>
    <w:uiPriority w:val="9"/>
    <w:rsid w:val="002A43EE"/>
    <w:rPr>
      <w:rFonts w:eastAsia="Calibri"/>
      <w:b/>
    </w:rPr>
  </w:style>
  <w:style w:type="paragraph" w:styleId="BodyTextIndent2">
    <w:name w:val="Body Text Indent 2"/>
    <w:basedOn w:val="Normal"/>
    <w:link w:val="BodyTextIndent2Char"/>
    <w:uiPriority w:val="99"/>
    <w:unhideWhenUsed/>
    <w:rsid w:val="002A43EE"/>
    <w:pPr>
      <w:spacing w:after="0" w:line="360" w:lineRule="auto"/>
      <w:ind w:left="2880" w:hanging="2160"/>
      <w:jc w:val="both"/>
    </w:pPr>
    <w:rPr>
      <w:rFonts w:ascii="Times New Roman" w:hAnsi="Times New Roman"/>
      <w:b/>
      <w:sz w:val="24"/>
      <w:szCs w:val="24"/>
      <w:lang w:val="sq-AL"/>
    </w:rPr>
  </w:style>
  <w:style w:type="character" w:customStyle="1" w:styleId="BodyTextIndent2Char">
    <w:name w:val="Body Text Indent 2 Char"/>
    <w:basedOn w:val="DefaultParagraphFont"/>
    <w:link w:val="BodyTextIndent2"/>
    <w:uiPriority w:val="99"/>
    <w:rsid w:val="002A43EE"/>
    <w:rPr>
      <w:rFonts w:eastAsia="Calibri"/>
      <w:b/>
    </w:rPr>
  </w:style>
  <w:style w:type="character" w:customStyle="1" w:styleId="normalchar">
    <w:name w:val="normal__char"/>
    <w:basedOn w:val="DefaultParagraphFont"/>
    <w:rsid w:val="002A43EE"/>
  </w:style>
  <w:style w:type="paragraph" w:styleId="BodyText">
    <w:name w:val="Body Text"/>
    <w:basedOn w:val="Normal"/>
    <w:link w:val="BodyTextChar"/>
    <w:uiPriority w:val="99"/>
    <w:unhideWhenUsed/>
    <w:rsid w:val="002A43EE"/>
    <w:pPr>
      <w:tabs>
        <w:tab w:val="left" w:pos="1080"/>
      </w:tabs>
      <w:spacing w:after="0" w:line="360" w:lineRule="auto"/>
      <w:jc w:val="both"/>
    </w:pPr>
    <w:rPr>
      <w:rFonts w:ascii="Times New Roman" w:hAnsi="Times New Roman"/>
      <w:sz w:val="24"/>
      <w:szCs w:val="24"/>
      <w:lang w:val="sq-AL"/>
    </w:rPr>
  </w:style>
  <w:style w:type="character" w:customStyle="1" w:styleId="BodyTextChar">
    <w:name w:val="Body Text Char"/>
    <w:basedOn w:val="DefaultParagraphFont"/>
    <w:link w:val="BodyText"/>
    <w:uiPriority w:val="99"/>
    <w:rsid w:val="002A43EE"/>
    <w:rPr>
      <w:rFonts w:eastAsia="Calibri"/>
    </w:rPr>
  </w:style>
  <w:style w:type="paragraph" w:styleId="BalloonText">
    <w:name w:val="Balloon Text"/>
    <w:basedOn w:val="Normal"/>
    <w:link w:val="BalloonTextChar"/>
    <w:uiPriority w:val="99"/>
    <w:semiHidden/>
    <w:unhideWhenUsed/>
    <w:rsid w:val="0076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90"/>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21A4AEC-5FF3-451D-8E5F-EF966146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EMILJANO SHULLAZI (përjashtim gjyqtari)</vt:lpstr>
    </vt:vector>
  </TitlesOfParts>
  <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05.11.2021</dc:subject>
  <dc:description/>
  <cp:lastModifiedBy>Blerina</cp:lastModifiedBy>
  <cp:lastPrinted>2021-11-26T11:32:00Z</cp:lastPrinted>
  <dcterms:created xsi:type="dcterms:W3CDTF">2021-11-26T11:33:00Z</dcterms:created>
  <dcterms:modified xsi:type="dcterms:W3CDTF">2021-11-26T12:26:00Z</dcterms:modified>
</cp:coreProperties>
</file>