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46" w:rsidRPr="00563498" w:rsidRDefault="00BE5652" w:rsidP="00BE5652">
      <w:pPr>
        <w:tabs>
          <w:tab w:val="left" w:pos="851"/>
        </w:tabs>
        <w:spacing w:after="0" w:line="360" w:lineRule="auto"/>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                                               </w:t>
      </w:r>
      <w:r w:rsidR="00F00A76" w:rsidRPr="00563498">
        <w:rPr>
          <w:rFonts w:ascii="Times New Roman" w:eastAsia="Times New Roman" w:hAnsi="Times New Roman" w:cs="Times New Roman"/>
          <w:b/>
          <w:bCs/>
          <w:sz w:val="24"/>
          <w:szCs w:val="24"/>
          <w:lang w:val="sq-AL"/>
        </w:rPr>
        <w:t>V</w:t>
      </w:r>
      <w:r>
        <w:rPr>
          <w:rFonts w:ascii="Times New Roman" w:eastAsia="Times New Roman" w:hAnsi="Times New Roman" w:cs="Times New Roman"/>
          <w:b/>
          <w:bCs/>
          <w:sz w:val="24"/>
          <w:szCs w:val="24"/>
          <w:lang w:val="sq-AL"/>
        </w:rPr>
        <w:t>endim nr. 6 dat</w:t>
      </w:r>
      <w:r w:rsidRPr="00BE565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w:t>
      </w:r>
      <w:r w:rsidRPr="00BE5652">
        <w:rPr>
          <w:rFonts w:ascii="Times New Roman" w:eastAsia="Times New Roman" w:hAnsi="Times New Roman" w:cs="Times New Roman"/>
          <w:b/>
          <w:sz w:val="24"/>
          <w:szCs w:val="24"/>
          <w:lang w:val="sq-AL"/>
        </w:rPr>
        <w:t>14.01.2022</w:t>
      </w:r>
    </w:p>
    <w:p w:rsidR="00FD0846" w:rsidRPr="00563498" w:rsidRDefault="00FD0846" w:rsidP="00B802CF">
      <w:pPr>
        <w:tabs>
          <w:tab w:val="left" w:pos="851"/>
        </w:tabs>
        <w:spacing w:after="0" w:line="360" w:lineRule="auto"/>
        <w:ind w:firstLine="567"/>
        <w:jc w:val="both"/>
        <w:rPr>
          <w:rFonts w:ascii="Times New Roman" w:eastAsia="Times New Roman" w:hAnsi="Times New Roman" w:cs="Times New Roman"/>
          <w:b/>
          <w:bCs/>
          <w:sz w:val="24"/>
          <w:szCs w:val="24"/>
          <w:u w:val="single"/>
          <w:lang w:val="sq-AL"/>
        </w:rPr>
      </w:pPr>
    </w:p>
    <w:p w:rsidR="00FD0846" w:rsidRPr="00563498" w:rsidRDefault="00FD0846" w:rsidP="00B802CF">
      <w:pPr>
        <w:tabs>
          <w:tab w:val="left" w:pos="851"/>
        </w:tabs>
        <w:spacing w:after="0" w:line="360" w:lineRule="auto"/>
        <w:ind w:firstLine="567"/>
        <w:jc w:val="both"/>
        <w:rPr>
          <w:rFonts w:ascii="Times New Roman" w:eastAsia="Times New Roman" w:hAnsi="Times New Roman" w:cs="Times New Roman"/>
          <w:sz w:val="24"/>
          <w:szCs w:val="24"/>
          <w:lang w:val="sq-AL"/>
        </w:rPr>
      </w:pPr>
      <w:r w:rsidRPr="00563498">
        <w:rPr>
          <w:rFonts w:ascii="Times New Roman" w:eastAsia="Times New Roman" w:hAnsi="Times New Roman" w:cs="Times New Roman"/>
          <w:sz w:val="24"/>
          <w:szCs w:val="24"/>
          <w:lang w:val="sq-AL"/>
        </w:rPr>
        <w:t>Kolegji i Gjykatës Kushtetuese të Republikës së Shqipërisë</w:t>
      </w:r>
      <w:r w:rsidR="00FB7953" w:rsidRPr="00563498">
        <w:rPr>
          <w:rFonts w:ascii="Times New Roman" w:eastAsia="Times New Roman" w:hAnsi="Times New Roman" w:cs="Times New Roman"/>
          <w:sz w:val="24"/>
          <w:szCs w:val="24"/>
          <w:lang w:val="sq-AL"/>
        </w:rPr>
        <w:t>,</w:t>
      </w:r>
      <w:r w:rsidRPr="00563498">
        <w:rPr>
          <w:rFonts w:ascii="Times New Roman" w:eastAsia="Times New Roman" w:hAnsi="Times New Roman" w:cs="Times New Roman"/>
          <w:sz w:val="24"/>
          <w:szCs w:val="24"/>
          <w:lang w:val="sq-AL"/>
        </w:rPr>
        <w:t xml:space="preserve"> i përbërë nga:</w:t>
      </w:r>
    </w:p>
    <w:p w:rsidR="00FD0846" w:rsidRPr="00563498" w:rsidRDefault="00FD0846" w:rsidP="00B802CF">
      <w:pPr>
        <w:tabs>
          <w:tab w:val="left" w:pos="851"/>
        </w:tabs>
        <w:spacing w:after="0" w:line="360" w:lineRule="auto"/>
        <w:ind w:firstLine="567"/>
        <w:jc w:val="both"/>
        <w:rPr>
          <w:rFonts w:ascii="Times New Roman" w:eastAsia="Times New Roman" w:hAnsi="Times New Roman" w:cs="Times New Roman"/>
          <w:sz w:val="24"/>
          <w:szCs w:val="24"/>
          <w:lang w:val="sq-AL"/>
        </w:rPr>
      </w:pPr>
    </w:p>
    <w:p w:rsidR="005F79D5" w:rsidRPr="00563498" w:rsidRDefault="005F79D5" w:rsidP="00B802CF">
      <w:pPr>
        <w:tabs>
          <w:tab w:val="left" w:pos="851"/>
        </w:tabs>
        <w:spacing w:after="0" w:line="360" w:lineRule="auto"/>
        <w:ind w:firstLine="567"/>
        <w:jc w:val="both"/>
        <w:rPr>
          <w:rFonts w:ascii="Times New Roman" w:eastAsia="Times New Roman" w:hAnsi="Times New Roman" w:cs="Times New Roman"/>
          <w:sz w:val="24"/>
          <w:szCs w:val="24"/>
          <w:lang w:val="sq-AL"/>
        </w:rPr>
      </w:pP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t>Vitore Tusha,</w:t>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t xml:space="preserve">Kryetare </w:t>
      </w:r>
    </w:p>
    <w:p w:rsidR="005F79D5" w:rsidRPr="00563498" w:rsidRDefault="005F79D5" w:rsidP="00B802CF">
      <w:pPr>
        <w:tabs>
          <w:tab w:val="left" w:pos="851"/>
        </w:tabs>
        <w:spacing w:after="0" w:line="360" w:lineRule="auto"/>
        <w:ind w:firstLine="567"/>
        <w:jc w:val="both"/>
        <w:rPr>
          <w:rFonts w:ascii="Times New Roman" w:eastAsia="Times New Roman" w:hAnsi="Times New Roman" w:cs="Times New Roman"/>
          <w:sz w:val="24"/>
          <w:szCs w:val="24"/>
          <w:lang w:val="sq-AL"/>
        </w:rPr>
      </w:pP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r>
      <w:r w:rsidR="002A61F3" w:rsidRPr="00563498">
        <w:rPr>
          <w:rFonts w:ascii="Times New Roman" w:eastAsia="Times New Roman" w:hAnsi="Times New Roman" w:cs="Times New Roman"/>
          <w:sz w:val="24"/>
          <w:szCs w:val="24"/>
          <w:lang w:val="sq-AL"/>
        </w:rPr>
        <w:t>Altin Binaj</w:t>
      </w:r>
      <w:r w:rsidRPr="00563498">
        <w:rPr>
          <w:rFonts w:ascii="Times New Roman" w:eastAsia="Times New Roman" w:hAnsi="Times New Roman" w:cs="Times New Roman"/>
          <w:sz w:val="24"/>
          <w:szCs w:val="24"/>
          <w:lang w:val="sq-AL"/>
        </w:rPr>
        <w:t>,</w:t>
      </w:r>
      <w:r w:rsidRPr="00563498">
        <w:rPr>
          <w:rFonts w:ascii="Times New Roman" w:eastAsia="Times New Roman" w:hAnsi="Times New Roman" w:cs="Times New Roman"/>
          <w:sz w:val="24"/>
          <w:szCs w:val="24"/>
          <w:lang w:val="sq-AL"/>
        </w:rPr>
        <w:tab/>
      </w:r>
      <w:r w:rsidR="002A61F3" w:rsidRPr="00563498">
        <w:rPr>
          <w:rFonts w:ascii="Times New Roman" w:eastAsia="Times New Roman" w:hAnsi="Times New Roman" w:cs="Times New Roman"/>
          <w:sz w:val="24"/>
          <w:szCs w:val="24"/>
          <w:lang w:val="sq-AL"/>
        </w:rPr>
        <w:tab/>
        <w:t>Anëtar</w:t>
      </w:r>
      <w:r w:rsidRPr="00563498">
        <w:rPr>
          <w:rFonts w:ascii="Times New Roman" w:eastAsia="Times New Roman" w:hAnsi="Times New Roman" w:cs="Times New Roman"/>
          <w:sz w:val="24"/>
          <w:szCs w:val="24"/>
          <w:lang w:val="sq-AL"/>
        </w:rPr>
        <w:t xml:space="preserve">  </w:t>
      </w:r>
    </w:p>
    <w:p w:rsidR="005F79D5" w:rsidRPr="00563498" w:rsidRDefault="005F79D5" w:rsidP="00B802CF">
      <w:pPr>
        <w:tabs>
          <w:tab w:val="left" w:pos="851"/>
        </w:tabs>
        <w:spacing w:after="0" w:line="360" w:lineRule="auto"/>
        <w:ind w:firstLine="567"/>
        <w:jc w:val="both"/>
        <w:rPr>
          <w:rFonts w:ascii="Times New Roman" w:eastAsia="Times New Roman" w:hAnsi="Times New Roman" w:cs="Times New Roman"/>
          <w:sz w:val="24"/>
          <w:szCs w:val="24"/>
          <w:lang w:val="sq-AL"/>
        </w:rPr>
      </w:pP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t>Sonila Bejtja,</w:t>
      </w:r>
      <w:r w:rsidRPr="00563498">
        <w:rPr>
          <w:rFonts w:ascii="Times New Roman" w:eastAsia="Times New Roman" w:hAnsi="Times New Roman" w:cs="Times New Roman"/>
          <w:sz w:val="24"/>
          <w:szCs w:val="24"/>
          <w:lang w:val="sq-AL"/>
        </w:rPr>
        <w:tab/>
      </w:r>
      <w:r w:rsidRPr="00563498">
        <w:rPr>
          <w:rFonts w:ascii="Times New Roman" w:eastAsia="Times New Roman" w:hAnsi="Times New Roman" w:cs="Times New Roman"/>
          <w:sz w:val="24"/>
          <w:szCs w:val="24"/>
          <w:lang w:val="sq-AL"/>
        </w:rPr>
        <w:tab/>
        <w:t xml:space="preserve">Anëtare  </w:t>
      </w:r>
    </w:p>
    <w:p w:rsidR="00FB7953" w:rsidRPr="00563498" w:rsidRDefault="00FB7953" w:rsidP="00B802CF">
      <w:pPr>
        <w:tabs>
          <w:tab w:val="left" w:pos="851"/>
        </w:tabs>
        <w:spacing w:after="0" w:line="360" w:lineRule="auto"/>
        <w:ind w:firstLine="567"/>
        <w:jc w:val="both"/>
        <w:rPr>
          <w:rFonts w:ascii="Times New Roman" w:eastAsia="Times New Roman" w:hAnsi="Times New Roman" w:cs="Times New Roman"/>
          <w:sz w:val="24"/>
          <w:szCs w:val="24"/>
          <w:lang w:val="sq-AL"/>
        </w:rPr>
      </w:pPr>
    </w:p>
    <w:p w:rsidR="00FD0846" w:rsidRPr="00563498" w:rsidRDefault="00FD0846" w:rsidP="00B802CF">
      <w:pPr>
        <w:tabs>
          <w:tab w:val="left" w:pos="851"/>
        </w:tabs>
        <w:spacing w:after="0" w:line="360" w:lineRule="auto"/>
        <w:ind w:firstLine="567"/>
        <w:jc w:val="both"/>
        <w:rPr>
          <w:rFonts w:ascii="Times New Roman" w:eastAsia="Times New Roman" w:hAnsi="Times New Roman" w:cs="Times New Roman"/>
          <w:sz w:val="24"/>
          <w:szCs w:val="24"/>
          <w:lang w:val="sq-AL"/>
        </w:rPr>
      </w:pPr>
      <w:r w:rsidRPr="00563498">
        <w:rPr>
          <w:rFonts w:ascii="Times New Roman" w:eastAsia="Times New Roman" w:hAnsi="Times New Roman" w:cs="Times New Roman"/>
          <w:sz w:val="24"/>
          <w:szCs w:val="24"/>
          <w:lang w:val="sq-AL"/>
        </w:rPr>
        <w:t xml:space="preserve">në datën </w:t>
      </w:r>
      <w:r w:rsidR="001345EA" w:rsidRPr="00563498">
        <w:rPr>
          <w:rFonts w:ascii="Times New Roman" w:eastAsia="Times New Roman" w:hAnsi="Times New Roman" w:cs="Times New Roman"/>
          <w:sz w:val="24"/>
          <w:szCs w:val="24"/>
          <w:lang w:val="sq-AL"/>
        </w:rPr>
        <w:t>14</w:t>
      </w:r>
      <w:r w:rsidR="00E31985" w:rsidRPr="00563498">
        <w:rPr>
          <w:rFonts w:ascii="Times New Roman" w:eastAsia="Times New Roman" w:hAnsi="Times New Roman" w:cs="Times New Roman"/>
          <w:sz w:val="24"/>
          <w:szCs w:val="24"/>
          <w:lang w:val="sq-AL"/>
        </w:rPr>
        <w:t>.</w:t>
      </w:r>
      <w:r w:rsidR="001345EA" w:rsidRPr="00563498">
        <w:rPr>
          <w:rFonts w:ascii="Times New Roman" w:eastAsia="Times New Roman" w:hAnsi="Times New Roman" w:cs="Times New Roman"/>
          <w:sz w:val="24"/>
          <w:szCs w:val="24"/>
          <w:lang w:val="sq-AL"/>
        </w:rPr>
        <w:t>01</w:t>
      </w:r>
      <w:r w:rsidR="00E31985" w:rsidRPr="00563498">
        <w:rPr>
          <w:rFonts w:ascii="Times New Roman" w:eastAsia="Times New Roman" w:hAnsi="Times New Roman" w:cs="Times New Roman"/>
          <w:sz w:val="24"/>
          <w:szCs w:val="24"/>
          <w:lang w:val="sq-AL"/>
        </w:rPr>
        <w:t>.</w:t>
      </w:r>
      <w:r w:rsidR="00057724" w:rsidRPr="00563498">
        <w:rPr>
          <w:rFonts w:ascii="Times New Roman" w:eastAsia="Times New Roman" w:hAnsi="Times New Roman" w:cs="Times New Roman"/>
          <w:sz w:val="24"/>
          <w:szCs w:val="24"/>
          <w:lang w:val="sq-AL"/>
        </w:rPr>
        <w:t>2022</w:t>
      </w:r>
      <w:r w:rsidR="00E31985" w:rsidRPr="00563498">
        <w:rPr>
          <w:rFonts w:ascii="Times New Roman" w:eastAsia="Times New Roman" w:hAnsi="Times New Roman" w:cs="Times New Roman"/>
          <w:sz w:val="24"/>
          <w:szCs w:val="24"/>
          <w:lang w:val="sq-AL"/>
        </w:rPr>
        <w:t xml:space="preserve"> </w:t>
      </w:r>
      <w:r w:rsidRPr="00563498">
        <w:rPr>
          <w:rFonts w:ascii="Times New Roman" w:eastAsia="Times New Roman" w:hAnsi="Times New Roman" w:cs="Times New Roman"/>
          <w:sz w:val="24"/>
          <w:szCs w:val="24"/>
          <w:lang w:val="sq-AL"/>
        </w:rPr>
        <w:t>mori n</w:t>
      </w:r>
      <w:r w:rsidR="00BC3210" w:rsidRPr="00563498">
        <w:rPr>
          <w:rFonts w:ascii="Times New Roman" w:eastAsia="Times New Roman" w:hAnsi="Times New Roman" w:cs="Times New Roman"/>
          <w:sz w:val="24"/>
          <w:szCs w:val="24"/>
          <w:lang w:val="sq-AL"/>
        </w:rPr>
        <w:t xml:space="preserve">ë shqyrtim paraprak kërkesën </w:t>
      </w:r>
      <w:r w:rsidRPr="00563498">
        <w:rPr>
          <w:rFonts w:ascii="Times New Roman" w:eastAsia="Times New Roman" w:hAnsi="Times New Roman" w:cs="Times New Roman"/>
          <w:sz w:val="24"/>
          <w:szCs w:val="24"/>
          <w:lang w:val="sq-AL"/>
        </w:rPr>
        <w:t xml:space="preserve">nr. </w:t>
      </w:r>
      <w:r w:rsidR="00057724" w:rsidRPr="00563498">
        <w:rPr>
          <w:rFonts w:ascii="Times New Roman" w:eastAsia="Times New Roman" w:hAnsi="Times New Roman" w:cs="Times New Roman"/>
          <w:sz w:val="24"/>
          <w:szCs w:val="24"/>
          <w:lang w:val="sq-AL"/>
        </w:rPr>
        <w:t>3</w:t>
      </w:r>
      <w:r w:rsidR="00B1460F" w:rsidRPr="00563498">
        <w:rPr>
          <w:rFonts w:ascii="Times New Roman" w:eastAsia="Times New Roman" w:hAnsi="Times New Roman" w:cs="Times New Roman"/>
          <w:bCs/>
          <w:sz w:val="24"/>
          <w:szCs w:val="24"/>
          <w:lang w:val="sq-AL"/>
        </w:rPr>
        <w:t xml:space="preserve"> (</w:t>
      </w:r>
      <w:r w:rsidR="00057724" w:rsidRPr="00563498">
        <w:rPr>
          <w:rFonts w:ascii="Times New Roman" w:eastAsia="Times New Roman" w:hAnsi="Times New Roman" w:cs="Times New Roman"/>
          <w:bCs/>
          <w:sz w:val="24"/>
          <w:szCs w:val="24"/>
          <w:lang w:val="sq-AL"/>
        </w:rPr>
        <w:t>I</w:t>
      </w:r>
      <w:r w:rsidR="00E5033D" w:rsidRPr="00563498">
        <w:rPr>
          <w:rFonts w:ascii="Times New Roman" w:eastAsia="Times New Roman" w:hAnsi="Times New Roman" w:cs="Times New Roman"/>
          <w:bCs/>
          <w:sz w:val="24"/>
          <w:szCs w:val="24"/>
          <w:lang w:val="sq-AL"/>
        </w:rPr>
        <w:t xml:space="preserve">) 2021 </w:t>
      </w:r>
      <w:r w:rsidR="00605CED" w:rsidRPr="00563498">
        <w:rPr>
          <w:rFonts w:ascii="Times New Roman" w:eastAsia="Times New Roman" w:hAnsi="Times New Roman" w:cs="Times New Roman"/>
          <w:bCs/>
          <w:sz w:val="24"/>
          <w:szCs w:val="24"/>
          <w:lang w:val="sq-AL"/>
        </w:rPr>
        <w:t>të</w:t>
      </w:r>
      <w:r w:rsidR="00E5033D" w:rsidRPr="00563498">
        <w:rPr>
          <w:rFonts w:ascii="Times New Roman" w:eastAsia="Times New Roman" w:hAnsi="Times New Roman" w:cs="Times New Roman"/>
          <w:bCs/>
          <w:sz w:val="24"/>
          <w:szCs w:val="24"/>
          <w:lang w:val="sq-AL"/>
        </w:rPr>
        <w:t xml:space="preserve"> Regjistrit Themeltar</w:t>
      </w:r>
      <w:r w:rsidRPr="00563498">
        <w:rPr>
          <w:rFonts w:ascii="Times New Roman" w:eastAsia="Times New Roman" w:hAnsi="Times New Roman" w:cs="Times New Roman"/>
          <w:sz w:val="24"/>
          <w:szCs w:val="24"/>
          <w:lang w:val="sq-AL"/>
        </w:rPr>
        <w:t>, që i përket:</w:t>
      </w:r>
    </w:p>
    <w:p w:rsidR="00FD0846" w:rsidRPr="00563498" w:rsidRDefault="00FD0846" w:rsidP="00B802CF">
      <w:pPr>
        <w:tabs>
          <w:tab w:val="left" w:pos="851"/>
        </w:tabs>
        <w:spacing w:after="0" w:line="360" w:lineRule="auto"/>
        <w:ind w:left="2835" w:firstLine="567"/>
        <w:jc w:val="both"/>
        <w:rPr>
          <w:rFonts w:ascii="Times New Roman" w:eastAsia="Times New Roman" w:hAnsi="Times New Roman" w:cs="Times New Roman"/>
          <w:b/>
          <w:sz w:val="24"/>
          <w:szCs w:val="24"/>
          <w:lang w:val="sq-AL"/>
        </w:rPr>
      </w:pPr>
    </w:p>
    <w:p w:rsidR="00057724" w:rsidRPr="00563498" w:rsidRDefault="00B1460F" w:rsidP="00B802CF">
      <w:pPr>
        <w:spacing w:after="0" w:line="360" w:lineRule="auto"/>
        <w:ind w:left="2880" w:hanging="2160"/>
        <w:jc w:val="both"/>
        <w:rPr>
          <w:rFonts w:ascii="Times New Roman" w:eastAsia="Calibri" w:hAnsi="Times New Roman" w:cs="Times New Roman"/>
          <w:b/>
          <w:sz w:val="24"/>
          <w:szCs w:val="24"/>
          <w:lang w:val="sq-AL"/>
        </w:rPr>
      </w:pPr>
      <w:r w:rsidRPr="00563498">
        <w:rPr>
          <w:rFonts w:ascii="Times New Roman" w:hAnsi="Times New Roman" w:cs="Times New Roman"/>
          <w:b/>
          <w:sz w:val="24"/>
          <w:szCs w:val="24"/>
          <w:lang w:val="sq-AL"/>
        </w:rPr>
        <w:t>KËRKUES:</w:t>
      </w:r>
      <w:r w:rsidRPr="00563498">
        <w:rPr>
          <w:rFonts w:ascii="Times New Roman" w:hAnsi="Times New Roman" w:cs="Times New Roman"/>
          <w:b/>
          <w:sz w:val="24"/>
          <w:szCs w:val="24"/>
          <w:lang w:val="sq-AL"/>
        </w:rPr>
        <w:tab/>
      </w:r>
      <w:r w:rsidR="00057724" w:rsidRPr="00563498">
        <w:rPr>
          <w:rFonts w:ascii="Times New Roman" w:eastAsia="Calibri" w:hAnsi="Times New Roman" w:cs="Times New Roman"/>
          <w:b/>
          <w:sz w:val="24"/>
          <w:szCs w:val="24"/>
          <w:lang w:val="sq-AL"/>
        </w:rPr>
        <w:t>I</w:t>
      </w:r>
      <w:r w:rsidR="00C14EB3">
        <w:rPr>
          <w:rFonts w:ascii="Times New Roman" w:eastAsia="Calibri" w:hAnsi="Times New Roman" w:cs="Times New Roman"/>
          <w:b/>
          <w:sz w:val="24"/>
          <w:szCs w:val="24"/>
          <w:lang w:val="sq-AL"/>
        </w:rPr>
        <w:t>N</w:t>
      </w:r>
      <w:bookmarkStart w:id="0" w:name="_GoBack"/>
      <w:bookmarkEnd w:id="0"/>
      <w:r w:rsidR="00057724" w:rsidRPr="00563498">
        <w:rPr>
          <w:rFonts w:ascii="Times New Roman" w:eastAsia="Calibri" w:hAnsi="Times New Roman" w:cs="Times New Roman"/>
          <w:b/>
          <w:sz w:val="24"/>
          <w:szCs w:val="24"/>
          <w:lang w:val="sq-AL"/>
        </w:rPr>
        <w:t>STITUTI I SIGURIMEVE SHOQËRORE (ISSH)</w:t>
      </w:r>
    </w:p>
    <w:p w:rsidR="008E362C" w:rsidRPr="00563498" w:rsidRDefault="008E362C" w:rsidP="00B802CF">
      <w:pPr>
        <w:spacing w:after="0" w:line="360" w:lineRule="auto"/>
        <w:ind w:left="2880" w:hanging="2160"/>
        <w:jc w:val="both"/>
        <w:rPr>
          <w:rFonts w:ascii="Times New Roman" w:hAnsi="Times New Roman" w:cs="Times New Roman"/>
          <w:b/>
          <w:sz w:val="24"/>
          <w:szCs w:val="24"/>
          <w:lang w:val="sq-AL"/>
        </w:rPr>
      </w:pPr>
    </w:p>
    <w:p w:rsidR="00057724" w:rsidRPr="00563498" w:rsidRDefault="008E362C" w:rsidP="00B802CF">
      <w:pPr>
        <w:spacing w:after="0" w:line="360" w:lineRule="auto"/>
        <w:ind w:left="2880" w:hanging="2160"/>
        <w:jc w:val="both"/>
        <w:rPr>
          <w:rFonts w:ascii="Times New Roman" w:eastAsia="Calibri" w:hAnsi="Times New Roman" w:cs="Times New Roman"/>
          <w:b/>
          <w:sz w:val="24"/>
          <w:szCs w:val="24"/>
          <w:lang w:val="sq-AL"/>
        </w:rPr>
      </w:pPr>
      <w:r w:rsidRPr="00563498">
        <w:rPr>
          <w:rFonts w:ascii="Times New Roman" w:hAnsi="Times New Roman" w:cs="Times New Roman"/>
          <w:b/>
          <w:sz w:val="24"/>
          <w:szCs w:val="24"/>
          <w:lang w:val="sq-AL"/>
        </w:rPr>
        <w:t>OBJEKTI:</w:t>
      </w:r>
      <w:r w:rsidRPr="00563498">
        <w:rPr>
          <w:rFonts w:ascii="Times New Roman" w:hAnsi="Times New Roman" w:cs="Times New Roman"/>
          <w:b/>
          <w:sz w:val="24"/>
          <w:szCs w:val="24"/>
          <w:lang w:val="sq-AL"/>
        </w:rPr>
        <w:tab/>
      </w:r>
      <w:r w:rsidR="00312E58" w:rsidRPr="00563498">
        <w:rPr>
          <w:rFonts w:ascii="Times New Roman" w:eastAsia="Calibri" w:hAnsi="Times New Roman" w:cs="Times New Roman"/>
          <w:b/>
          <w:sz w:val="24"/>
          <w:szCs w:val="24"/>
          <w:lang w:val="sq-AL"/>
        </w:rPr>
        <w:t>Shfuqizimi</w:t>
      </w:r>
      <w:r w:rsidR="00057724" w:rsidRPr="00563498">
        <w:rPr>
          <w:rFonts w:ascii="Times New Roman" w:eastAsia="Calibri" w:hAnsi="Times New Roman" w:cs="Times New Roman"/>
          <w:b/>
          <w:sz w:val="24"/>
          <w:szCs w:val="24"/>
          <w:lang w:val="sq-AL"/>
        </w:rPr>
        <w:t xml:space="preserve"> </w:t>
      </w:r>
      <w:r w:rsidR="00312E58" w:rsidRPr="00563498">
        <w:rPr>
          <w:rFonts w:ascii="Times New Roman" w:eastAsia="Calibri" w:hAnsi="Times New Roman" w:cs="Times New Roman"/>
          <w:b/>
          <w:sz w:val="24"/>
          <w:szCs w:val="24"/>
          <w:lang w:val="sq-AL"/>
        </w:rPr>
        <w:t>i</w:t>
      </w:r>
      <w:r w:rsidR="00057724" w:rsidRPr="00563498">
        <w:rPr>
          <w:rFonts w:ascii="Times New Roman" w:eastAsia="Calibri" w:hAnsi="Times New Roman" w:cs="Times New Roman"/>
          <w:b/>
          <w:sz w:val="24"/>
          <w:szCs w:val="24"/>
          <w:lang w:val="sq-AL"/>
        </w:rPr>
        <w:t xml:space="preserve"> vendimeve </w:t>
      </w:r>
      <w:r w:rsidR="005B6041" w:rsidRPr="00563498">
        <w:rPr>
          <w:rFonts w:ascii="Times New Roman" w:eastAsia="Calibri" w:hAnsi="Times New Roman" w:cs="Times New Roman"/>
          <w:b/>
          <w:sz w:val="24"/>
          <w:szCs w:val="24"/>
          <w:lang w:val="sq-AL"/>
        </w:rPr>
        <w:t xml:space="preserve">nr. 10751, datë 09.11.2012 të Gjykatës së Rrethit Gjyqësor Tiranë; </w:t>
      </w:r>
      <w:r w:rsidR="007B39F9" w:rsidRPr="00563498">
        <w:rPr>
          <w:rFonts w:ascii="Times New Roman" w:eastAsia="Calibri" w:hAnsi="Times New Roman" w:cs="Times New Roman"/>
          <w:b/>
          <w:sz w:val="24"/>
          <w:szCs w:val="24"/>
          <w:lang w:val="sq-AL"/>
        </w:rPr>
        <w:t>nr. 2318, datë 05.06.2014 të Gjykatës Administrative të Apelit;</w:t>
      </w:r>
      <w:r w:rsidR="005B6041" w:rsidRPr="00563498">
        <w:rPr>
          <w:rFonts w:ascii="Times New Roman" w:eastAsia="Calibri" w:hAnsi="Times New Roman" w:cs="Times New Roman"/>
          <w:b/>
          <w:sz w:val="24"/>
          <w:szCs w:val="24"/>
          <w:lang w:val="sq-AL"/>
        </w:rPr>
        <w:t xml:space="preserve"> nr. </w:t>
      </w:r>
      <w:r w:rsidR="005B6041" w:rsidRPr="00563498">
        <w:rPr>
          <w:rFonts w:ascii="Times New Roman" w:hAnsi="Times New Roman" w:cs="Times New Roman"/>
          <w:b/>
          <w:bCs/>
          <w:sz w:val="24"/>
          <w:szCs w:val="24"/>
          <w:lang w:val="sq-AL"/>
        </w:rPr>
        <w:t>00-2021- 1317 (113), datë 22.07.2021 të Kolegjit Administrativ të Gjykatës së Lartë</w:t>
      </w:r>
      <w:r w:rsidR="007B39F9" w:rsidRPr="00563498">
        <w:rPr>
          <w:rFonts w:ascii="Times New Roman" w:eastAsia="Calibri" w:hAnsi="Times New Roman" w:cs="Times New Roman"/>
          <w:b/>
          <w:sz w:val="24"/>
          <w:szCs w:val="24"/>
          <w:lang w:val="sq-AL"/>
        </w:rPr>
        <w:t>,</w:t>
      </w:r>
      <w:r w:rsidR="00057724" w:rsidRPr="00563498">
        <w:rPr>
          <w:rFonts w:ascii="Times New Roman" w:hAnsi="Times New Roman" w:cs="Times New Roman"/>
          <w:b/>
          <w:bCs/>
          <w:sz w:val="24"/>
          <w:szCs w:val="24"/>
          <w:lang w:val="sq-AL"/>
        </w:rPr>
        <w:t xml:space="preserve"> </w:t>
      </w:r>
      <w:r w:rsidR="00312E58" w:rsidRPr="00563498">
        <w:rPr>
          <w:rFonts w:ascii="Times New Roman" w:eastAsia="Calibri" w:hAnsi="Times New Roman" w:cs="Times New Roman"/>
          <w:b/>
          <w:sz w:val="24"/>
          <w:szCs w:val="24"/>
          <w:lang w:val="sq-AL"/>
        </w:rPr>
        <w:t>si të papajtueshme</w:t>
      </w:r>
      <w:r w:rsidR="00057724" w:rsidRPr="00563498">
        <w:rPr>
          <w:rFonts w:ascii="Times New Roman" w:eastAsia="Calibri" w:hAnsi="Times New Roman" w:cs="Times New Roman"/>
          <w:b/>
          <w:sz w:val="24"/>
          <w:szCs w:val="24"/>
          <w:lang w:val="sq-AL"/>
        </w:rPr>
        <w:t xml:space="preserve"> me Kushtetutën e Republikës së Shqipërisë.</w:t>
      </w:r>
    </w:p>
    <w:p w:rsidR="008E362C" w:rsidRPr="00563498" w:rsidRDefault="008E362C" w:rsidP="00B802CF">
      <w:pPr>
        <w:spacing w:after="0" w:line="360" w:lineRule="auto"/>
        <w:ind w:left="2880" w:hanging="2160"/>
        <w:jc w:val="both"/>
        <w:rPr>
          <w:rFonts w:ascii="Times New Roman" w:hAnsi="Times New Roman" w:cs="Times New Roman"/>
          <w:b/>
          <w:sz w:val="24"/>
          <w:szCs w:val="24"/>
          <w:lang w:val="sq-AL"/>
        </w:rPr>
      </w:pPr>
    </w:p>
    <w:p w:rsidR="004B09FC" w:rsidRPr="00563498" w:rsidRDefault="008E362C" w:rsidP="00B802CF">
      <w:pPr>
        <w:spacing w:after="0" w:line="360" w:lineRule="auto"/>
        <w:ind w:left="2880" w:hanging="2160"/>
        <w:jc w:val="both"/>
        <w:rPr>
          <w:rFonts w:ascii="Times New Roman" w:eastAsia="Calibri" w:hAnsi="Times New Roman" w:cs="Times New Roman"/>
          <w:sz w:val="24"/>
          <w:szCs w:val="24"/>
          <w:lang w:val="sq-AL"/>
        </w:rPr>
      </w:pPr>
      <w:r w:rsidRPr="00563498">
        <w:rPr>
          <w:rFonts w:ascii="Times New Roman" w:hAnsi="Times New Roman" w:cs="Times New Roman"/>
          <w:b/>
          <w:sz w:val="24"/>
          <w:szCs w:val="24"/>
          <w:lang w:val="sq-AL"/>
        </w:rPr>
        <w:t>BAZA LIGJORE:</w:t>
      </w:r>
      <w:r w:rsidRPr="00563498">
        <w:rPr>
          <w:rFonts w:ascii="Times New Roman" w:hAnsi="Times New Roman" w:cs="Times New Roman"/>
          <w:b/>
          <w:sz w:val="24"/>
          <w:szCs w:val="24"/>
          <w:lang w:val="sq-AL"/>
        </w:rPr>
        <w:tab/>
      </w:r>
      <w:r w:rsidR="00057724" w:rsidRPr="00563498">
        <w:rPr>
          <w:rFonts w:ascii="Times New Roman" w:eastAsia="Calibri" w:hAnsi="Times New Roman" w:cs="Times New Roman"/>
          <w:sz w:val="24"/>
          <w:szCs w:val="24"/>
          <w:lang w:val="sq-AL"/>
        </w:rPr>
        <w:t>Nenet 33, pika 1, 42, pika 2, 131, 132 dhe 134 të Kushtetutës së R</w:t>
      </w:r>
      <w:r w:rsidR="00312E58" w:rsidRPr="00563498">
        <w:rPr>
          <w:rFonts w:ascii="Times New Roman" w:eastAsia="Calibri" w:hAnsi="Times New Roman" w:cs="Times New Roman"/>
          <w:sz w:val="24"/>
          <w:szCs w:val="24"/>
          <w:lang w:val="sq-AL"/>
        </w:rPr>
        <w:t>epublikës së Shqipërisë; neni 6</w:t>
      </w:r>
      <w:r w:rsidR="00057724" w:rsidRPr="00563498">
        <w:rPr>
          <w:rFonts w:ascii="Times New Roman" w:eastAsia="Calibri" w:hAnsi="Times New Roman" w:cs="Times New Roman"/>
          <w:sz w:val="24"/>
          <w:szCs w:val="24"/>
          <w:lang w:val="sq-AL"/>
        </w:rPr>
        <w:t xml:space="preserve"> i Konventës Evr</w:t>
      </w:r>
      <w:r w:rsidR="00534458" w:rsidRPr="00563498">
        <w:rPr>
          <w:rFonts w:ascii="Times New Roman" w:eastAsia="Calibri" w:hAnsi="Times New Roman" w:cs="Times New Roman"/>
          <w:sz w:val="24"/>
          <w:szCs w:val="24"/>
          <w:lang w:val="sq-AL"/>
        </w:rPr>
        <w:t>opiane për të Drejtat e Njeriut</w:t>
      </w:r>
      <w:r w:rsidR="00057724" w:rsidRPr="00563498">
        <w:rPr>
          <w:rFonts w:ascii="Times New Roman" w:eastAsia="Calibri" w:hAnsi="Times New Roman" w:cs="Times New Roman"/>
          <w:sz w:val="24"/>
          <w:szCs w:val="24"/>
          <w:lang w:val="sq-AL"/>
        </w:rPr>
        <w:t>; nenet 71, 71/a dhe 76 të ligjit nr. 8577, datë 10.02.2000 “Për organizimin dhe funksionimin e Gjykatës Kushtetuese të Republikës së Shqipërisë”, të ndryshuar (</w:t>
      </w:r>
      <w:r w:rsidR="00057724" w:rsidRPr="00563498">
        <w:rPr>
          <w:rFonts w:ascii="Times New Roman" w:eastAsia="Calibri" w:hAnsi="Times New Roman" w:cs="Times New Roman"/>
          <w:i/>
          <w:sz w:val="24"/>
          <w:szCs w:val="24"/>
          <w:lang w:val="sq-AL"/>
        </w:rPr>
        <w:t>ligji nr. 8577/2000</w:t>
      </w:r>
      <w:r w:rsidR="00057724" w:rsidRPr="00563498">
        <w:rPr>
          <w:rFonts w:ascii="Times New Roman" w:eastAsia="Calibri" w:hAnsi="Times New Roman" w:cs="Times New Roman"/>
          <w:sz w:val="24"/>
          <w:szCs w:val="24"/>
          <w:lang w:val="sq-AL"/>
        </w:rPr>
        <w:t>).</w:t>
      </w:r>
    </w:p>
    <w:p w:rsidR="00057724" w:rsidRPr="00563498" w:rsidRDefault="00057724" w:rsidP="00B802CF">
      <w:pPr>
        <w:spacing w:after="0" w:line="360" w:lineRule="auto"/>
        <w:ind w:left="2880" w:hanging="2160"/>
        <w:jc w:val="both"/>
        <w:rPr>
          <w:rFonts w:ascii="Times New Roman" w:eastAsia="Times New Roman" w:hAnsi="Times New Roman" w:cs="Times New Roman"/>
          <w:color w:val="FF0000"/>
          <w:sz w:val="24"/>
          <w:szCs w:val="24"/>
          <w:lang w:val="sq-AL"/>
        </w:rPr>
      </w:pPr>
    </w:p>
    <w:p w:rsidR="00DA2812" w:rsidRPr="00563498" w:rsidRDefault="000B0BC6" w:rsidP="00B802CF">
      <w:pPr>
        <w:tabs>
          <w:tab w:val="left" w:pos="851"/>
        </w:tabs>
        <w:suppressAutoHyphens/>
        <w:spacing w:after="0" w:line="360" w:lineRule="auto"/>
        <w:ind w:firstLine="567"/>
        <w:jc w:val="both"/>
        <w:outlineLvl w:val="0"/>
        <w:rPr>
          <w:rFonts w:ascii="Times New Roman" w:eastAsia="Times New Roman" w:hAnsi="Times New Roman" w:cs="Times New Roman"/>
          <w:sz w:val="24"/>
          <w:szCs w:val="24"/>
          <w:lang w:val="sq-AL" w:eastAsia="fr-FR"/>
        </w:rPr>
      </w:pPr>
      <w:r w:rsidRPr="00563498">
        <w:rPr>
          <w:rFonts w:ascii="Times New Roman" w:eastAsia="Times New Roman" w:hAnsi="Times New Roman" w:cs="Times New Roman"/>
          <w:sz w:val="24"/>
          <w:szCs w:val="24"/>
          <w:lang w:val="sq-AL" w:eastAsia="fr-FR"/>
        </w:rPr>
        <w:t xml:space="preserve">Kolegji i Gjykatës Kushtetuese </w:t>
      </w:r>
      <w:r w:rsidRPr="00563498">
        <w:rPr>
          <w:rFonts w:ascii="Times New Roman" w:eastAsia="Times New Roman" w:hAnsi="Times New Roman" w:cs="Times New Roman"/>
          <w:sz w:val="24"/>
          <w:szCs w:val="24"/>
          <w:lang w:val="sq-AL"/>
        </w:rPr>
        <w:t>(</w:t>
      </w:r>
      <w:r w:rsidRPr="00563498">
        <w:rPr>
          <w:rFonts w:ascii="Times New Roman" w:eastAsia="Times New Roman" w:hAnsi="Times New Roman" w:cs="Times New Roman"/>
          <w:i/>
          <w:sz w:val="24"/>
          <w:szCs w:val="24"/>
          <w:lang w:val="sq-AL"/>
        </w:rPr>
        <w:t>Kolegji</w:t>
      </w:r>
      <w:r w:rsidRPr="00563498">
        <w:rPr>
          <w:rFonts w:ascii="Times New Roman" w:eastAsia="Times New Roman" w:hAnsi="Times New Roman" w:cs="Times New Roman"/>
          <w:sz w:val="24"/>
          <w:szCs w:val="24"/>
          <w:lang w:val="sq-AL"/>
        </w:rPr>
        <w:t>)</w:t>
      </w:r>
      <w:r w:rsidRPr="00563498">
        <w:rPr>
          <w:rFonts w:ascii="Times New Roman" w:eastAsia="Times New Roman" w:hAnsi="Times New Roman" w:cs="Times New Roman"/>
          <w:sz w:val="24"/>
          <w:szCs w:val="24"/>
          <w:lang w:val="sq-AL" w:eastAsia="fr-FR"/>
        </w:rPr>
        <w:t xml:space="preserve">, </w:t>
      </w:r>
      <w:r w:rsidR="00D80DA9" w:rsidRPr="00563498">
        <w:rPr>
          <w:rFonts w:ascii="Times New Roman" w:eastAsia="Times New Roman" w:hAnsi="Times New Roman" w:cs="Times New Roman"/>
          <w:sz w:val="24"/>
          <w:szCs w:val="24"/>
          <w:lang w:val="sq-AL" w:eastAsia="fr-FR"/>
        </w:rPr>
        <w:t>pasi dëgjoi</w:t>
      </w:r>
      <w:r w:rsidR="009702D6" w:rsidRPr="00563498">
        <w:rPr>
          <w:rFonts w:ascii="Times New Roman" w:eastAsia="Times New Roman" w:hAnsi="Times New Roman" w:cs="Times New Roman"/>
          <w:sz w:val="24"/>
          <w:szCs w:val="24"/>
          <w:lang w:val="sq-AL" w:eastAsia="fr-FR"/>
        </w:rPr>
        <w:t xml:space="preserve"> relatoren e çështjes Sonila Bejtja, shqyrtoi kërkesën</w:t>
      </w:r>
      <w:r w:rsidRPr="00563498">
        <w:rPr>
          <w:rFonts w:ascii="Times New Roman" w:eastAsia="Times New Roman" w:hAnsi="Times New Roman" w:cs="Times New Roman"/>
          <w:sz w:val="24"/>
          <w:szCs w:val="24"/>
          <w:lang w:val="sq-AL" w:eastAsia="fr-FR"/>
        </w:rPr>
        <w:t>, dokumentet shoqëruese dhe diskutoi çështjen në tërësi,</w:t>
      </w:r>
    </w:p>
    <w:p w:rsidR="00605CED" w:rsidRPr="00563498" w:rsidRDefault="00605CED" w:rsidP="00B802CF">
      <w:pPr>
        <w:tabs>
          <w:tab w:val="left" w:pos="851"/>
        </w:tabs>
        <w:spacing w:after="0" w:line="360" w:lineRule="auto"/>
        <w:jc w:val="center"/>
        <w:rPr>
          <w:rFonts w:ascii="Times New Roman" w:eastAsia="Times New Roman" w:hAnsi="Times New Roman" w:cs="Times New Roman"/>
          <w:b/>
          <w:bCs/>
          <w:sz w:val="24"/>
          <w:szCs w:val="24"/>
          <w:lang w:val="sq-AL"/>
        </w:rPr>
      </w:pPr>
    </w:p>
    <w:p w:rsidR="000B0BC6" w:rsidRPr="00563498" w:rsidRDefault="00F00A76" w:rsidP="00B802CF">
      <w:pPr>
        <w:tabs>
          <w:tab w:val="left" w:pos="851"/>
        </w:tabs>
        <w:spacing w:after="0" w:line="360" w:lineRule="auto"/>
        <w:jc w:val="center"/>
        <w:rPr>
          <w:rFonts w:ascii="Times New Roman" w:eastAsia="Times New Roman" w:hAnsi="Times New Roman" w:cs="Times New Roman"/>
          <w:b/>
          <w:sz w:val="24"/>
          <w:szCs w:val="24"/>
          <w:lang w:val="sq-AL"/>
        </w:rPr>
      </w:pPr>
      <w:r w:rsidRPr="00563498">
        <w:rPr>
          <w:rFonts w:ascii="Times New Roman" w:eastAsia="Times New Roman" w:hAnsi="Times New Roman" w:cs="Times New Roman"/>
          <w:b/>
          <w:bCs/>
          <w:sz w:val="24"/>
          <w:szCs w:val="24"/>
          <w:lang w:val="sq-AL"/>
        </w:rPr>
        <w:t>V</w:t>
      </w:r>
      <w:r w:rsidR="000B0BC6" w:rsidRPr="00563498">
        <w:rPr>
          <w:rFonts w:ascii="Times New Roman" w:eastAsia="Times New Roman" w:hAnsi="Times New Roman" w:cs="Times New Roman"/>
          <w:b/>
          <w:bCs/>
          <w:sz w:val="24"/>
          <w:szCs w:val="24"/>
          <w:lang w:val="sq-AL"/>
        </w:rPr>
        <w:t>ËREN</w:t>
      </w:r>
      <w:r w:rsidR="004B09FC" w:rsidRPr="00563498">
        <w:rPr>
          <w:rFonts w:ascii="Times New Roman" w:eastAsia="Times New Roman" w:hAnsi="Times New Roman" w:cs="Times New Roman"/>
          <w:b/>
          <w:bCs/>
          <w:sz w:val="24"/>
          <w:szCs w:val="24"/>
          <w:lang w:val="sq-AL"/>
        </w:rPr>
        <w:t>:</w:t>
      </w:r>
    </w:p>
    <w:p w:rsidR="00EF1023" w:rsidRPr="00563498" w:rsidRDefault="000B0BC6" w:rsidP="00B802CF">
      <w:pPr>
        <w:tabs>
          <w:tab w:val="left" w:pos="851"/>
        </w:tabs>
        <w:spacing w:after="0" w:line="360" w:lineRule="auto"/>
        <w:jc w:val="center"/>
        <w:rPr>
          <w:rFonts w:ascii="Times New Roman" w:eastAsia="Times New Roman" w:hAnsi="Times New Roman" w:cs="Times New Roman"/>
          <w:b/>
          <w:sz w:val="24"/>
          <w:szCs w:val="24"/>
          <w:lang w:val="sq-AL"/>
        </w:rPr>
      </w:pPr>
      <w:r w:rsidRPr="00563498">
        <w:rPr>
          <w:rFonts w:ascii="Times New Roman" w:eastAsia="Times New Roman" w:hAnsi="Times New Roman" w:cs="Times New Roman"/>
          <w:b/>
          <w:sz w:val="24"/>
          <w:szCs w:val="24"/>
          <w:lang w:val="sq-AL"/>
        </w:rPr>
        <w:t>I</w:t>
      </w:r>
    </w:p>
    <w:p w:rsidR="002E5E5F" w:rsidRPr="00563498" w:rsidRDefault="002E5E5F" w:rsidP="00B802CF">
      <w:pPr>
        <w:tabs>
          <w:tab w:val="left" w:pos="851"/>
        </w:tabs>
        <w:spacing w:after="0" w:line="360" w:lineRule="auto"/>
        <w:jc w:val="center"/>
        <w:rPr>
          <w:rFonts w:ascii="Times New Roman" w:eastAsia="Times New Roman" w:hAnsi="Times New Roman" w:cs="Times New Roman"/>
          <w:sz w:val="24"/>
          <w:szCs w:val="24"/>
          <w:lang w:val="sq-AL"/>
        </w:rPr>
      </w:pPr>
      <w:r w:rsidRPr="00563498">
        <w:rPr>
          <w:rFonts w:ascii="Times New Roman" w:eastAsia="Times New Roman" w:hAnsi="Times New Roman" w:cs="Times New Roman"/>
          <w:b/>
          <w:sz w:val="24"/>
          <w:szCs w:val="24"/>
          <w:lang w:val="sq-AL"/>
        </w:rPr>
        <w:t>Rrethanat e ç</w:t>
      </w:r>
      <w:r w:rsidR="009A687E" w:rsidRPr="00563498">
        <w:rPr>
          <w:rFonts w:ascii="Times New Roman" w:eastAsia="Times New Roman" w:hAnsi="Times New Roman" w:cs="Times New Roman"/>
          <w:b/>
          <w:sz w:val="24"/>
          <w:szCs w:val="24"/>
          <w:lang w:val="sq-AL"/>
        </w:rPr>
        <w:t>ë</w:t>
      </w:r>
      <w:r w:rsidRPr="00563498">
        <w:rPr>
          <w:rFonts w:ascii="Times New Roman" w:eastAsia="Times New Roman" w:hAnsi="Times New Roman" w:cs="Times New Roman"/>
          <w:b/>
          <w:sz w:val="24"/>
          <w:szCs w:val="24"/>
          <w:lang w:val="sq-AL"/>
        </w:rPr>
        <w:t>shtjes</w:t>
      </w:r>
    </w:p>
    <w:p w:rsidR="00057724" w:rsidRPr="00563498" w:rsidRDefault="00312E58" w:rsidP="00B802CF">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563498">
        <w:rPr>
          <w:rFonts w:ascii="Times New Roman" w:eastAsia="Calibri" w:hAnsi="Times New Roman" w:cs="Times New Roman"/>
          <w:bCs/>
          <w:sz w:val="24"/>
          <w:szCs w:val="24"/>
          <w:lang w:val="sq-AL"/>
        </w:rPr>
        <w:lastRenderedPageBreak/>
        <w:t>Kërkuesi</w:t>
      </w:r>
      <w:r w:rsidR="00057724" w:rsidRPr="00563498">
        <w:rPr>
          <w:rFonts w:ascii="Times New Roman" w:eastAsia="Calibri" w:hAnsi="Times New Roman" w:cs="Times New Roman"/>
          <w:bCs/>
          <w:sz w:val="24"/>
          <w:szCs w:val="24"/>
          <w:lang w:val="sq-AL"/>
        </w:rPr>
        <w:t xml:space="preserve"> ka qenë palë e paditur në procesin gjyqësor me objekt a</w:t>
      </w:r>
      <w:r w:rsidR="00057724" w:rsidRPr="00563498">
        <w:rPr>
          <w:rFonts w:ascii="Times New Roman" w:hAnsi="Times New Roman" w:cs="Times New Roman"/>
          <w:sz w:val="24"/>
          <w:szCs w:val="24"/>
          <w:lang w:val="sq-AL"/>
        </w:rPr>
        <w:t>nulimin e vendimeve nr. 173, datë 01.11.2010 të Komisionit Mjekësor të Caktimit të Aftësisë për Punë</w:t>
      </w:r>
      <w:r w:rsidRPr="00563498">
        <w:rPr>
          <w:rFonts w:ascii="Times New Roman" w:hAnsi="Times New Roman" w:cs="Times New Roman"/>
          <w:sz w:val="24"/>
          <w:szCs w:val="24"/>
          <w:lang w:val="sq-AL"/>
        </w:rPr>
        <w:t xml:space="preserve"> (</w:t>
      </w:r>
      <w:r w:rsidRPr="00563498">
        <w:rPr>
          <w:rFonts w:ascii="Times New Roman" w:hAnsi="Times New Roman" w:cs="Times New Roman"/>
          <w:i/>
          <w:sz w:val="24"/>
          <w:szCs w:val="24"/>
          <w:lang w:val="sq-AL"/>
        </w:rPr>
        <w:t>KMCAP</w:t>
      </w:r>
      <w:r w:rsidRPr="00563498">
        <w:rPr>
          <w:rFonts w:ascii="Times New Roman" w:hAnsi="Times New Roman" w:cs="Times New Roman"/>
          <w:sz w:val="24"/>
          <w:szCs w:val="24"/>
          <w:lang w:val="sq-AL"/>
        </w:rPr>
        <w:t xml:space="preserve">) </w:t>
      </w:r>
      <w:r w:rsidR="00057724" w:rsidRPr="00563498">
        <w:rPr>
          <w:rFonts w:ascii="Times New Roman" w:hAnsi="Times New Roman" w:cs="Times New Roman"/>
          <w:sz w:val="24"/>
          <w:szCs w:val="24"/>
          <w:lang w:val="sq-AL"/>
        </w:rPr>
        <w:t xml:space="preserve"> pranë Drejtorisë Ra</w:t>
      </w:r>
      <w:r w:rsidR="004F6B28" w:rsidRPr="00563498">
        <w:rPr>
          <w:rFonts w:ascii="Times New Roman" w:hAnsi="Times New Roman" w:cs="Times New Roman"/>
          <w:sz w:val="24"/>
          <w:szCs w:val="24"/>
          <w:lang w:val="sq-AL"/>
        </w:rPr>
        <w:t xml:space="preserve">jonale të Sigurimeve Shoqërore, </w:t>
      </w:r>
      <w:r w:rsidR="00057724" w:rsidRPr="00563498">
        <w:rPr>
          <w:rFonts w:ascii="Times New Roman" w:hAnsi="Times New Roman" w:cs="Times New Roman"/>
          <w:sz w:val="24"/>
          <w:szCs w:val="24"/>
          <w:lang w:val="sq-AL"/>
        </w:rPr>
        <w:t>Tiranë</w:t>
      </w:r>
      <w:r w:rsidRPr="00563498">
        <w:rPr>
          <w:rFonts w:ascii="Times New Roman" w:hAnsi="Times New Roman" w:cs="Times New Roman"/>
          <w:sz w:val="24"/>
          <w:szCs w:val="24"/>
          <w:lang w:val="sq-AL"/>
        </w:rPr>
        <w:t xml:space="preserve"> (</w:t>
      </w:r>
      <w:r w:rsidRPr="00563498">
        <w:rPr>
          <w:rFonts w:ascii="Times New Roman" w:hAnsi="Times New Roman" w:cs="Times New Roman"/>
          <w:i/>
          <w:sz w:val="24"/>
          <w:szCs w:val="24"/>
          <w:lang w:val="sq-AL"/>
        </w:rPr>
        <w:t>DRSSHT</w:t>
      </w:r>
      <w:r w:rsidRPr="00563498">
        <w:rPr>
          <w:rFonts w:ascii="Times New Roman" w:hAnsi="Times New Roman" w:cs="Times New Roman"/>
          <w:sz w:val="24"/>
          <w:szCs w:val="24"/>
          <w:lang w:val="sq-AL"/>
        </w:rPr>
        <w:t>)</w:t>
      </w:r>
      <w:r w:rsidR="00057724" w:rsidRPr="00563498">
        <w:rPr>
          <w:rFonts w:ascii="Times New Roman" w:hAnsi="Times New Roman" w:cs="Times New Roman"/>
          <w:sz w:val="24"/>
          <w:szCs w:val="24"/>
          <w:lang w:val="sq-AL"/>
        </w:rPr>
        <w:t xml:space="preserve"> dhe nr. 44, datë 21.12.2010 të KMCAP-së Epror pranë Institutit të Sigurimeve Shoqërore, duke përcaktuar statusin mjekësor si “invalid i grupit të dytë”, si dhe detyrimin e </w:t>
      </w:r>
      <w:r w:rsidRPr="00563498">
        <w:rPr>
          <w:rFonts w:ascii="Times New Roman" w:hAnsi="Times New Roman" w:cs="Times New Roman"/>
          <w:sz w:val="24"/>
          <w:szCs w:val="24"/>
          <w:lang w:val="sq-AL"/>
        </w:rPr>
        <w:t>DRSSHT-së</w:t>
      </w:r>
      <w:r w:rsidR="00057724" w:rsidRPr="00563498">
        <w:rPr>
          <w:rFonts w:ascii="Times New Roman" w:hAnsi="Times New Roman" w:cs="Times New Roman"/>
          <w:sz w:val="24"/>
          <w:szCs w:val="24"/>
          <w:lang w:val="sq-AL"/>
        </w:rPr>
        <w:t xml:space="preserve">, t’i paguajë paditëses M.Sh. pensionin e invaliditetit </w:t>
      </w:r>
      <w:r w:rsidRPr="00563498">
        <w:rPr>
          <w:rFonts w:ascii="Times New Roman" w:hAnsi="Times New Roman" w:cs="Times New Roman"/>
          <w:sz w:val="24"/>
          <w:szCs w:val="24"/>
          <w:lang w:val="sq-AL"/>
        </w:rPr>
        <w:t>për peri</w:t>
      </w:r>
      <w:r w:rsidR="006D6CD0" w:rsidRPr="00563498">
        <w:rPr>
          <w:rFonts w:ascii="Times New Roman" w:hAnsi="Times New Roman" w:cs="Times New Roman"/>
          <w:sz w:val="24"/>
          <w:szCs w:val="24"/>
          <w:lang w:val="sq-AL"/>
        </w:rPr>
        <w:t>u</w:t>
      </w:r>
      <w:r w:rsidRPr="00563498">
        <w:rPr>
          <w:rFonts w:ascii="Times New Roman" w:hAnsi="Times New Roman" w:cs="Times New Roman"/>
          <w:sz w:val="24"/>
          <w:szCs w:val="24"/>
          <w:lang w:val="sq-AL"/>
        </w:rPr>
        <w:t>dhën</w:t>
      </w:r>
      <w:r w:rsidR="00057724" w:rsidRPr="00563498">
        <w:rPr>
          <w:rFonts w:ascii="Times New Roman" w:hAnsi="Times New Roman" w:cs="Times New Roman"/>
          <w:sz w:val="24"/>
          <w:szCs w:val="24"/>
          <w:lang w:val="sq-AL"/>
        </w:rPr>
        <w:t xml:space="preserve"> </w:t>
      </w:r>
      <w:r w:rsidR="00996A3D" w:rsidRPr="00563498">
        <w:rPr>
          <w:rFonts w:ascii="Times New Roman" w:hAnsi="Times New Roman" w:cs="Times New Roman"/>
          <w:sz w:val="24"/>
          <w:szCs w:val="24"/>
          <w:lang w:val="sq-AL"/>
        </w:rPr>
        <w:t xml:space="preserve">nga data </w:t>
      </w:r>
      <w:r w:rsidR="00A942E5" w:rsidRPr="00563498">
        <w:rPr>
          <w:rFonts w:ascii="Times New Roman" w:hAnsi="Times New Roman" w:cs="Times New Roman"/>
          <w:sz w:val="24"/>
          <w:szCs w:val="24"/>
          <w:lang w:val="sq-AL"/>
        </w:rPr>
        <w:t>01.11.2010 deri në</w:t>
      </w:r>
      <w:r w:rsidR="00057724" w:rsidRPr="00563498">
        <w:rPr>
          <w:rFonts w:ascii="Times New Roman" w:hAnsi="Times New Roman" w:cs="Times New Roman"/>
          <w:sz w:val="24"/>
          <w:szCs w:val="24"/>
          <w:lang w:val="sq-AL"/>
        </w:rPr>
        <w:t xml:space="preserve"> datë</w:t>
      </w:r>
      <w:r w:rsidR="00A942E5" w:rsidRPr="00563498">
        <w:rPr>
          <w:rFonts w:ascii="Times New Roman" w:hAnsi="Times New Roman" w:cs="Times New Roman"/>
          <w:sz w:val="24"/>
          <w:szCs w:val="24"/>
          <w:lang w:val="sq-AL"/>
        </w:rPr>
        <w:t>n</w:t>
      </w:r>
      <w:r w:rsidR="00057724" w:rsidRPr="00563498">
        <w:rPr>
          <w:rFonts w:ascii="Times New Roman" w:hAnsi="Times New Roman" w:cs="Times New Roman"/>
          <w:sz w:val="24"/>
          <w:szCs w:val="24"/>
          <w:lang w:val="sq-AL"/>
        </w:rPr>
        <w:t xml:space="preserve"> 01.11.2011.</w:t>
      </w:r>
    </w:p>
    <w:p w:rsidR="00057724" w:rsidRPr="00563498" w:rsidRDefault="00057724" w:rsidP="00B802CF">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563498">
        <w:rPr>
          <w:rFonts w:ascii="Times New Roman" w:hAnsi="Times New Roman" w:cs="Times New Roman"/>
          <w:sz w:val="24"/>
          <w:szCs w:val="24"/>
          <w:lang w:val="sq-AL"/>
        </w:rPr>
        <w:t>Paditësja M.Sh. është diagnostikuar dhe trajtuar në v</w:t>
      </w:r>
      <w:r w:rsidR="00A1477F" w:rsidRPr="00563498">
        <w:rPr>
          <w:rFonts w:ascii="Times New Roman" w:hAnsi="Times New Roman" w:cs="Times New Roman"/>
          <w:sz w:val="24"/>
          <w:szCs w:val="24"/>
          <w:lang w:val="sq-AL"/>
        </w:rPr>
        <w:t>azhdimësi nga e njëjta sëmundje</w:t>
      </w:r>
      <w:r w:rsidRPr="00563498">
        <w:rPr>
          <w:rFonts w:ascii="Times New Roman" w:hAnsi="Times New Roman" w:cs="Times New Roman"/>
          <w:sz w:val="24"/>
          <w:szCs w:val="24"/>
          <w:lang w:val="sq-AL"/>
        </w:rPr>
        <w:t xml:space="preserve"> dhe për këtë arsye i është drejtuar ISSH-së për t’u trajtuar me pension invaliditeti</w:t>
      </w:r>
      <w:r w:rsidRPr="00563498">
        <w:rPr>
          <w:rFonts w:ascii="Times New Roman" w:eastAsia="Calibri" w:hAnsi="Times New Roman" w:cs="Times New Roman"/>
          <w:bCs/>
          <w:sz w:val="24"/>
          <w:szCs w:val="24"/>
          <w:lang w:val="sq-AL"/>
        </w:rPr>
        <w:t xml:space="preserve">. </w:t>
      </w:r>
      <w:r w:rsidRPr="00563498">
        <w:rPr>
          <w:rFonts w:ascii="Times New Roman" w:hAnsi="Times New Roman" w:cs="Times New Roman"/>
          <w:sz w:val="24"/>
          <w:szCs w:val="24"/>
          <w:lang w:val="sq-AL"/>
        </w:rPr>
        <w:t>Me vendimin nr.</w:t>
      </w:r>
      <w:r w:rsidR="00A1477F" w:rsidRPr="00563498">
        <w:rPr>
          <w:rFonts w:ascii="Times New Roman" w:hAnsi="Times New Roman" w:cs="Times New Roman"/>
          <w:sz w:val="24"/>
          <w:szCs w:val="24"/>
          <w:lang w:val="sq-AL"/>
        </w:rPr>
        <w:t xml:space="preserve"> 173, datë 01.11.2010, KMCAP-ja</w:t>
      </w:r>
      <w:r w:rsidRPr="00563498">
        <w:rPr>
          <w:rFonts w:ascii="Times New Roman" w:hAnsi="Times New Roman" w:cs="Times New Roman"/>
          <w:sz w:val="24"/>
          <w:szCs w:val="24"/>
          <w:lang w:val="sq-AL"/>
        </w:rPr>
        <w:t xml:space="preserve"> pranë DRSSHT-së e ka përcaktuar atë si të paaftë për punët e lehta. Duke mos qenë dakord me këtë vendimmarrje të KMCAP-së, paditësja ka bërë ankim administrativ.</w:t>
      </w:r>
    </w:p>
    <w:p w:rsidR="00057724" w:rsidRPr="00563498" w:rsidRDefault="00057724" w:rsidP="00B802CF">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563498">
        <w:rPr>
          <w:rFonts w:ascii="Times New Roman" w:hAnsi="Times New Roman" w:cs="Times New Roman"/>
          <w:sz w:val="24"/>
          <w:szCs w:val="24"/>
          <w:lang w:val="sq-AL"/>
        </w:rPr>
        <w:t>KMCAP-ja Epror pranë ISSH-së, m</w:t>
      </w:r>
      <w:r w:rsidR="00A1477F" w:rsidRPr="00563498">
        <w:rPr>
          <w:rFonts w:ascii="Times New Roman" w:hAnsi="Times New Roman" w:cs="Times New Roman"/>
          <w:sz w:val="24"/>
          <w:szCs w:val="24"/>
          <w:lang w:val="sq-AL"/>
        </w:rPr>
        <w:t>e v</w:t>
      </w:r>
      <w:r w:rsidRPr="00563498">
        <w:rPr>
          <w:rFonts w:ascii="Times New Roman" w:hAnsi="Times New Roman" w:cs="Times New Roman"/>
          <w:sz w:val="24"/>
          <w:szCs w:val="24"/>
          <w:lang w:val="sq-AL"/>
        </w:rPr>
        <w:t>endimin nr. 44, datë 21.12.2010, nuk e ka pranuar ankimin. Në këto kushte, paditësja M.Sh., duke mos qenë dakord me përcaktimin nga këto organe të shkallës së paaftësisë së saj për punë, që ndikonte në shumën e përfitimit të pensionit të invaliditetit, i është drejtuar Gjyk</w:t>
      </w:r>
      <w:r w:rsidR="00A1477F" w:rsidRPr="00563498">
        <w:rPr>
          <w:rFonts w:ascii="Times New Roman" w:hAnsi="Times New Roman" w:cs="Times New Roman"/>
          <w:sz w:val="24"/>
          <w:szCs w:val="24"/>
          <w:lang w:val="sq-AL"/>
        </w:rPr>
        <w:t>atës së Rrethit Gjyqësor Tiranë</w:t>
      </w:r>
      <w:r w:rsidRPr="00563498">
        <w:rPr>
          <w:rFonts w:ascii="Times New Roman" w:hAnsi="Times New Roman" w:cs="Times New Roman"/>
          <w:sz w:val="24"/>
          <w:szCs w:val="24"/>
          <w:lang w:val="sq-AL"/>
        </w:rPr>
        <w:t xml:space="preserve"> me kërkesëpadi me objekt anulimin e dy vendimeve të mësipërme dhe përcaktimin e saj si invalide e grupit të dytë. </w:t>
      </w:r>
    </w:p>
    <w:p w:rsidR="00057724" w:rsidRPr="00563498" w:rsidRDefault="00057724" w:rsidP="00B802CF">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563498">
        <w:rPr>
          <w:rFonts w:ascii="Times New Roman" w:hAnsi="Times New Roman" w:cs="Times New Roman"/>
          <w:sz w:val="24"/>
          <w:szCs w:val="24"/>
          <w:lang w:val="sq-AL"/>
        </w:rPr>
        <w:t xml:space="preserve">Gjykata e Rrethit Gjyqësor Tiranë, me vendimin nr. 10751, datë 09.11.2012, ka vendosur pranimin e kërkesëpadisë dhe detyrimin e DRSSHT-së për t’i paguar paditëses pensionin e invaliditetit si person i paaftë për punë për periudhën 01.11.2010 - 01.11.2011. </w:t>
      </w:r>
    </w:p>
    <w:p w:rsidR="00057724" w:rsidRPr="00563498" w:rsidRDefault="00057724" w:rsidP="00B802CF">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563498">
        <w:rPr>
          <w:rFonts w:ascii="Times New Roman" w:hAnsi="Times New Roman" w:cs="Times New Roman"/>
          <w:sz w:val="24"/>
          <w:szCs w:val="24"/>
          <w:lang w:val="sq-AL"/>
        </w:rPr>
        <w:t>Gjykata Administrative e Apelit, së cilës i janë përcjellë aktet për kompetencë lëndore nga Gjykata e Apelit Tiranë, me vendimin nr. 687, datë 04.03.2014, e ka shqyrtuar çështjen në shkallë të dytë, mbi bazën e ankimit të DRSSHT-së dhe</w:t>
      </w:r>
      <w:r w:rsidR="00A1477F" w:rsidRPr="00563498">
        <w:rPr>
          <w:rFonts w:ascii="Times New Roman" w:hAnsi="Times New Roman" w:cs="Times New Roman"/>
          <w:sz w:val="24"/>
          <w:szCs w:val="24"/>
          <w:lang w:val="sq-AL"/>
        </w:rPr>
        <w:t>,</w:t>
      </w:r>
      <w:r w:rsidRPr="00563498">
        <w:rPr>
          <w:rFonts w:ascii="Times New Roman" w:hAnsi="Times New Roman" w:cs="Times New Roman"/>
          <w:sz w:val="24"/>
          <w:szCs w:val="24"/>
          <w:lang w:val="sq-AL"/>
        </w:rPr>
        <w:t xml:space="preserve"> me vendimin nr. 2318, datë 05.06.2014, ka vendosur lënien në fuqi të vendimit gjyqësor të gjykatës së shkallës së parë.</w:t>
      </w:r>
      <w:r w:rsidRPr="00563498">
        <w:rPr>
          <w:rFonts w:ascii="Times New Roman" w:hAnsi="Times New Roman" w:cs="Times New Roman"/>
          <w:i/>
          <w:sz w:val="24"/>
          <w:szCs w:val="24"/>
          <w:lang w:val="sq-AL"/>
        </w:rPr>
        <w:t xml:space="preserve"> </w:t>
      </w:r>
      <w:r w:rsidRPr="00563498">
        <w:rPr>
          <w:rFonts w:ascii="Times New Roman" w:hAnsi="Times New Roman" w:cs="Times New Roman"/>
          <w:sz w:val="24"/>
          <w:szCs w:val="24"/>
          <w:lang w:val="sq-AL"/>
        </w:rPr>
        <w:t>Kundër këtij vendimi ka bërë rekurs ISSH-ja.</w:t>
      </w:r>
    </w:p>
    <w:p w:rsidR="00057724" w:rsidRPr="00563498" w:rsidRDefault="00057724" w:rsidP="00B802CF">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563498">
        <w:rPr>
          <w:rFonts w:ascii="Times New Roman" w:hAnsi="Times New Roman" w:cs="Times New Roman"/>
          <w:sz w:val="24"/>
          <w:szCs w:val="24"/>
          <w:lang w:val="sq-AL"/>
        </w:rPr>
        <w:t>Kolegji Administrativ i Gjykatës së Lartë, me vendimin e datës 12.10.2020, ka pezulluar gjykimin dhe e ka sjellë çështjen në Gjykatën Kushtetuese (</w:t>
      </w:r>
      <w:r w:rsidRPr="00563498">
        <w:rPr>
          <w:rFonts w:ascii="Times New Roman" w:hAnsi="Times New Roman" w:cs="Times New Roman"/>
          <w:i/>
          <w:sz w:val="24"/>
          <w:szCs w:val="24"/>
          <w:lang w:val="sq-AL"/>
        </w:rPr>
        <w:t>Gjykata</w:t>
      </w:r>
      <w:r w:rsidRPr="00563498">
        <w:rPr>
          <w:rFonts w:ascii="Times New Roman" w:hAnsi="Times New Roman" w:cs="Times New Roman"/>
          <w:sz w:val="24"/>
          <w:szCs w:val="24"/>
          <w:lang w:val="sq-AL"/>
        </w:rPr>
        <w:t>) për kontrollin e kushtetutshmërisë së pikës 3 të nenit 39/1 të ligjit nr. 7703, datë 03.06.1993 “Për sigurimet shoqëror</w:t>
      </w:r>
      <w:r w:rsidR="00A1477F" w:rsidRPr="00563498">
        <w:rPr>
          <w:rFonts w:ascii="Times New Roman" w:hAnsi="Times New Roman" w:cs="Times New Roman"/>
          <w:sz w:val="24"/>
          <w:szCs w:val="24"/>
          <w:lang w:val="sq-AL"/>
        </w:rPr>
        <w:t>e në Republikën e Shqipërisë”, të</w:t>
      </w:r>
      <w:r w:rsidRPr="00563498">
        <w:rPr>
          <w:rFonts w:ascii="Times New Roman" w:hAnsi="Times New Roman" w:cs="Times New Roman"/>
          <w:sz w:val="24"/>
          <w:szCs w:val="24"/>
          <w:lang w:val="sq-AL"/>
        </w:rPr>
        <w:t xml:space="preserve"> ndryshuar. </w:t>
      </w:r>
      <w:r w:rsidRPr="00563498">
        <w:rPr>
          <w:rFonts w:ascii="Times New Roman" w:eastAsia="MS Mincho" w:hAnsi="Times New Roman" w:cs="Times New Roman"/>
          <w:sz w:val="24"/>
          <w:szCs w:val="24"/>
          <w:lang w:val="sq-AL"/>
        </w:rPr>
        <w:t>Mbledhja e Gjyqtarëve të Gjykatës Kushtetuese, me vendimin nr. 55, datë 31.03.2021, ka vendosur moskalimin e ç</w:t>
      </w:r>
      <w:r w:rsidRPr="00563498">
        <w:rPr>
          <w:rFonts w:ascii="Times New Roman" w:eastAsia="MS Mincho" w:hAnsi="Times New Roman" w:cs="Times New Roman"/>
          <w:sz w:val="24"/>
          <w:szCs w:val="24"/>
          <w:lang w:val="sq-AL" w:eastAsia="ja-JP"/>
        </w:rPr>
        <w:t>ështjes</w:t>
      </w:r>
      <w:r w:rsidR="00A1477F" w:rsidRPr="00563498">
        <w:rPr>
          <w:rFonts w:ascii="Times New Roman" w:eastAsia="MS Mincho" w:hAnsi="Times New Roman" w:cs="Times New Roman"/>
          <w:sz w:val="24"/>
          <w:szCs w:val="24"/>
          <w:lang w:val="sq-AL" w:eastAsia="ja-JP"/>
        </w:rPr>
        <w:t xml:space="preserve"> për shqyrtim</w:t>
      </w:r>
      <w:r w:rsidRPr="00563498">
        <w:rPr>
          <w:rFonts w:ascii="Times New Roman" w:eastAsia="MS Mincho" w:hAnsi="Times New Roman" w:cs="Times New Roman"/>
          <w:sz w:val="24"/>
          <w:szCs w:val="24"/>
          <w:lang w:val="sq-AL" w:eastAsia="ja-JP"/>
        </w:rPr>
        <w:t xml:space="preserve"> në seancë plenare.</w:t>
      </w:r>
    </w:p>
    <w:p w:rsidR="00057724" w:rsidRPr="00563498" w:rsidRDefault="00057724" w:rsidP="00B802CF">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563498">
        <w:rPr>
          <w:rFonts w:ascii="Times New Roman" w:hAnsi="Times New Roman" w:cs="Times New Roman"/>
          <w:sz w:val="24"/>
          <w:szCs w:val="24"/>
          <w:lang w:val="sq-AL"/>
        </w:rPr>
        <w:lastRenderedPageBreak/>
        <w:t xml:space="preserve">Në rigjykimin e çështjes, Kolegji Administrativ i Gjykatës së Lartë, në seancë gjyqësore, </w:t>
      </w:r>
      <w:r w:rsidR="00684050" w:rsidRPr="00563498">
        <w:rPr>
          <w:rFonts w:ascii="Times New Roman" w:hAnsi="Times New Roman" w:cs="Times New Roman"/>
          <w:sz w:val="24"/>
          <w:szCs w:val="24"/>
          <w:lang w:val="sq-AL"/>
        </w:rPr>
        <w:t>me vendimin nr. 00-2021-1317 (113),</w:t>
      </w:r>
      <w:r w:rsidR="005B6041" w:rsidRPr="00563498">
        <w:rPr>
          <w:rFonts w:ascii="Times New Roman" w:hAnsi="Times New Roman" w:cs="Times New Roman"/>
          <w:sz w:val="24"/>
          <w:szCs w:val="24"/>
          <w:lang w:val="sq-AL"/>
        </w:rPr>
        <w:t xml:space="preserve"> datë 22.07.2021,</w:t>
      </w:r>
      <w:r w:rsidR="00684050" w:rsidRPr="00563498">
        <w:rPr>
          <w:rFonts w:ascii="Times New Roman" w:hAnsi="Times New Roman" w:cs="Times New Roman"/>
          <w:sz w:val="24"/>
          <w:szCs w:val="24"/>
          <w:lang w:val="sq-AL"/>
        </w:rPr>
        <w:t xml:space="preserve"> </w:t>
      </w:r>
      <w:r w:rsidRPr="00563498">
        <w:rPr>
          <w:rFonts w:ascii="Times New Roman" w:hAnsi="Times New Roman" w:cs="Times New Roman"/>
          <w:sz w:val="24"/>
          <w:szCs w:val="24"/>
          <w:lang w:val="sq-AL"/>
        </w:rPr>
        <w:t>mbështetur në nenet 62 dhe 63, shkronja “e”, të ligjit nr. 49/2012 “Për gjykatat administrative dhe gjykimin e mosmarrëveshjeve administrative”, të ndryshuar, ka vendosur</w:t>
      </w:r>
      <w:r w:rsidRPr="00563498">
        <w:rPr>
          <w:rFonts w:ascii="Times New Roman" w:eastAsia="MS Mincho" w:hAnsi="Times New Roman" w:cs="Times New Roman"/>
          <w:bCs/>
          <w:sz w:val="24"/>
          <w:szCs w:val="24"/>
          <w:lang w:val="sq-AL"/>
        </w:rPr>
        <w:t xml:space="preserve"> lënien në fuqi të vendimit nr. </w:t>
      </w:r>
      <w:r w:rsidRPr="00563498">
        <w:rPr>
          <w:rFonts w:ascii="Times New Roman" w:eastAsia="MS Mincho" w:hAnsi="Times New Roman" w:cs="Times New Roman"/>
          <w:sz w:val="24"/>
          <w:szCs w:val="24"/>
          <w:lang w:val="sq-AL"/>
        </w:rPr>
        <w:t>2318, datë 05.06.2014 të Gjykatës</w:t>
      </w:r>
      <w:r w:rsidR="00A1477F" w:rsidRPr="00563498">
        <w:rPr>
          <w:rFonts w:ascii="Times New Roman" w:eastAsia="MS Mincho" w:hAnsi="Times New Roman" w:cs="Times New Roman"/>
          <w:sz w:val="24"/>
          <w:szCs w:val="24"/>
          <w:lang w:val="sq-AL"/>
        </w:rPr>
        <w:t xml:space="preserve"> Administrative të Apelit</w:t>
      </w:r>
      <w:r w:rsidRPr="00563498">
        <w:rPr>
          <w:rFonts w:ascii="Times New Roman" w:eastAsia="MS Mincho" w:hAnsi="Times New Roman" w:cs="Times New Roman"/>
          <w:sz w:val="24"/>
          <w:szCs w:val="24"/>
          <w:lang w:val="sq-AL"/>
        </w:rPr>
        <w:t>.</w:t>
      </w:r>
    </w:p>
    <w:p w:rsidR="000B1BF9" w:rsidRPr="00563498" w:rsidRDefault="000B1BF9" w:rsidP="00B802CF">
      <w:pPr>
        <w:tabs>
          <w:tab w:val="left" w:pos="990"/>
        </w:tabs>
        <w:spacing w:after="0" w:line="360" w:lineRule="auto"/>
        <w:ind w:left="709"/>
        <w:jc w:val="both"/>
        <w:rPr>
          <w:rFonts w:ascii="Times New Roman" w:eastAsia="Calibri" w:hAnsi="Times New Roman" w:cs="Times New Roman"/>
          <w:bCs/>
          <w:sz w:val="24"/>
          <w:szCs w:val="24"/>
          <w:lang w:val="sq-AL"/>
        </w:rPr>
      </w:pPr>
    </w:p>
    <w:p w:rsidR="000B0BC6" w:rsidRPr="00563498" w:rsidRDefault="000B0BC6" w:rsidP="00B802CF">
      <w:pPr>
        <w:tabs>
          <w:tab w:val="left" w:pos="851"/>
        </w:tabs>
        <w:spacing w:after="0" w:line="360" w:lineRule="auto"/>
        <w:jc w:val="center"/>
        <w:rPr>
          <w:rFonts w:ascii="Times New Roman" w:eastAsia="Times New Roman" w:hAnsi="Times New Roman" w:cs="Times New Roman"/>
          <w:b/>
          <w:sz w:val="24"/>
          <w:szCs w:val="24"/>
          <w:lang w:val="sq-AL"/>
        </w:rPr>
      </w:pPr>
      <w:r w:rsidRPr="00563498">
        <w:rPr>
          <w:rFonts w:ascii="Times New Roman" w:eastAsia="Times New Roman" w:hAnsi="Times New Roman" w:cs="Times New Roman"/>
          <w:b/>
          <w:sz w:val="24"/>
          <w:szCs w:val="24"/>
          <w:lang w:val="sq-AL"/>
        </w:rPr>
        <w:t>I</w:t>
      </w:r>
      <w:r w:rsidR="00B9224A" w:rsidRPr="00563498">
        <w:rPr>
          <w:rFonts w:ascii="Times New Roman" w:eastAsia="Times New Roman" w:hAnsi="Times New Roman" w:cs="Times New Roman"/>
          <w:b/>
          <w:sz w:val="24"/>
          <w:szCs w:val="24"/>
          <w:lang w:val="sq-AL"/>
        </w:rPr>
        <w:t>I</w:t>
      </w:r>
    </w:p>
    <w:p w:rsidR="009A687E" w:rsidRPr="00563498" w:rsidRDefault="009A687E" w:rsidP="00B802CF">
      <w:pPr>
        <w:tabs>
          <w:tab w:val="left" w:pos="851"/>
        </w:tabs>
        <w:spacing w:after="0" w:line="360" w:lineRule="auto"/>
        <w:jc w:val="center"/>
        <w:rPr>
          <w:rFonts w:ascii="Times New Roman" w:eastAsia="Times New Roman" w:hAnsi="Times New Roman" w:cs="Times New Roman"/>
          <w:b/>
          <w:i/>
          <w:sz w:val="24"/>
          <w:szCs w:val="24"/>
          <w:lang w:val="sq-AL"/>
        </w:rPr>
      </w:pPr>
      <w:r w:rsidRPr="00563498">
        <w:rPr>
          <w:rFonts w:ascii="Times New Roman" w:eastAsia="Times New Roman" w:hAnsi="Times New Roman" w:cs="Times New Roman"/>
          <w:b/>
          <w:sz w:val="24"/>
          <w:szCs w:val="24"/>
          <w:lang w:val="sq-AL"/>
        </w:rPr>
        <w:t xml:space="preserve">Pretendimet </w:t>
      </w:r>
      <w:r w:rsidR="00A1477F" w:rsidRPr="00563498">
        <w:rPr>
          <w:rFonts w:ascii="Times New Roman" w:eastAsia="Times New Roman" w:hAnsi="Times New Roman" w:cs="Times New Roman"/>
          <w:b/>
          <w:sz w:val="24"/>
          <w:szCs w:val="24"/>
          <w:lang w:val="sq-AL"/>
        </w:rPr>
        <w:t>e kërkuesit</w:t>
      </w:r>
    </w:p>
    <w:p w:rsidR="00057724" w:rsidRPr="00563498" w:rsidRDefault="006D6CD0" w:rsidP="00B802CF">
      <w:pPr>
        <w:numPr>
          <w:ilvl w:val="0"/>
          <w:numId w:val="14"/>
        </w:numPr>
        <w:tabs>
          <w:tab w:val="left" w:pos="720"/>
          <w:tab w:val="left" w:pos="990"/>
          <w:tab w:val="left" w:pos="1170"/>
        </w:tabs>
        <w:spacing w:after="0" w:line="360" w:lineRule="auto"/>
        <w:ind w:left="0" w:firstLine="720"/>
        <w:jc w:val="both"/>
        <w:rPr>
          <w:rFonts w:ascii="Times New Roman" w:eastAsia="Calibri" w:hAnsi="Times New Roman" w:cs="Times New Roman"/>
          <w:sz w:val="24"/>
          <w:szCs w:val="24"/>
          <w:lang w:val="sq-AL"/>
        </w:rPr>
      </w:pPr>
      <w:r w:rsidRPr="00563498">
        <w:rPr>
          <w:rFonts w:ascii="Times New Roman" w:eastAsia="MS Mincho" w:hAnsi="Times New Roman" w:cs="Times New Roman"/>
          <w:b/>
          <w:bCs/>
          <w:i/>
          <w:sz w:val="24"/>
          <w:szCs w:val="24"/>
          <w:lang w:val="sq-AL"/>
        </w:rPr>
        <w:t>Kërkuesi</w:t>
      </w:r>
      <w:r w:rsidR="00057724" w:rsidRPr="00563498">
        <w:rPr>
          <w:rFonts w:ascii="Times New Roman" w:eastAsia="MS Mincho" w:hAnsi="Times New Roman" w:cs="Times New Roman"/>
          <w:b/>
          <w:bCs/>
          <w:i/>
          <w:sz w:val="24"/>
          <w:szCs w:val="24"/>
          <w:lang w:val="sq-AL"/>
        </w:rPr>
        <w:t>,</w:t>
      </w:r>
      <w:r w:rsidRPr="00563498">
        <w:rPr>
          <w:rFonts w:ascii="Times New Roman" w:eastAsia="MS Mincho" w:hAnsi="Times New Roman" w:cs="Times New Roman"/>
          <w:b/>
          <w:bCs/>
          <w:i/>
          <w:sz w:val="24"/>
          <w:szCs w:val="24"/>
          <w:lang w:val="sq-AL"/>
        </w:rPr>
        <w:t xml:space="preserve"> </w:t>
      </w:r>
      <w:r w:rsidR="00057724" w:rsidRPr="00563498">
        <w:rPr>
          <w:rFonts w:ascii="Times New Roman" w:eastAsia="MS Mincho" w:hAnsi="Times New Roman" w:cs="Times New Roman"/>
          <w:bCs/>
          <w:iCs/>
          <w:sz w:val="24"/>
          <w:szCs w:val="24"/>
          <w:lang w:val="sq-AL"/>
        </w:rPr>
        <w:t>i</w:t>
      </w:r>
      <w:r w:rsidR="00057724" w:rsidRPr="00563498">
        <w:rPr>
          <w:rFonts w:ascii="Times New Roman" w:eastAsia="MS Mincho" w:hAnsi="Times New Roman" w:cs="Times New Roman"/>
          <w:sz w:val="24"/>
          <w:szCs w:val="24"/>
          <w:lang w:val="sq-AL"/>
        </w:rPr>
        <w:t xml:space="preserve"> është drejtuar Gjykatës</w:t>
      </w:r>
      <w:r w:rsidRPr="00563498">
        <w:rPr>
          <w:rFonts w:ascii="Times New Roman" w:eastAsia="MS Mincho" w:hAnsi="Times New Roman" w:cs="Times New Roman"/>
          <w:sz w:val="24"/>
          <w:szCs w:val="24"/>
          <w:lang w:val="sq-AL"/>
        </w:rPr>
        <w:t>,</w:t>
      </w:r>
      <w:r w:rsidR="00825449" w:rsidRPr="00563498">
        <w:rPr>
          <w:rFonts w:ascii="Times New Roman" w:eastAsia="MS Mincho" w:hAnsi="Times New Roman" w:cs="Times New Roman"/>
          <w:sz w:val="24"/>
          <w:szCs w:val="24"/>
          <w:lang w:val="sq-AL"/>
        </w:rPr>
        <w:t xml:space="preserve"> </w:t>
      </w:r>
      <w:r w:rsidR="00057724" w:rsidRPr="00563498">
        <w:rPr>
          <w:rFonts w:ascii="Times New Roman" w:eastAsia="Calibri" w:hAnsi="Times New Roman" w:cs="Times New Roman"/>
          <w:bCs/>
          <w:sz w:val="24"/>
          <w:szCs w:val="24"/>
          <w:lang w:val="sq-AL"/>
        </w:rPr>
        <w:t>duke parashtruar n</w:t>
      </w:r>
      <w:r w:rsidR="00057724" w:rsidRPr="00563498">
        <w:rPr>
          <w:rFonts w:ascii="Times New Roman" w:eastAsia="Calibri" w:hAnsi="Times New Roman" w:cs="Times New Roman"/>
          <w:sz w:val="24"/>
          <w:szCs w:val="24"/>
          <w:lang w:val="sq-AL"/>
        </w:rPr>
        <w:t>ë mënyrë të përmbledhur si vijon:</w:t>
      </w:r>
    </w:p>
    <w:p w:rsidR="00057724" w:rsidRPr="00563498" w:rsidRDefault="00057724" w:rsidP="005B6041">
      <w:pPr>
        <w:numPr>
          <w:ilvl w:val="1"/>
          <w:numId w:val="24"/>
        </w:numPr>
        <w:tabs>
          <w:tab w:val="left" w:pos="720"/>
          <w:tab w:val="left" w:pos="1440"/>
        </w:tabs>
        <w:spacing w:after="0" w:line="360" w:lineRule="auto"/>
        <w:ind w:left="1440" w:hanging="450"/>
        <w:jc w:val="both"/>
        <w:rPr>
          <w:rFonts w:ascii="Times New Roman" w:eastAsia="Calibri" w:hAnsi="Times New Roman" w:cs="Times New Roman"/>
          <w:sz w:val="24"/>
          <w:szCs w:val="24"/>
          <w:lang w:val="sq-AL"/>
        </w:rPr>
      </w:pPr>
      <w:r w:rsidRPr="00563498">
        <w:rPr>
          <w:rFonts w:ascii="Times New Roman" w:eastAsia="Calibri" w:hAnsi="Times New Roman" w:cs="Times New Roman"/>
          <w:sz w:val="24"/>
          <w:szCs w:val="24"/>
          <w:lang w:val="sq-AL"/>
        </w:rPr>
        <w:t>Gj</w:t>
      </w:r>
      <w:r w:rsidR="00825449" w:rsidRPr="00563498">
        <w:rPr>
          <w:rFonts w:ascii="Times New Roman" w:eastAsia="Calibri" w:hAnsi="Times New Roman" w:cs="Times New Roman"/>
          <w:sz w:val="24"/>
          <w:szCs w:val="24"/>
          <w:lang w:val="sq-AL"/>
        </w:rPr>
        <w:t>ykata e Rrethit Gjyqësor Tiranë</w:t>
      </w:r>
      <w:r w:rsidRPr="00563498">
        <w:rPr>
          <w:rFonts w:ascii="Times New Roman" w:eastAsia="Calibri" w:hAnsi="Times New Roman" w:cs="Times New Roman"/>
          <w:sz w:val="24"/>
          <w:szCs w:val="24"/>
          <w:lang w:val="sq-AL"/>
        </w:rPr>
        <w:t xml:space="preserve"> ka vepruar në kundërshtim me nenet 72, pika 4 dhe 224/c të Kodit të Procedurës Civile (</w:t>
      </w:r>
      <w:r w:rsidRPr="00563498">
        <w:rPr>
          <w:rFonts w:ascii="Times New Roman" w:eastAsia="Calibri" w:hAnsi="Times New Roman" w:cs="Times New Roman"/>
          <w:i/>
          <w:sz w:val="24"/>
          <w:szCs w:val="24"/>
          <w:lang w:val="sq-AL"/>
        </w:rPr>
        <w:t>KPC</w:t>
      </w:r>
      <w:r w:rsidRPr="00563498">
        <w:rPr>
          <w:rFonts w:ascii="Times New Roman" w:eastAsia="Calibri" w:hAnsi="Times New Roman" w:cs="Times New Roman"/>
          <w:sz w:val="24"/>
          <w:szCs w:val="24"/>
          <w:lang w:val="sq-AL"/>
        </w:rPr>
        <w:t>), pasi ka caktuar ekspert në kushtet e konfliktit të interesit. Ky fakt nuk është marrë parasysh as nga Gjykata Administrative e Apelit dhe as nga Kolegji Administrativ i Gjykatës së Lartë.</w:t>
      </w:r>
    </w:p>
    <w:p w:rsidR="00057724" w:rsidRPr="00563498" w:rsidRDefault="00057724" w:rsidP="005B6041">
      <w:pPr>
        <w:numPr>
          <w:ilvl w:val="1"/>
          <w:numId w:val="24"/>
        </w:numPr>
        <w:tabs>
          <w:tab w:val="left" w:pos="720"/>
          <w:tab w:val="left" w:pos="1440"/>
        </w:tabs>
        <w:spacing w:after="0" w:line="360" w:lineRule="auto"/>
        <w:ind w:left="1440" w:hanging="540"/>
        <w:jc w:val="both"/>
        <w:rPr>
          <w:rFonts w:ascii="Times New Roman" w:eastAsia="Calibri" w:hAnsi="Times New Roman" w:cs="Times New Roman"/>
          <w:sz w:val="24"/>
          <w:szCs w:val="24"/>
          <w:lang w:val="sq-AL"/>
        </w:rPr>
      </w:pPr>
      <w:r w:rsidRPr="00563498">
        <w:rPr>
          <w:rFonts w:ascii="Times New Roman" w:eastAsia="Calibri" w:hAnsi="Times New Roman" w:cs="Times New Roman"/>
          <w:sz w:val="24"/>
          <w:szCs w:val="24"/>
          <w:lang w:val="sq-AL"/>
        </w:rPr>
        <w:t>Kolegji Administrativ i Gjykatës së Lartë ka arritur në konkluzione të gabuara. Është ligjvënësi ai që ka deleguar organizimin dhe funksionimin e komisioneve eprore të c</w:t>
      </w:r>
      <w:r w:rsidR="00825449" w:rsidRPr="00563498">
        <w:rPr>
          <w:rFonts w:ascii="Times New Roman" w:eastAsia="Calibri" w:hAnsi="Times New Roman" w:cs="Times New Roman"/>
          <w:sz w:val="24"/>
          <w:szCs w:val="24"/>
          <w:lang w:val="sq-AL"/>
        </w:rPr>
        <w:t>aktimit të aftësisë për punë te</w:t>
      </w:r>
      <w:r w:rsidRPr="00563498">
        <w:rPr>
          <w:rFonts w:ascii="Times New Roman" w:eastAsia="Calibri" w:hAnsi="Times New Roman" w:cs="Times New Roman"/>
          <w:sz w:val="24"/>
          <w:szCs w:val="24"/>
          <w:lang w:val="sq-AL"/>
        </w:rPr>
        <w:t xml:space="preserve"> vendimi i Këshillit të Ministrave, i cili n</w:t>
      </w:r>
      <w:r w:rsidR="00825449" w:rsidRPr="00563498">
        <w:rPr>
          <w:rFonts w:ascii="Times New Roman" w:eastAsia="Calibri" w:hAnsi="Times New Roman" w:cs="Times New Roman"/>
          <w:sz w:val="24"/>
          <w:szCs w:val="24"/>
          <w:lang w:val="sq-AL"/>
        </w:rPr>
        <w:t>uk i jep vendimeve të KMCAP-së E</w:t>
      </w:r>
      <w:r w:rsidRPr="00563498">
        <w:rPr>
          <w:rFonts w:ascii="Times New Roman" w:eastAsia="Calibri" w:hAnsi="Times New Roman" w:cs="Times New Roman"/>
          <w:sz w:val="24"/>
          <w:szCs w:val="24"/>
          <w:lang w:val="sq-AL"/>
        </w:rPr>
        <w:t>pror formë të prerë, pasi kjo është parashikuar shprehimisht në ligj.</w:t>
      </w:r>
    </w:p>
    <w:p w:rsidR="00057724" w:rsidRPr="00563498" w:rsidRDefault="00057724" w:rsidP="005B6041">
      <w:pPr>
        <w:numPr>
          <w:ilvl w:val="1"/>
          <w:numId w:val="24"/>
        </w:numPr>
        <w:tabs>
          <w:tab w:val="left" w:pos="720"/>
          <w:tab w:val="left" w:pos="1440"/>
        </w:tabs>
        <w:spacing w:after="0" w:line="360" w:lineRule="auto"/>
        <w:ind w:left="1440" w:hanging="540"/>
        <w:jc w:val="both"/>
        <w:rPr>
          <w:rFonts w:ascii="Times New Roman" w:eastAsia="Calibri" w:hAnsi="Times New Roman" w:cs="Times New Roman"/>
          <w:sz w:val="24"/>
          <w:szCs w:val="24"/>
          <w:lang w:val="sq-AL"/>
        </w:rPr>
      </w:pPr>
      <w:r w:rsidRPr="00563498">
        <w:rPr>
          <w:rFonts w:ascii="Times New Roman" w:eastAsia="Calibri" w:hAnsi="Times New Roman" w:cs="Times New Roman"/>
          <w:sz w:val="24"/>
          <w:szCs w:val="24"/>
          <w:lang w:val="sq-AL"/>
        </w:rPr>
        <w:t xml:space="preserve">Kolegji Administrativ i Gjykatës së Lartë ka keqinterpretuar nenet 12 dhe 13 të VKM-së nr. 505/2015, duke argumentuar se </w:t>
      </w:r>
      <w:r w:rsidR="00920FFC" w:rsidRPr="00563498">
        <w:rPr>
          <w:rFonts w:ascii="Times New Roman" w:eastAsia="Calibri" w:hAnsi="Times New Roman" w:cs="Times New Roman"/>
          <w:sz w:val="24"/>
          <w:szCs w:val="24"/>
          <w:lang w:val="sq-AL"/>
        </w:rPr>
        <w:t>ajo</w:t>
      </w:r>
      <w:r w:rsidRPr="00563498">
        <w:rPr>
          <w:rFonts w:ascii="Times New Roman" w:eastAsia="Calibri" w:hAnsi="Times New Roman" w:cs="Times New Roman"/>
          <w:sz w:val="24"/>
          <w:szCs w:val="24"/>
          <w:lang w:val="sq-AL"/>
        </w:rPr>
        <w:t xml:space="preserve"> nuk i ka dhënë statusin e gjësë s</w:t>
      </w:r>
      <w:r w:rsidR="00825449" w:rsidRPr="00563498">
        <w:rPr>
          <w:rFonts w:ascii="Times New Roman" w:eastAsia="Calibri" w:hAnsi="Times New Roman" w:cs="Times New Roman"/>
          <w:sz w:val="24"/>
          <w:szCs w:val="24"/>
          <w:lang w:val="sq-AL"/>
        </w:rPr>
        <w:t>ë gjykuar vendimit të KMCAP-së E</w:t>
      </w:r>
      <w:r w:rsidRPr="00563498">
        <w:rPr>
          <w:rFonts w:ascii="Times New Roman" w:eastAsia="Calibri" w:hAnsi="Times New Roman" w:cs="Times New Roman"/>
          <w:sz w:val="24"/>
          <w:szCs w:val="24"/>
          <w:lang w:val="sq-AL"/>
        </w:rPr>
        <w:t xml:space="preserve">pror, pasi ka parashikuar se individi mundet të pretendojë të fitojë statusin e të paaftit plotësisht </w:t>
      </w:r>
      <w:r w:rsidR="00825449" w:rsidRPr="00563498">
        <w:rPr>
          <w:rFonts w:ascii="Times New Roman" w:eastAsia="Calibri" w:hAnsi="Times New Roman" w:cs="Times New Roman"/>
          <w:sz w:val="24"/>
          <w:szCs w:val="24"/>
          <w:lang w:val="sq-AL"/>
        </w:rPr>
        <w:t>ose</w:t>
      </w:r>
      <w:r w:rsidRPr="00563498">
        <w:rPr>
          <w:rFonts w:ascii="Times New Roman" w:eastAsia="Calibri" w:hAnsi="Times New Roman" w:cs="Times New Roman"/>
          <w:sz w:val="24"/>
          <w:szCs w:val="24"/>
          <w:lang w:val="sq-AL"/>
        </w:rPr>
        <w:t xml:space="preserve"> pjesërisht për punë.</w:t>
      </w:r>
    </w:p>
    <w:p w:rsidR="00057724" w:rsidRPr="00563498" w:rsidRDefault="00057724" w:rsidP="005B6041">
      <w:pPr>
        <w:numPr>
          <w:ilvl w:val="1"/>
          <w:numId w:val="24"/>
        </w:numPr>
        <w:tabs>
          <w:tab w:val="left" w:pos="720"/>
          <w:tab w:val="left" w:pos="1440"/>
        </w:tabs>
        <w:spacing w:after="0" w:line="360" w:lineRule="auto"/>
        <w:ind w:left="1440" w:hanging="540"/>
        <w:jc w:val="both"/>
        <w:rPr>
          <w:rFonts w:ascii="Times New Roman" w:eastAsia="Calibri" w:hAnsi="Times New Roman" w:cs="Times New Roman"/>
          <w:sz w:val="24"/>
          <w:szCs w:val="24"/>
          <w:lang w:val="sq-AL"/>
        </w:rPr>
      </w:pPr>
      <w:r w:rsidRPr="00563498">
        <w:rPr>
          <w:rFonts w:ascii="Times New Roman" w:eastAsia="Calibri" w:hAnsi="Times New Roman" w:cs="Times New Roman"/>
          <w:sz w:val="24"/>
          <w:szCs w:val="24"/>
          <w:lang w:val="sq-AL"/>
        </w:rPr>
        <w:t xml:space="preserve">Është cenuar e drejta e mbrojtjes </w:t>
      </w:r>
      <w:r w:rsidR="00766361" w:rsidRPr="00563498">
        <w:rPr>
          <w:rFonts w:ascii="Times New Roman" w:eastAsia="Calibri" w:hAnsi="Times New Roman" w:cs="Times New Roman"/>
          <w:sz w:val="24"/>
          <w:szCs w:val="24"/>
          <w:lang w:val="sq-AL"/>
        </w:rPr>
        <w:t>lidhur me të</w:t>
      </w:r>
      <w:r w:rsidRPr="00563498">
        <w:rPr>
          <w:rFonts w:ascii="Times New Roman" w:eastAsia="Calibri" w:hAnsi="Times New Roman" w:cs="Times New Roman"/>
          <w:sz w:val="24"/>
          <w:szCs w:val="24"/>
          <w:lang w:val="sq-AL"/>
        </w:rPr>
        <w:t xml:space="preserve"> drejt</w:t>
      </w:r>
      <w:r w:rsidR="00766361" w:rsidRPr="00563498">
        <w:rPr>
          <w:rFonts w:ascii="Times New Roman" w:eastAsia="Calibri" w:hAnsi="Times New Roman" w:cs="Times New Roman"/>
          <w:sz w:val="24"/>
          <w:szCs w:val="24"/>
          <w:lang w:val="sq-AL"/>
        </w:rPr>
        <w:t>ën</w:t>
      </w:r>
      <w:r w:rsidRPr="00563498">
        <w:rPr>
          <w:rFonts w:ascii="Times New Roman" w:eastAsia="Calibri" w:hAnsi="Times New Roman" w:cs="Times New Roman"/>
          <w:sz w:val="24"/>
          <w:szCs w:val="24"/>
          <w:lang w:val="sq-AL"/>
        </w:rPr>
        <w:t xml:space="preserve"> për t’u dëgjuar, pasi Kolegji Administrativ i Gjykatës së Lartë</w:t>
      </w:r>
      <w:r w:rsidR="00825449" w:rsidRPr="00563498">
        <w:rPr>
          <w:rFonts w:ascii="Times New Roman" w:eastAsia="Calibri" w:hAnsi="Times New Roman" w:cs="Times New Roman"/>
          <w:sz w:val="24"/>
          <w:szCs w:val="24"/>
          <w:lang w:val="sq-AL"/>
        </w:rPr>
        <w:t xml:space="preserve"> nuk i ka lejuar përfaqësuesit të ISSH-së dhe DRSSHT-së të flasë</w:t>
      </w:r>
      <w:r w:rsidRPr="00563498">
        <w:rPr>
          <w:rFonts w:ascii="Times New Roman" w:eastAsia="Calibri" w:hAnsi="Times New Roman" w:cs="Times New Roman"/>
          <w:sz w:val="24"/>
          <w:szCs w:val="24"/>
          <w:lang w:val="sq-AL"/>
        </w:rPr>
        <w:t xml:space="preserve"> </w:t>
      </w:r>
      <w:r w:rsidR="00823708" w:rsidRPr="00563498">
        <w:rPr>
          <w:rFonts w:ascii="Times New Roman" w:eastAsia="Calibri" w:hAnsi="Times New Roman" w:cs="Times New Roman"/>
          <w:sz w:val="24"/>
          <w:szCs w:val="24"/>
          <w:lang w:val="sq-AL"/>
        </w:rPr>
        <w:t xml:space="preserve">në seancë </w:t>
      </w:r>
      <w:r w:rsidRPr="00563498">
        <w:rPr>
          <w:rFonts w:ascii="Times New Roman" w:eastAsia="Calibri" w:hAnsi="Times New Roman" w:cs="Times New Roman"/>
          <w:sz w:val="24"/>
          <w:szCs w:val="24"/>
          <w:lang w:val="sq-AL"/>
        </w:rPr>
        <w:t xml:space="preserve">me argumentin se përfaqësimi në atë gjykatë bëhet me avokat. Sipas tyre, në rastin konkret, në kohën që është paraqitur kërkesëpadia e paditëses, neni 96/a i KPC-së ende nuk ishte miratuar dhe për këtë arsye duhej të zbatohej shkronja “c” e nenit 96 të </w:t>
      </w:r>
      <w:r w:rsidR="00825449" w:rsidRPr="00563498">
        <w:rPr>
          <w:rFonts w:ascii="Times New Roman" w:eastAsia="Calibri" w:hAnsi="Times New Roman" w:cs="Times New Roman"/>
          <w:sz w:val="24"/>
          <w:szCs w:val="24"/>
          <w:lang w:val="sq-AL"/>
        </w:rPr>
        <w:t>saj</w:t>
      </w:r>
      <w:r w:rsidRPr="00563498">
        <w:rPr>
          <w:rFonts w:ascii="Times New Roman" w:eastAsia="Calibri" w:hAnsi="Times New Roman" w:cs="Times New Roman"/>
          <w:sz w:val="24"/>
          <w:szCs w:val="24"/>
          <w:lang w:val="sq-AL"/>
        </w:rPr>
        <w:t>,</w:t>
      </w:r>
      <w:r w:rsidR="00825449" w:rsidRPr="00563498">
        <w:rPr>
          <w:rFonts w:ascii="Times New Roman" w:eastAsia="Calibri" w:hAnsi="Times New Roman" w:cs="Times New Roman"/>
          <w:sz w:val="24"/>
          <w:szCs w:val="24"/>
          <w:lang w:val="sq-AL"/>
        </w:rPr>
        <w:t xml:space="preserve"> sipas së cilës si përfaqësues t</w:t>
      </w:r>
      <w:r w:rsidRPr="00563498">
        <w:rPr>
          <w:rFonts w:ascii="Times New Roman" w:eastAsia="Calibri" w:hAnsi="Times New Roman" w:cs="Times New Roman"/>
          <w:sz w:val="24"/>
          <w:szCs w:val="24"/>
          <w:lang w:val="sq-AL"/>
        </w:rPr>
        <w:t>ë palëve me prokurë mund të jenë juristët dhe punonjësit e tjerë të autorizuar të institucioneve shtetërore ose personave juridik</w:t>
      </w:r>
      <w:r w:rsidR="00825449" w:rsidRPr="00563498">
        <w:rPr>
          <w:rFonts w:ascii="Times New Roman" w:eastAsia="Calibri" w:hAnsi="Times New Roman" w:cs="Times New Roman"/>
          <w:sz w:val="24"/>
          <w:szCs w:val="24"/>
          <w:lang w:val="sq-AL"/>
        </w:rPr>
        <w:t>ë</w:t>
      </w:r>
      <w:r w:rsidR="005B6041" w:rsidRPr="00563498">
        <w:rPr>
          <w:rFonts w:ascii="Times New Roman" w:eastAsia="Calibri" w:hAnsi="Times New Roman" w:cs="Times New Roman"/>
          <w:sz w:val="24"/>
          <w:szCs w:val="24"/>
          <w:lang w:val="sq-AL"/>
        </w:rPr>
        <w:t>.</w:t>
      </w:r>
    </w:p>
    <w:p w:rsidR="00B17AF8" w:rsidRPr="00563498" w:rsidRDefault="00B17AF8" w:rsidP="00B802CF">
      <w:pPr>
        <w:pStyle w:val="BodyTextIndent"/>
        <w:tabs>
          <w:tab w:val="left" w:pos="1080"/>
        </w:tabs>
        <w:spacing w:after="0"/>
        <w:ind w:left="1069"/>
        <w:rPr>
          <w:rFonts w:ascii="Times New Roman" w:hAnsi="Times New Roman"/>
          <w:sz w:val="24"/>
          <w:szCs w:val="24"/>
        </w:rPr>
      </w:pPr>
    </w:p>
    <w:p w:rsidR="00461B91" w:rsidRPr="00563498" w:rsidRDefault="00461B91" w:rsidP="00B802CF">
      <w:pPr>
        <w:tabs>
          <w:tab w:val="left" w:pos="851"/>
        </w:tabs>
        <w:spacing w:after="0" w:line="360" w:lineRule="auto"/>
        <w:jc w:val="center"/>
        <w:rPr>
          <w:rFonts w:ascii="Times New Roman" w:hAnsi="Times New Roman" w:cs="Times New Roman"/>
          <w:b/>
          <w:sz w:val="24"/>
          <w:szCs w:val="24"/>
          <w:lang w:val="sq-AL"/>
        </w:rPr>
      </w:pPr>
      <w:r w:rsidRPr="00563498">
        <w:rPr>
          <w:rFonts w:ascii="Times New Roman" w:hAnsi="Times New Roman" w:cs="Times New Roman"/>
          <w:b/>
          <w:sz w:val="24"/>
          <w:szCs w:val="24"/>
          <w:lang w:val="sq-AL"/>
        </w:rPr>
        <w:t>III</w:t>
      </w:r>
    </w:p>
    <w:p w:rsidR="000360DF" w:rsidRPr="00563498" w:rsidRDefault="00461B91" w:rsidP="00B802CF">
      <w:pPr>
        <w:tabs>
          <w:tab w:val="left" w:pos="851"/>
        </w:tabs>
        <w:spacing w:after="0" w:line="360" w:lineRule="auto"/>
        <w:jc w:val="center"/>
        <w:rPr>
          <w:rFonts w:ascii="Times New Roman" w:hAnsi="Times New Roman" w:cs="Times New Roman"/>
          <w:b/>
          <w:sz w:val="24"/>
          <w:szCs w:val="24"/>
          <w:lang w:val="sq-AL"/>
        </w:rPr>
      </w:pPr>
      <w:r w:rsidRPr="00563498">
        <w:rPr>
          <w:rFonts w:ascii="Times New Roman" w:hAnsi="Times New Roman" w:cs="Times New Roman"/>
          <w:b/>
          <w:sz w:val="24"/>
          <w:szCs w:val="24"/>
          <w:lang w:val="sq-AL"/>
        </w:rPr>
        <w:t>Vlerësimi i Kolegjit</w:t>
      </w:r>
    </w:p>
    <w:p w:rsidR="00C03ADD" w:rsidRPr="00563498" w:rsidRDefault="00DE593F" w:rsidP="00B802CF">
      <w:pPr>
        <w:pStyle w:val="ListParagraph"/>
        <w:numPr>
          <w:ilvl w:val="0"/>
          <w:numId w:val="11"/>
        </w:numPr>
        <w:tabs>
          <w:tab w:val="left" w:pos="851"/>
        </w:tabs>
        <w:spacing w:after="0" w:line="360" w:lineRule="auto"/>
        <w:contextualSpacing w:val="0"/>
        <w:jc w:val="both"/>
        <w:rPr>
          <w:rFonts w:ascii="Times New Roman" w:hAnsi="Times New Roman" w:cs="Times New Roman"/>
          <w:i/>
          <w:sz w:val="24"/>
          <w:szCs w:val="24"/>
          <w:lang w:val="sq-AL"/>
        </w:rPr>
      </w:pPr>
      <w:r w:rsidRPr="00563498">
        <w:rPr>
          <w:rFonts w:ascii="Times New Roman" w:hAnsi="Times New Roman" w:cs="Times New Roman"/>
          <w:i/>
          <w:sz w:val="24"/>
          <w:szCs w:val="24"/>
          <w:lang w:val="sq-AL"/>
        </w:rPr>
        <w:t>P</w:t>
      </w:r>
      <w:r w:rsidR="00733552" w:rsidRPr="00563498">
        <w:rPr>
          <w:rFonts w:ascii="Times New Roman" w:hAnsi="Times New Roman" w:cs="Times New Roman"/>
          <w:i/>
          <w:sz w:val="24"/>
          <w:szCs w:val="24"/>
          <w:lang w:val="sq-AL"/>
        </w:rPr>
        <w:t>ë</w:t>
      </w:r>
      <w:r w:rsidRPr="00563498">
        <w:rPr>
          <w:rFonts w:ascii="Times New Roman" w:hAnsi="Times New Roman" w:cs="Times New Roman"/>
          <w:i/>
          <w:sz w:val="24"/>
          <w:szCs w:val="24"/>
          <w:lang w:val="sq-AL"/>
        </w:rPr>
        <w:t>r</w:t>
      </w:r>
      <w:r w:rsidR="003927DD" w:rsidRPr="00563498">
        <w:rPr>
          <w:rFonts w:ascii="Times New Roman" w:hAnsi="Times New Roman" w:cs="Times New Roman"/>
          <w:i/>
          <w:sz w:val="24"/>
          <w:szCs w:val="24"/>
          <w:lang w:val="sq-AL"/>
        </w:rPr>
        <w:t xml:space="preserve"> </w:t>
      </w:r>
      <w:r w:rsidR="0028180F" w:rsidRPr="00563498">
        <w:rPr>
          <w:rFonts w:ascii="Times New Roman" w:hAnsi="Times New Roman" w:cs="Times New Roman"/>
          <w:i/>
          <w:sz w:val="24"/>
          <w:szCs w:val="24"/>
          <w:lang w:val="sq-AL"/>
        </w:rPr>
        <w:t xml:space="preserve">legjitimimin e </w:t>
      </w:r>
      <w:r w:rsidR="00057724" w:rsidRPr="00563498">
        <w:rPr>
          <w:rFonts w:ascii="Times New Roman" w:hAnsi="Times New Roman" w:cs="Times New Roman"/>
          <w:i/>
          <w:sz w:val="24"/>
          <w:szCs w:val="24"/>
          <w:lang w:val="sq-AL"/>
        </w:rPr>
        <w:t>kërkuesit</w:t>
      </w:r>
    </w:p>
    <w:p w:rsidR="00057724" w:rsidRPr="00563498" w:rsidRDefault="00057724" w:rsidP="00B802CF">
      <w:pPr>
        <w:pStyle w:val="ListParagraph"/>
        <w:tabs>
          <w:tab w:val="left" w:pos="720"/>
        </w:tabs>
        <w:spacing w:after="0" w:line="360" w:lineRule="auto"/>
        <w:ind w:left="0"/>
        <w:contextualSpacing w:val="0"/>
        <w:jc w:val="both"/>
        <w:rPr>
          <w:rFonts w:ascii="Times New Roman" w:hAnsi="Times New Roman" w:cs="Times New Roman"/>
          <w:sz w:val="24"/>
          <w:szCs w:val="24"/>
          <w:lang w:val="sq-AL"/>
        </w:rPr>
      </w:pPr>
      <w:r w:rsidRPr="00563498">
        <w:rPr>
          <w:rFonts w:ascii="Times New Roman" w:eastAsia="Calibri" w:hAnsi="Times New Roman" w:cs="Times New Roman"/>
          <w:sz w:val="24"/>
          <w:szCs w:val="24"/>
          <w:lang w:val="sq-AL"/>
        </w:rPr>
        <w:tab/>
        <w:t xml:space="preserve">9. </w:t>
      </w:r>
      <w:r w:rsidRPr="00563498">
        <w:rPr>
          <w:rFonts w:ascii="Times New Roman" w:hAnsi="Times New Roman" w:cs="Times New Roman"/>
          <w:sz w:val="24"/>
          <w:szCs w:val="24"/>
          <w:lang w:val="sq-AL"/>
        </w:rPr>
        <w:t>Çështja e legjitimimit (</w:t>
      </w:r>
      <w:r w:rsidRPr="00563498">
        <w:rPr>
          <w:rFonts w:ascii="Times New Roman" w:hAnsi="Times New Roman" w:cs="Times New Roman"/>
          <w:i/>
          <w:sz w:val="24"/>
          <w:szCs w:val="24"/>
          <w:lang w:val="sq-AL"/>
        </w:rPr>
        <w:t>locus standi</w:t>
      </w:r>
      <w:r w:rsidRPr="00563498">
        <w:rPr>
          <w:rFonts w:ascii="Times New Roman" w:hAnsi="Times New Roman" w:cs="Times New Roman"/>
          <w:sz w:val="24"/>
          <w:szCs w:val="24"/>
          <w:lang w:val="sq-AL"/>
        </w:rPr>
        <w:t>) është vlerësuar nga Gjykata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057724" w:rsidRPr="00563498" w:rsidRDefault="00057724" w:rsidP="00B802CF">
      <w:pPr>
        <w:pStyle w:val="ListParagraph"/>
        <w:tabs>
          <w:tab w:val="left" w:pos="720"/>
        </w:tabs>
        <w:spacing w:after="0" w:line="360" w:lineRule="auto"/>
        <w:ind w:left="0"/>
        <w:contextualSpacing w:val="0"/>
        <w:jc w:val="both"/>
        <w:rPr>
          <w:rFonts w:ascii="Times New Roman" w:hAnsi="Times New Roman" w:cs="Times New Roman"/>
          <w:sz w:val="24"/>
          <w:szCs w:val="24"/>
          <w:lang w:val="sq-AL"/>
        </w:rPr>
      </w:pPr>
      <w:r w:rsidRPr="00563498">
        <w:rPr>
          <w:rFonts w:ascii="Times New Roman" w:hAnsi="Times New Roman" w:cs="Times New Roman"/>
          <w:sz w:val="24"/>
          <w:szCs w:val="24"/>
          <w:lang w:val="sq-AL"/>
        </w:rPr>
        <w:tab/>
        <w:t>10.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pra mjafton mosplotësimi i njërit prej tyre</w:t>
      </w:r>
      <w:r w:rsidR="00DA2B55" w:rsidRPr="00563498">
        <w:rPr>
          <w:rFonts w:ascii="Times New Roman" w:hAnsi="Times New Roman" w:cs="Times New Roman"/>
          <w:sz w:val="24"/>
          <w:szCs w:val="24"/>
          <w:lang w:val="sq-AL"/>
        </w:rPr>
        <w:t xml:space="preserve"> </w:t>
      </w:r>
      <w:r w:rsidRPr="00563498">
        <w:rPr>
          <w:rFonts w:ascii="Times New Roman" w:hAnsi="Times New Roman" w:cs="Times New Roman"/>
          <w:sz w:val="24"/>
          <w:szCs w:val="24"/>
          <w:lang w:val="sq-AL"/>
        </w:rPr>
        <w:t>që kërkuesi të mos legjitimohet për vënien në lëvizje të gjykimit kushtetues</w:t>
      </w:r>
      <w:r w:rsidR="006D6CD0" w:rsidRPr="00563498">
        <w:rPr>
          <w:rFonts w:ascii="Times New Roman" w:hAnsi="Times New Roman" w:cs="Times New Roman"/>
          <w:sz w:val="24"/>
          <w:szCs w:val="24"/>
          <w:lang w:val="sq-AL"/>
        </w:rPr>
        <w:t>.</w:t>
      </w:r>
    </w:p>
    <w:p w:rsidR="00057724" w:rsidRPr="00563498" w:rsidRDefault="00057724" w:rsidP="00B802CF">
      <w:pPr>
        <w:pStyle w:val="ListParagraph"/>
        <w:tabs>
          <w:tab w:val="left" w:pos="720"/>
        </w:tabs>
        <w:spacing w:after="0" w:line="360" w:lineRule="auto"/>
        <w:ind w:left="0"/>
        <w:contextualSpacing w:val="0"/>
        <w:jc w:val="both"/>
        <w:rPr>
          <w:rFonts w:ascii="Times New Roman" w:hAnsi="Times New Roman" w:cs="Times New Roman"/>
          <w:sz w:val="24"/>
          <w:szCs w:val="24"/>
          <w:lang w:val="sq-AL"/>
        </w:rPr>
      </w:pPr>
      <w:r w:rsidRPr="00563498">
        <w:rPr>
          <w:rFonts w:ascii="Times New Roman" w:hAnsi="Times New Roman" w:cs="Times New Roman"/>
          <w:sz w:val="24"/>
          <w:szCs w:val="24"/>
          <w:lang w:val="sq-AL"/>
        </w:rPr>
        <w:tab/>
        <w:t xml:space="preserve">11. Për sa i përket përmbushjes së këtyre kritereve, Kolegji vëren se kërkuesi legjitimohet </w:t>
      </w:r>
      <w:r w:rsidRPr="00563498">
        <w:rPr>
          <w:rFonts w:ascii="Times New Roman" w:hAnsi="Times New Roman" w:cs="Times New Roman"/>
          <w:i/>
          <w:sz w:val="24"/>
          <w:szCs w:val="24"/>
          <w:lang w:val="sq-AL"/>
        </w:rPr>
        <w:t>ratione personae</w:t>
      </w:r>
      <w:r w:rsidRPr="00563498">
        <w:rPr>
          <w:rFonts w:ascii="Times New Roman" w:hAnsi="Times New Roman" w:cs="Times New Roman"/>
          <w:sz w:val="24"/>
          <w:szCs w:val="24"/>
          <w:lang w:val="sq-AL"/>
        </w:rPr>
        <w:t>, në kuptim të neneve 131, pika 1, shkronja “f”, 134, pika 1, shkronja “i” dhe 134, pika 2, të Kushtetutës, pasi ka qenë palë në procesin gjyqësor, për të cilin janë dhënë vendimet objekt kundërshtimi në Gjykatë.</w:t>
      </w:r>
    </w:p>
    <w:p w:rsidR="00057724" w:rsidRPr="00563498" w:rsidRDefault="00057724" w:rsidP="00B802CF">
      <w:pPr>
        <w:pStyle w:val="ListParagraph"/>
        <w:tabs>
          <w:tab w:val="left" w:pos="720"/>
        </w:tabs>
        <w:spacing w:after="0" w:line="360" w:lineRule="auto"/>
        <w:ind w:left="0"/>
        <w:contextualSpacing w:val="0"/>
        <w:jc w:val="both"/>
        <w:rPr>
          <w:rFonts w:ascii="Times New Roman" w:eastAsia="Calibri" w:hAnsi="Times New Roman" w:cs="Times New Roman"/>
          <w:color w:val="000000"/>
          <w:sz w:val="24"/>
          <w:szCs w:val="24"/>
          <w:lang w:val="sq-AL"/>
        </w:rPr>
      </w:pPr>
      <w:r w:rsidRPr="00563498">
        <w:rPr>
          <w:rFonts w:ascii="Times New Roman" w:hAnsi="Times New Roman" w:cs="Times New Roman"/>
          <w:sz w:val="24"/>
          <w:szCs w:val="24"/>
          <w:lang w:val="sq-AL"/>
        </w:rPr>
        <w:tab/>
        <w:t xml:space="preserve">12. </w:t>
      </w:r>
      <w:r w:rsidRPr="00563498">
        <w:rPr>
          <w:rFonts w:ascii="Times New Roman" w:eastAsia="Calibri" w:hAnsi="Times New Roman" w:cs="Times New Roman"/>
          <w:sz w:val="24"/>
          <w:szCs w:val="24"/>
          <w:lang w:val="sq-AL"/>
        </w:rPr>
        <w:t xml:space="preserve">Lidhur me kriterin e </w:t>
      </w:r>
      <w:r w:rsidRPr="00563498">
        <w:rPr>
          <w:rFonts w:ascii="Times New Roman" w:eastAsia="Calibri" w:hAnsi="Times New Roman" w:cs="Times New Roman"/>
          <w:i/>
          <w:sz w:val="24"/>
          <w:szCs w:val="24"/>
          <w:lang w:val="sq-AL"/>
        </w:rPr>
        <w:t>shterimit të mjeteve juridike efektive</w:t>
      </w:r>
      <w:r w:rsidRPr="00563498">
        <w:rPr>
          <w:rFonts w:ascii="Times New Roman" w:eastAsia="Calibri" w:hAnsi="Times New Roman" w:cs="Times New Roman"/>
          <w:sz w:val="24"/>
          <w:szCs w:val="24"/>
          <w:lang w:val="sq-AL"/>
        </w:rPr>
        <w:t xml:space="preserve">, sipas </w:t>
      </w:r>
      <w:r w:rsidRPr="00563498">
        <w:rPr>
          <w:rFonts w:ascii="Times New Roman" w:eastAsia="Calibri" w:hAnsi="Times New Roman" w:cs="Times New Roman"/>
          <w:color w:val="000000"/>
          <w:sz w:val="24"/>
          <w:szCs w:val="24"/>
          <w:lang w:val="sq-AL"/>
        </w:rPr>
        <w:t xml:space="preserve">neneve </w:t>
      </w:r>
      <w:r w:rsidRPr="00563498">
        <w:rPr>
          <w:rFonts w:ascii="Times New Roman" w:eastAsia="Calibri" w:hAnsi="Times New Roman" w:cs="Times New Roman"/>
          <w:sz w:val="24"/>
          <w:szCs w:val="24"/>
          <w:lang w:val="sq-AL"/>
        </w:rPr>
        <w:t xml:space="preserve">131, pika 1, shkronja “f” dhe 134, pika 1, shkronja “i”, </w:t>
      </w:r>
      <w:r w:rsidRPr="00563498">
        <w:rPr>
          <w:rFonts w:ascii="Times New Roman" w:eastAsia="Calibri" w:hAnsi="Times New Roman" w:cs="Times New Roman"/>
          <w:color w:val="000000"/>
          <w:sz w:val="24"/>
          <w:szCs w:val="24"/>
          <w:lang w:val="sq-AL"/>
        </w:rPr>
        <w:t>të Kushtetutës,</w:t>
      </w:r>
      <w:r w:rsidRPr="00563498">
        <w:rPr>
          <w:rFonts w:ascii="Times New Roman" w:eastAsia="Calibri" w:hAnsi="Times New Roman" w:cs="Times New Roman"/>
          <w:sz w:val="24"/>
          <w:szCs w:val="24"/>
          <w:lang w:val="sq-AL"/>
        </w:rPr>
        <w:t xml:space="preserve"> </w:t>
      </w:r>
      <w:r w:rsidRPr="00563498">
        <w:rPr>
          <w:rFonts w:ascii="Times New Roman" w:eastAsia="Calibri" w:hAnsi="Times New Roman" w:cs="Times New Roman"/>
          <w:color w:val="000000"/>
          <w:sz w:val="24"/>
          <w:szCs w:val="24"/>
          <w:lang w:val="sq-AL"/>
        </w:rPr>
        <w:t>individi mund t’i drejtohet Gjykatës me ankim individual kushtetues, vetëm pasi të ketë shteruar të gjitha mjetet juridike për mbrojtjen e të drejtave kushtetuese që ai pretendon se i janë cenuar.</w:t>
      </w:r>
      <w:r w:rsidRPr="00563498">
        <w:rPr>
          <w:rFonts w:ascii="Times New Roman" w:eastAsia="Calibri" w:hAnsi="Times New Roman" w:cs="Times New Roman"/>
          <w:sz w:val="24"/>
          <w:szCs w:val="24"/>
          <w:lang w:val="sq-AL" w:bidi="en-US"/>
        </w:rPr>
        <w:t xml:space="preserve"> </w:t>
      </w:r>
      <w:r w:rsidRPr="00563498">
        <w:rPr>
          <w:rFonts w:ascii="Times New Roman" w:eastAsia="Calibri" w:hAnsi="Times New Roman" w:cs="Times New Roman"/>
          <w:sz w:val="24"/>
          <w:szCs w:val="24"/>
          <w:lang w:val="sq-AL"/>
        </w:rPr>
        <w:t>Mjetet ligjore konsiderohen të shteruara kur, në varësi të rrethanave të çështjes, rregullat procedurale nuk parashikojnë mjete të tjera ankimi (</w:t>
      </w:r>
      <w:r w:rsidRPr="00563498">
        <w:rPr>
          <w:rFonts w:ascii="Times New Roman" w:eastAsia="Calibri" w:hAnsi="Times New Roman" w:cs="Times New Roman"/>
          <w:i/>
          <w:sz w:val="24"/>
          <w:szCs w:val="24"/>
          <w:lang w:val="sq-AL"/>
        </w:rPr>
        <w:t xml:space="preserve">shih vendimet nr. 35, datë 01.11.2021; nr. </w:t>
      </w:r>
      <w:r w:rsidRPr="00563498">
        <w:rPr>
          <w:rFonts w:ascii="Times New Roman" w:hAnsi="Times New Roman" w:cs="Times New Roman"/>
          <w:i/>
          <w:sz w:val="24"/>
          <w:szCs w:val="24"/>
          <w:lang w:val="sq-AL"/>
        </w:rPr>
        <w:t>33, datë 01.11.2021 të Gjykatës Kushtetuese</w:t>
      </w:r>
      <w:r w:rsidRPr="00563498">
        <w:rPr>
          <w:rFonts w:ascii="Times New Roman" w:eastAsia="Calibri" w:hAnsi="Times New Roman" w:cs="Times New Roman"/>
          <w:bCs/>
          <w:sz w:val="24"/>
          <w:szCs w:val="24"/>
          <w:lang w:val="sq-AL"/>
        </w:rPr>
        <w:t xml:space="preserve">). </w:t>
      </w:r>
      <w:r w:rsidRPr="00563498">
        <w:rPr>
          <w:rFonts w:ascii="Times New Roman" w:eastAsia="Calibri" w:hAnsi="Times New Roman" w:cs="Times New Roman"/>
          <w:color w:val="000000"/>
          <w:sz w:val="24"/>
          <w:szCs w:val="24"/>
          <w:lang w:val="sq-AL"/>
        </w:rPr>
        <w:t>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563498">
        <w:rPr>
          <w:rFonts w:ascii="Times New Roman" w:eastAsia="Calibri" w:hAnsi="Times New Roman" w:cs="Times New Roman"/>
          <w:i/>
          <w:color w:val="000000"/>
          <w:sz w:val="24"/>
          <w:szCs w:val="24"/>
          <w:lang w:val="sq-AL"/>
        </w:rPr>
        <w:t xml:space="preserve">shih vendimet nr. 12, datë 09.03.2021; </w:t>
      </w:r>
      <w:r w:rsidR="003C5C5F" w:rsidRPr="00563498">
        <w:rPr>
          <w:rFonts w:ascii="Times New Roman" w:eastAsia="Calibri" w:hAnsi="Times New Roman" w:cs="Times New Roman"/>
          <w:i/>
          <w:sz w:val="24"/>
          <w:szCs w:val="24"/>
          <w:lang w:val="sq-AL"/>
        </w:rPr>
        <w:t xml:space="preserve">nr. </w:t>
      </w:r>
      <w:r w:rsidRPr="00563498">
        <w:rPr>
          <w:rFonts w:ascii="Times New Roman" w:eastAsia="Calibri" w:hAnsi="Times New Roman" w:cs="Times New Roman"/>
          <w:i/>
          <w:sz w:val="24"/>
          <w:szCs w:val="24"/>
          <w:lang w:val="sq-AL"/>
        </w:rPr>
        <w:t xml:space="preserve">8, datë 19.03.2018; </w:t>
      </w:r>
      <w:r w:rsidRPr="00563498">
        <w:rPr>
          <w:rFonts w:ascii="Times New Roman" w:eastAsia="Calibri" w:hAnsi="Times New Roman" w:cs="Times New Roman"/>
          <w:i/>
          <w:color w:val="000000"/>
          <w:sz w:val="24"/>
          <w:szCs w:val="24"/>
          <w:lang w:val="sq-AL"/>
        </w:rPr>
        <w:t>nr.31, datë 25.05.2015 të Gjykatës Kushtetuese</w:t>
      </w:r>
      <w:r w:rsidRPr="00563498">
        <w:rPr>
          <w:rFonts w:ascii="Times New Roman" w:eastAsia="Calibri" w:hAnsi="Times New Roman" w:cs="Times New Roman"/>
          <w:color w:val="000000"/>
          <w:sz w:val="24"/>
          <w:szCs w:val="24"/>
          <w:lang w:val="sq-AL"/>
        </w:rPr>
        <w:t>).</w:t>
      </w:r>
    </w:p>
    <w:p w:rsidR="00057724" w:rsidRPr="00563498" w:rsidRDefault="00057724" w:rsidP="00B802CF">
      <w:pPr>
        <w:pStyle w:val="ListParagraph"/>
        <w:tabs>
          <w:tab w:val="left" w:pos="720"/>
        </w:tabs>
        <w:spacing w:after="0" w:line="360" w:lineRule="auto"/>
        <w:ind w:left="0"/>
        <w:contextualSpacing w:val="0"/>
        <w:jc w:val="both"/>
        <w:rPr>
          <w:rFonts w:ascii="Times New Roman" w:eastAsia="Calibri" w:hAnsi="Times New Roman" w:cs="Times New Roman"/>
          <w:color w:val="000000"/>
          <w:sz w:val="24"/>
          <w:szCs w:val="24"/>
          <w:lang w:val="sq-AL"/>
        </w:rPr>
      </w:pPr>
      <w:r w:rsidRPr="00563498">
        <w:rPr>
          <w:rFonts w:ascii="Times New Roman" w:hAnsi="Times New Roman" w:cs="Times New Roman"/>
          <w:sz w:val="24"/>
          <w:szCs w:val="24"/>
          <w:lang w:val="sq-AL"/>
        </w:rPr>
        <w:lastRenderedPageBreak/>
        <w:tab/>
        <w:t xml:space="preserve">13. </w:t>
      </w:r>
      <w:r w:rsidRPr="00563498">
        <w:rPr>
          <w:rFonts w:ascii="Times New Roman" w:eastAsia="Calibri" w:hAnsi="Times New Roman" w:cs="Times New Roman"/>
          <w:color w:val="000000"/>
          <w:sz w:val="24"/>
          <w:szCs w:val="24"/>
          <w:lang w:val="sq-AL"/>
        </w:rPr>
        <w:t xml:space="preserve">Në lidhje me pretendimin e kërkuesit për caktimin e ekspertit në kushtet e konfliktit të interesit, në kundërshtim me nenet </w:t>
      </w:r>
      <w:r w:rsidRPr="00563498">
        <w:rPr>
          <w:rFonts w:ascii="Times New Roman" w:eastAsia="Calibri" w:hAnsi="Times New Roman" w:cs="Times New Roman"/>
          <w:sz w:val="24"/>
          <w:szCs w:val="24"/>
          <w:lang w:val="sq-AL"/>
        </w:rPr>
        <w:t>72, pika 4 dhe 224/c të KPC-së (</w:t>
      </w:r>
      <w:r w:rsidR="00534458" w:rsidRPr="00563498">
        <w:rPr>
          <w:rFonts w:ascii="Times New Roman" w:eastAsia="Calibri" w:hAnsi="Times New Roman" w:cs="Times New Roman"/>
          <w:i/>
          <w:sz w:val="24"/>
          <w:szCs w:val="24"/>
          <w:lang w:val="sq-AL"/>
        </w:rPr>
        <w:t xml:space="preserve">paragrafi </w:t>
      </w:r>
      <w:r w:rsidR="007B39F9" w:rsidRPr="00563498">
        <w:rPr>
          <w:rFonts w:ascii="Times New Roman" w:eastAsia="Calibri" w:hAnsi="Times New Roman" w:cs="Times New Roman"/>
          <w:i/>
          <w:sz w:val="24"/>
          <w:szCs w:val="24"/>
          <w:lang w:val="sq-AL"/>
        </w:rPr>
        <w:t>8</w:t>
      </w:r>
      <w:r w:rsidR="00534458" w:rsidRPr="00563498">
        <w:rPr>
          <w:rFonts w:ascii="Times New Roman" w:eastAsia="Calibri" w:hAnsi="Times New Roman" w:cs="Times New Roman"/>
          <w:i/>
          <w:sz w:val="24"/>
          <w:szCs w:val="24"/>
          <w:lang w:val="sq-AL"/>
        </w:rPr>
        <w:t>.1</w:t>
      </w:r>
      <w:r w:rsidRPr="00563498">
        <w:rPr>
          <w:rFonts w:ascii="Times New Roman" w:eastAsia="Calibri" w:hAnsi="Times New Roman" w:cs="Times New Roman"/>
          <w:sz w:val="24"/>
          <w:szCs w:val="24"/>
          <w:lang w:val="sq-AL"/>
        </w:rPr>
        <w:t xml:space="preserve">), Kolegji konstaton se </w:t>
      </w:r>
      <w:r w:rsidRPr="00563498">
        <w:rPr>
          <w:rFonts w:ascii="Times New Roman" w:eastAsia="Calibri" w:hAnsi="Times New Roman" w:cs="Times New Roman"/>
          <w:color w:val="000000"/>
          <w:sz w:val="24"/>
          <w:szCs w:val="24"/>
          <w:lang w:val="sq-AL"/>
        </w:rPr>
        <w:t xml:space="preserve">ky pretendim nuk është ngritur nga ana e tij në ankimin e paraqitur në gjykatën e apelit dhe as në rekursin e paraqitur në Gjykatën e Lartë, duke mos shteruar kështu mjetet për këtë pretendim. Për këtë arsye, ky pretendim i kërkuesit nuk mund të merret në shqyrtim nga kjo Gjykatë. </w:t>
      </w:r>
    </w:p>
    <w:p w:rsidR="00057724" w:rsidRPr="00563498" w:rsidRDefault="00057724" w:rsidP="00B802CF">
      <w:pPr>
        <w:pStyle w:val="ListParagraph"/>
        <w:tabs>
          <w:tab w:val="left" w:pos="720"/>
        </w:tabs>
        <w:spacing w:after="0" w:line="360" w:lineRule="auto"/>
        <w:ind w:left="0"/>
        <w:contextualSpacing w:val="0"/>
        <w:jc w:val="both"/>
        <w:rPr>
          <w:rFonts w:ascii="Times New Roman" w:eastAsia="Calibri" w:hAnsi="Times New Roman" w:cs="Times New Roman"/>
          <w:color w:val="000000"/>
          <w:sz w:val="24"/>
          <w:szCs w:val="24"/>
          <w:lang w:val="sq-AL"/>
        </w:rPr>
      </w:pPr>
      <w:r w:rsidRPr="00563498">
        <w:rPr>
          <w:rFonts w:ascii="Times New Roman" w:eastAsia="Calibri" w:hAnsi="Times New Roman" w:cs="Times New Roman"/>
          <w:color w:val="000000"/>
          <w:sz w:val="24"/>
          <w:szCs w:val="24"/>
          <w:lang w:val="sq-AL"/>
        </w:rPr>
        <w:tab/>
        <w:t xml:space="preserve">14. </w:t>
      </w:r>
      <w:r w:rsidR="00A34DCA" w:rsidRPr="00563498">
        <w:rPr>
          <w:rFonts w:ascii="Times New Roman" w:eastAsia="Calibri" w:hAnsi="Times New Roman" w:cs="Times New Roman"/>
          <w:color w:val="000000"/>
          <w:sz w:val="24"/>
          <w:szCs w:val="24"/>
          <w:lang w:val="sq-AL"/>
        </w:rPr>
        <w:t>P</w:t>
      </w:r>
      <w:r w:rsidR="008C7094" w:rsidRPr="00563498">
        <w:rPr>
          <w:rFonts w:ascii="Times New Roman" w:eastAsia="Calibri" w:hAnsi="Times New Roman" w:cs="Times New Roman"/>
          <w:color w:val="000000"/>
          <w:sz w:val="24"/>
          <w:szCs w:val="24"/>
          <w:lang w:val="sq-AL"/>
        </w:rPr>
        <w:t>ë</w:t>
      </w:r>
      <w:r w:rsidR="00136314" w:rsidRPr="00563498">
        <w:rPr>
          <w:rFonts w:ascii="Times New Roman" w:eastAsia="Calibri" w:hAnsi="Times New Roman" w:cs="Times New Roman"/>
          <w:color w:val="000000"/>
          <w:sz w:val="24"/>
          <w:szCs w:val="24"/>
          <w:lang w:val="sq-AL"/>
        </w:rPr>
        <w:t>r sa u</w:t>
      </w:r>
      <w:r w:rsidR="00A34DCA" w:rsidRPr="00563498">
        <w:rPr>
          <w:rFonts w:ascii="Times New Roman" w:eastAsia="Calibri" w:hAnsi="Times New Roman" w:cs="Times New Roman"/>
          <w:color w:val="000000"/>
          <w:sz w:val="24"/>
          <w:szCs w:val="24"/>
          <w:lang w:val="sq-AL"/>
        </w:rPr>
        <w:t xml:space="preserve"> p</w:t>
      </w:r>
      <w:r w:rsidR="008C7094" w:rsidRPr="00563498">
        <w:rPr>
          <w:rFonts w:ascii="Times New Roman" w:eastAsia="Calibri" w:hAnsi="Times New Roman" w:cs="Times New Roman"/>
          <w:color w:val="000000"/>
          <w:sz w:val="24"/>
          <w:szCs w:val="24"/>
          <w:lang w:val="sq-AL"/>
        </w:rPr>
        <w:t>ë</w:t>
      </w:r>
      <w:r w:rsidR="00A34DCA" w:rsidRPr="00563498">
        <w:rPr>
          <w:rFonts w:ascii="Times New Roman" w:eastAsia="Calibri" w:hAnsi="Times New Roman" w:cs="Times New Roman"/>
          <w:color w:val="000000"/>
          <w:sz w:val="24"/>
          <w:szCs w:val="24"/>
          <w:lang w:val="sq-AL"/>
        </w:rPr>
        <w:t>rket pretendimeve</w:t>
      </w:r>
      <w:r w:rsidR="008C7094" w:rsidRPr="00563498">
        <w:rPr>
          <w:rFonts w:ascii="Times New Roman" w:eastAsia="Calibri" w:hAnsi="Times New Roman" w:cs="Times New Roman"/>
          <w:color w:val="000000"/>
          <w:sz w:val="24"/>
          <w:szCs w:val="24"/>
          <w:lang w:val="sq-AL"/>
        </w:rPr>
        <w:t xml:space="preserve"> të tjera të kërkuesit</w:t>
      </w:r>
      <w:r w:rsidR="00A34DCA" w:rsidRPr="00563498">
        <w:rPr>
          <w:rFonts w:ascii="Times New Roman" w:eastAsia="Calibri" w:hAnsi="Times New Roman" w:cs="Times New Roman"/>
          <w:color w:val="000000"/>
          <w:sz w:val="24"/>
          <w:szCs w:val="24"/>
          <w:lang w:val="sq-AL"/>
        </w:rPr>
        <w:t xml:space="preserve"> </w:t>
      </w:r>
      <w:r w:rsidR="008C7094" w:rsidRPr="00563498">
        <w:rPr>
          <w:rFonts w:ascii="Times New Roman" w:eastAsia="Calibri" w:hAnsi="Times New Roman" w:cs="Times New Roman"/>
          <w:bCs/>
          <w:sz w:val="24"/>
          <w:szCs w:val="24"/>
          <w:lang w:val="sq-AL"/>
        </w:rPr>
        <w:t>se Kolegji Administrativ i Gjykatës së Lartë ka arritur në ko</w:t>
      </w:r>
      <w:r w:rsidR="007212C2" w:rsidRPr="00563498">
        <w:rPr>
          <w:rFonts w:ascii="Times New Roman" w:eastAsia="Calibri" w:hAnsi="Times New Roman" w:cs="Times New Roman"/>
          <w:bCs/>
          <w:sz w:val="24"/>
          <w:szCs w:val="24"/>
          <w:lang w:val="sq-AL"/>
        </w:rPr>
        <w:t xml:space="preserve">nkluzione të gabuara dhe se ka </w:t>
      </w:r>
      <w:r w:rsidR="008C7094" w:rsidRPr="00563498">
        <w:rPr>
          <w:rFonts w:ascii="Times New Roman" w:eastAsia="Calibri" w:hAnsi="Times New Roman" w:cs="Times New Roman"/>
          <w:bCs/>
          <w:sz w:val="24"/>
          <w:szCs w:val="24"/>
          <w:lang w:val="sq-AL"/>
        </w:rPr>
        <w:t xml:space="preserve">keqinterpretuar </w:t>
      </w:r>
      <w:r w:rsidR="008C7094" w:rsidRPr="00563498">
        <w:rPr>
          <w:rFonts w:ascii="Times New Roman" w:eastAsia="Calibri" w:hAnsi="Times New Roman" w:cs="Times New Roman"/>
          <w:sz w:val="24"/>
          <w:szCs w:val="24"/>
          <w:lang w:val="sq-AL"/>
        </w:rPr>
        <w:t>nenet 12 dhe 13 të VKM-së nr. 505/2015 (</w:t>
      </w:r>
      <w:r w:rsidR="00136314" w:rsidRPr="00563498">
        <w:rPr>
          <w:rFonts w:ascii="Times New Roman" w:eastAsia="Calibri" w:hAnsi="Times New Roman" w:cs="Times New Roman"/>
          <w:i/>
          <w:sz w:val="24"/>
          <w:szCs w:val="24"/>
          <w:lang w:val="sq-AL"/>
        </w:rPr>
        <w:t>paragrafët 8.2. dhe 8.3</w:t>
      </w:r>
      <w:r w:rsidR="008C7094" w:rsidRPr="00563498">
        <w:rPr>
          <w:rFonts w:ascii="Times New Roman" w:eastAsia="Calibri" w:hAnsi="Times New Roman" w:cs="Times New Roman"/>
          <w:sz w:val="24"/>
          <w:szCs w:val="24"/>
          <w:lang w:val="sq-AL"/>
        </w:rPr>
        <w:t xml:space="preserve">), </w:t>
      </w:r>
      <w:r w:rsidR="00141078" w:rsidRPr="00563498">
        <w:rPr>
          <w:rFonts w:ascii="Times New Roman" w:hAnsi="Times New Roman" w:cs="Times New Roman"/>
          <w:sz w:val="24"/>
          <w:szCs w:val="24"/>
          <w:lang w:val="sq-AL"/>
        </w:rPr>
        <w:t xml:space="preserve">edhe pse ai i ka shteruar mjetet në dispozicion, duke qenë se janë pretendime që lidhen me procesin e zhvilluar në Gjykatën e Lartë, </w:t>
      </w:r>
      <w:r w:rsidR="008C7094" w:rsidRPr="00563498">
        <w:rPr>
          <w:rFonts w:ascii="Times New Roman" w:eastAsia="Calibri" w:hAnsi="Times New Roman" w:cs="Times New Roman"/>
          <w:color w:val="000000"/>
          <w:sz w:val="24"/>
          <w:szCs w:val="24"/>
          <w:lang w:val="sq-AL"/>
        </w:rPr>
        <w:t xml:space="preserve">nga mënyra se si janë ngritur këto pretendime, Kolegji vëren se ato kanë të bëjnë me mënyrën e interpretimit dhe zbatimit të ligjit. </w:t>
      </w:r>
      <w:r w:rsidRPr="00563498">
        <w:rPr>
          <w:rFonts w:ascii="Times New Roman" w:hAnsi="Times New Roman" w:cs="Times New Roman"/>
          <w:sz w:val="24"/>
          <w:szCs w:val="24"/>
          <w:lang w:val="sq-AL"/>
        </w:rPr>
        <w:t>Gjykata në jurisprudencën e saj ka theksuar se kontrolli kushtetues ndaj vendimeve gjyqësore është i kufizuar vetëm në funksion të mbrojtjes së të drejtave kushtetuese të individit, kurse problemet e interpretimit dhe të zbatimit të ligjit për zgjidhjen e çështjeve konkrete nuk përfshihen në juridiksionin kushtetues nëse nuk shoqërohen me cenimin e këtyre të drejtave (</w:t>
      </w:r>
      <w:r w:rsidRPr="00563498">
        <w:rPr>
          <w:rFonts w:ascii="Times New Roman" w:hAnsi="Times New Roman" w:cs="Times New Roman"/>
          <w:i/>
          <w:iCs/>
          <w:sz w:val="24"/>
          <w:szCs w:val="24"/>
          <w:lang w:val="sq-AL"/>
        </w:rPr>
        <w:t xml:space="preserve">shih vendimet nr. 38, </w:t>
      </w:r>
      <w:r w:rsidR="00136314" w:rsidRPr="00563498">
        <w:rPr>
          <w:rFonts w:ascii="Times New Roman" w:hAnsi="Times New Roman" w:cs="Times New Roman"/>
          <w:i/>
          <w:iCs/>
          <w:sz w:val="24"/>
          <w:szCs w:val="24"/>
          <w:lang w:val="sq-AL"/>
        </w:rPr>
        <w:t xml:space="preserve">datë </w:t>
      </w:r>
      <w:r w:rsidRPr="00563498">
        <w:rPr>
          <w:rFonts w:ascii="Times New Roman" w:hAnsi="Times New Roman" w:cs="Times New Roman"/>
          <w:i/>
          <w:iCs/>
          <w:sz w:val="24"/>
          <w:szCs w:val="24"/>
          <w:lang w:val="sq-AL"/>
        </w:rPr>
        <w:t>02.12.2021</w:t>
      </w:r>
      <w:r w:rsidR="00136314" w:rsidRPr="00563498">
        <w:rPr>
          <w:rFonts w:ascii="Times New Roman" w:hAnsi="Times New Roman" w:cs="Times New Roman"/>
          <w:i/>
          <w:iCs/>
          <w:sz w:val="24"/>
          <w:szCs w:val="24"/>
          <w:lang w:val="sq-AL"/>
        </w:rPr>
        <w:t>;</w:t>
      </w:r>
      <w:r w:rsidRPr="00563498">
        <w:rPr>
          <w:rFonts w:ascii="Times New Roman" w:hAnsi="Times New Roman" w:cs="Times New Roman"/>
          <w:i/>
          <w:iCs/>
          <w:sz w:val="24"/>
          <w:szCs w:val="24"/>
          <w:lang w:val="sq-AL"/>
        </w:rPr>
        <w:t xml:space="preserve"> nr. 6, datë 16.02.2021; nr. 9, datë 26.03.2018</w:t>
      </w:r>
      <w:r w:rsidRPr="00563498">
        <w:rPr>
          <w:rFonts w:ascii="Times New Roman" w:hAnsi="Times New Roman" w:cs="Times New Roman"/>
          <w:bCs/>
          <w:i/>
          <w:iCs/>
          <w:sz w:val="24"/>
          <w:szCs w:val="24"/>
          <w:lang w:val="sq-AL"/>
        </w:rPr>
        <w:t xml:space="preserve"> t</w:t>
      </w:r>
      <w:r w:rsidRPr="00563498">
        <w:rPr>
          <w:rFonts w:ascii="Times New Roman" w:hAnsi="Times New Roman" w:cs="Times New Roman"/>
          <w:i/>
          <w:iCs/>
          <w:sz w:val="24"/>
          <w:szCs w:val="24"/>
          <w:lang w:val="sq-AL"/>
        </w:rPr>
        <w:t>ë Gjykatës Kushtetuese</w:t>
      </w:r>
      <w:r w:rsidRPr="00563498">
        <w:rPr>
          <w:rFonts w:ascii="Times New Roman" w:hAnsi="Times New Roman" w:cs="Times New Roman"/>
          <w:iCs/>
          <w:sz w:val="24"/>
          <w:szCs w:val="24"/>
          <w:lang w:val="sq-AL"/>
        </w:rPr>
        <w:t>)</w:t>
      </w:r>
      <w:r w:rsidRPr="00563498">
        <w:rPr>
          <w:rFonts w:ascii="Times New Roman" w:hAnsi="Times New Roman" w:cs="Times New Roman"/>
          <w:sz w:val="24"/>
          <w:szCs w:val="24"/>
          <w:lang w:val="sq-AL"/>
        </w:rPr>
        <w:t>. Mënyra se si gjykatat e zakonshme kanë përcaktuar faktet dhe kanë interpretuar ligjin e zbatueshëm në zgjidhjen e mosmarrëveshjes në shqyrtim para tyre</w:t>
      </w:r>
      <w:r w:rsidR="00136314" w:rsidRPr="00563498">
        <w:rPr>
          <w:rFonts w:ascii="Times New Roman" w:hAnsi="Times New Roman" w:cs="Times New Roman"/>
          <w:sz w:val="24"/>
          <w:szCs w:val="24"/>
          <w:lang w:val="sq-AL"/>
        </w:rPr>
        <w:t>,</w:t>
      </w:r>
      <w:r w:rsidRPr="00563498">
        <w:rPr>
          <w:rFonts w:ascii="Times New Roman" w:hAnsi="Times New Roman" w:cs="Times New Roman"/>
          <w:sz w:val="24"/>
          <w:szCs w:val="24"/>
          <w:lang w:val="sq-AL"/>
        </w:rPr>
        <w:t xml:space="preserve"> nuk përbën lëndë kushtetuese, me përjashtim të rastit kur kjo mënyrë veprimi e gjykatës së zakonshme provohet se ka cenuar të drejta kushtetuese të individit që vë në lëvizje këtë Gjykatë, në kuptimin që procesi në tërësinë e tij rezulton haptazi i paarsyeshëm ose arbitrar (</w:t>
      </w:r>
      <w:r w:rsidRPr="00563498">
        <w:rPr>
          <w:rFonts w:ascii="Times New Roman" w:hAnsi="Times New Roman" w:cs="Times New Roman"/>
          <w:i/>
          <w:sz w:val="24"/>
          <w:szCs w:val="24"/>
          <w:lang w:val="sq-AL"/>
        </w:rPr>
        <w:t>shih vendimin nr. 38, datë 02.12.2021 të Gjykatës Kushtetuese</w:t>
      </w:r>
      <w:r w:rsidRPr="00563498">
        <w:rPr>
          <w:rFonts w:ascii="Times New Roman" w:hAnsi="Times New Roman" w:cs="Times New Roman"/>
          <w:sz w:val="24"/>
          <w:szCs w:val="24"/>
          <w:lang w:val="sq-AL"/>
        </w:rPr>
        <w:t>).</w:t>
      </w:r>
    </w:p>
    <w:p w:rsidR="00057724" w:rsidRPr="00563498" w:rsidRDefault="00057724" w:rsidP="00B802CF">
      <w:pPr>
        <w:spacing w:after="0" w:line="360" w:lineRule="auto"/>
        <w:ind w:firstLine="720"/>
        <w:jc w:val="both"/>
        <w:rPr>
          <w:rFonts w:ascii="Times New Roman" w:hAnsi="Times New Roman" w:cs="Times New Roman"/>
          <w:iCs/>
          <w:sz w:val="24"/>
          <w:szCs w:val="24"/>
          <w:lang w:val="sq-AL"/>
        </w:rPr>
      </w:pPr>
      <w:r w:rsidRPr="00563498">
        <w:rPr>
          <w:rFonts w:ascii="Times New Roman" w:hAnsi="Times New Roman" w:cs="Times New Roman"/>
          <w:iCs/>
          <w:sz w:val="24"/>
          <w:szCs w:val="24"/>
          <w:lang w:val="sq-AL"/>
        </w:rPr>
        <w:t xml:space="preserve">15. </w:t>
      </w:r>
      <w:r w:rsidR="008C7094" w:rsidRPr="00563498">
        <w:rPr>
          <w:rFonts w:ascii="Times New Roman" w:hAnsi="Times New Roman" w:cs="Times New Roman"/>
          <w:iCs/>
          <w:sz w:val="24"/>
          <w:szCs w:val="24"/>
          <w:lang w:val="sq-AL"/>
        </w:rPr>
        <w:t>Në këtë kuptim</w:t>
      </w:r>
      <w:r w:rsidRPr="00563498">
        <w:rPr>
          <w:rFonts w:ascii="Times New Roman" w:hAnsi="Times New Roman" w:cs="Times New Roman"/>
          <w:iCs/>
          <w:sz w:val="24"/>
          <w:szCs w:val="24"/>
          <w:lang w:val="sq-AL"/>
        </w:rPr>
        <w:t xml:space="preserve">, </w:t>
      </w:r>
      <w:r w:rsidR="008C7094" w:rsidRPr="00563498">
        <w:rPr>
          <w:rFonts w:ascii="Times New Roman" w:hAnsi="Times New Roman" w:cs="Times New Roman"/>
          <w:iCs/>
          <w:sz w:val="24"/>
          <w:szCs w:val="24"/>
          <w:lang w:val="sq-AL"/>
        </w:rPr>
        <w:t>për sa kohë që këto pretendime (</w:t>
      </w:r>
      <w:r w:rsidR="008C7094" w:rsidRPr="00563498">
        <w:rPr>
          <w:rFonts w:ascii="Times New Roman" w:hAnsi="Times New Roman" w:cs="Times New Roman"/>
          <w:i/>
          <w:iCs/>
          <w:sz w:val="24"/>
          <w:szCs w:val="24"/>
          <w:lang w:val="sq-AL"/>
        </w:rPr>
        <w:t>paragrafët 8.2 dhe 8.3</w:t>
      </w:r>
      <w:r w:rsidR="008C7094" w:rsidRPr="00563498">
        <w:rPr>
          <w:rFonts w:ascii="Times New Roman" w:hAnsi="Times New Roman" w:cs="Times New Roman"/>
          <w:iCs/>
          <w:sz w:val="24"/>
          <w:szCs w:val="24"/>
          <w:lang w:val="sq-AL"/>
        </w:rPr>
        <w:t xml:space="preserve">) kanë të bëjnë me zbatimin dhe interpretimin e ligjit, </w:t>
      </w:r>
      <w:r w:rsidRPr="00563498">
        <w:rPr>
          <w:rFonts w:ascii="Times New Roman" w:hAnsi="Times New Roman" w:cs="Times New Roman"/>
          <w:iCs/>
          <w:sz w:val="24"/>
          <w:szCs w:val="24"/>
          <w:lang w:val="sq-AL"/>
        </w:rPr>
        <w:t xml:space="preserve">Kolegji </w:t>
      </w:r>
      <w:r w:rsidR="008C7094" w:rsidRPr="00563498">
        <w:rPr>
          <w:rFonts w:ascii="Times New Roman" w:hAnsi="Times New Roman" w:cs="Times New Roman"/>
          <w:iCs/>
          <w:sz w:val="24"/>
          <w:szCs w:val="24"/>
          <w:lang w:val="sq-AL"/>
        </w:rPr>
        <w:t xml:space="preserve">çmon se kërkuesi nuk legjitimohet </w:t>
      </w:r>
      <w:r w:rsidR="008C7094" w:rsidRPr="00563498">
        <w:rPr>
          <w:rFonts w:ascii="Times New Roman" w:eastAsia="Calibri" w:hAnsi="Times New Roman" w:cs="Times New Roman"/>
          <w:bCs/>
          <w:i/>
          <w:sz w:val="24"/>
          <w:szCs w:val="24"/>
          <w:lang w:val="sq-AL"/>
        </w:rPr>
        <w:t xml:space="preserve">ratione materiae </w:t>
      </w:r>
      <w:r w:rsidR="008C7094" w:rsidRPr="00563498">
        <w:rPr>
          <w:rFonts w:ascii="Times New Roman" w:eastAsia="Calibri" w:hAnsi="Times New Roman" w:cs="Times New Roman"/>
          <w:bCs/>
          <w:sz w:val="24"/>
          <w:szCs w:val="24"/>
          <w:lang w:val="sq-AL"/>
        </w:rPr>
        <w:t xml:space="preserve">për to </w:t>
      </w:r>
      <w:r w:rsidR="00305DC2" w:rsidRPr="00563498">
        <w:rPr>
          <w:rFonts w:ascii="Times New Roman" w:hAnsi="Times New Roman" w:cs="Times New Roman"/>
          <w:iCs/>
          <w:sz w:val="24"/>
          <w:szCs w:val="24"/>
          <w:lang w:val="sq-AL"/>
        </w:rPr>
        <w:t xml:space="preserve">dhe </w:t>
      </w:r>
      <w:r w:rsidR="00136314" w:rsidRPr="00563498">
        <w:rPr>
          <w:rFonts w:ascii="Times New Roman" w:hAnsi="Times New Roman" w:cs="Times New Roman"/>
          <w:iCs/>
          <w:sz w:val="24"/>
          <w:szCs w:val="24"/>
          <w:lang w:val="sq-AL"/>
        </w:rPr>
        <w:t>n</w:t>
      </w:r>
      <w:r w:rsidR="008C7094" w:rsidRPr="00563498">
        <w:rPr>
          <w:rFonts w:ascii="Times New Roman" w:hAnsi="Times New Roman" w:cs="Times New Roman"/>
          <w:iCs/>
          <w:sz w:val="24"/>
          <w:szCs w:val="24"/>
          <w:lang w:val="sq-AL"/>
        </w:rPr>
        <w:t>uk mund të merren në shqyrtim nga kjo Gjykatë</w:t>
      </w:r>
      <w:r w:rsidR="008C7094" w:rsidRPr="00563498">
        <w:rPr>
          <w:rFonts w:ascii="Times New Roman" w:eastAsia="Calibri" w:hAnsi="Times New Roman" w:cs="Times New Roman"/>
          <w:bCs/>
          <w:sz w:val="24"/>
          <w:szCs w:val="24"/>
          <w:lang w:val="sq-AL"/>
        </w:rPr>
        <w:t xml:space="preserve">. </w:t>
      </w:r>
    </w:p>
    <w:p w:rsidR="00057724" w:rsidRPr="00563498" w:rsidRDefault="00057724" w:rsidP="00AB0279">
      <w:pPr>
        <w:spacing w:after="0" w:line="360" w:lineRule="auto"/>
        <w:ind w:firstLine="720"/>
        <w:jc w:val="both"/>
        <w:rPr>
          <w:rFonts w:ascii="Times New Roman" w:eastAsia="Calibri" w:hAnsi="Times New Roman" w:cs="Times New Roman"/>
          <w:color w:val="000000"/>
          <w:sz w:val="24"/>
          <w:szCs w:val="24"/>
          <w:lang w:val="sq-AL"/>
        </w:rPr>
      </w:pPr>
      <w:r w:rsidRPr="00563498">
        <w:rPr>
          <w:rFonts w:ascii="Times New Roman" w:hAnsi="Times New Roman" w:cs="Times New Roman"/>
          <w:iCs/>
          <w:sz w:val="24"/>
          <w:szCs w:val="24"/>
          <w:lang w:val="sq-AL"/>
        </w:rPr>
        <w:t xml:space="preserve">16. </w:t>
      </w:r>
      <w:r w:rsidRPr="00563498">
        <w:rPr>
          <w:rFonts w:ascii="Times New Roman" w:hAnsi="Times New Roman" w:cs="Times New Roman"/>
          <w:sz w:val="24"/>
          <w:szCs w:val="24"/>
          <w:lang w:val="sq-AL"/>
        </w:rPr>
        <w:t>Në lidhje me pretendimin tjetër të kërkuesit, për cenim</w:t>
      </w:r>
      <w:r w:rsidR="00F4111D" w:rsidRPr="00563498">
        <w:rPr>
          <w:rFonts w:ascii="Times New Roman" w:hAnsi="Times New Roman" w:cs="Times New Roman"/>
          <w:sz w:val="24"/>
          <w:szCs w:val="24"/>
          <w:lang w:val="sq-AL"/>
        </w:rPr>
        <w:t xml:space="preserve">in e </w:t>
      </w:r>
      <w:r w:rsidRPr="00563498">
        <w:rPr>
          <w:rFonts w:ascii="Times New Roman" w:hAnsi="Times New Roman" w:cs="Times New Roman"/>
          <w:sz w:val="24"/>
          <w:szCs w:val="24"/>
          <w:lang w:val="sq-AL"/>
        </w:rPr>
        <w:t>së drejtës së mbrojtjes</w:t>
      </w:r>
      <w:r w:rsidR="00766361" w:rsidRPr="00563498">
        <w:rPr>
          <w:rFonts w:ascii="Times New Roman" w:hAnsi="Times New Roman" w:cs="Times New Roman"/>
          <w:sz w:val="24"/>
          <w:szCs w:val="24"/>
          <w:lang w:val="sq-AL"/>
        </w:rPr>
        <w:t xml:space="preserve"> lidhur me të drejtën </w:t>
      </w:r>
      <w:r w:rsidRPr="00563498">
        <w:rPr>
          <w:rFonts w:ascii="Times New Roman" w:hAnsi="Times New Roman" w:cs="Times New Roman"/>
          <w:sz w:val="24"/>
          <w:szCs w:val="24"/>
          <w:lang w:val="sq-AL"/>
        </w:rPr>
        <w:t>për t’u dëgjuar</w:t>
      </w:r>
      <w:r w:rsidR="00C84B7A" w:rsidRPr="00563498">
        <w:rPr>
          <w:rFonts w:ascii="Times New Roman" w:hAnsi="Times New Roman" w:cs="Times New Roman"/>
          <w:sz w:val="24"/>
          <w:szCs w:val="24"/>
          <w:lang w:val="sq-AL"/>
        </w:rPr>
        <w:t xml:space="preserve"> (</w:t>
      </w:r>
      <w:r w:rsidR="00C84B7A" w:rsidRPr="00563498">
        <w:rPr>
          <w:rFonts w:ascii="Times New Roman" w:hAnsi="Times New Roman" w:cs="Times New Roman"/>
          <w:i/>
          <w:sz w:val="24"/>
          <w:szCs w:val="24"/>
          <w:lang w:val="sq-AL"/>
        </w:rPr>
        <w:t>paragrafi 8.4</w:t>
      </w:r>
      <w:r w:rsidR="00C84B7A" w:rsidRPr="00563498">
        <w:rPr>
          <w:rFonts w:ascii="Times New Roman" w:hAnsi="Times New Roman" w:cs="Times New Roman"/>
          <w:sz w:val="24"/>
          <w:szCs w:val="24"/>
          <w:lang w:val="sq-AL"/>
        </w:rPr>
        <w:t>)</w:t>
      </w:r>
      <w:r w:rsidRPr="00563498">
        <w:rPr>
          <w:rFonts w:ascii="Times New Roman" w:hAnsi="Times New Roman" w:cs="Times New Roman"/>
          <w:sz w:val="24"/>
          <w:szCs w:val="24"/>
          <w:lang w:val="sq-AL"/>
        </w:rPr>
        <w:t xml:space="preserve">, </w:t>
      </w:r>
      <w:r w:rsidR="00766361" w:rsidRPr="00563498">
        <w:rPr>
          <w:rFonts w:ascii="Times New Roman" w:hAnsi="Times New Roman" w:cs="Times New Roman"/>
          <w:sz w:val="24"/>
          <w:szCs w:val="24"/>
          <w:lang w:val="sq-AL"/>
        </w:rPr>
        <w:t>Kolegji konstaton se</w:t>
      </w:r>
      <w:r w:rsidRPr="00563498">
        <w:rPr>
          <w:rFonts w:ascii="Times New Roman" w:hAnsi="Times New Roman" w:cs="Times New Roman"/>
          <w:sz w:val="24"/>
          <w:szCs w:val="24"/>
          <w:lang w:val="sq-AL"/>
        </w:rPr>
        <w:t xml:space="preserve"> a</w:t>
      </w:r>
      <w:r w:rsidR="00766361" w:rsidRPr="00563498">
        <w:rPr>
          <w:rFonts w:ascii="Times New Roman" w:hAnsi="Times New Roman" w:cs="Times New Roman"/>
          <w:sz w:val="24"/>
          <w:szCs w:val="24"/>
          <w:lang w:val="sq-AL"/>
        </w:rPr>
        <w:t>i</w:t>
      </w:r>
      <w:r w:rsidRPr="00563498">
        <w:rPr>
          <w:rFonts w:ascii="Times New Roman" w:hAnsi="Times New Roman" w:cs="Times New Roman"/>
          <w:sz w:val="24"/>
          <w:szCs w:val="24"/>
          <w:lang w:val="sq-AL"/>
        </w:rPr>
        <w:t xml:space="preserve"> </w:t>
      </w:r>
      <w:r w:rsidRPr="00563498">
        <w:rPr>
          <w:rFonts w:ascii="Times New Roman" w:hAnsi="Times New Roman" w:cs="Times New Roman"/>
          <w:i/>
          <w:sz w:val="24"/>
          <w:szCs w:val="24"/>
          <w:lang w:val="sq-AL"/>
        </w:rPr>
        <w:t>prima facie</w:t>
      </w:r>
      <w:r w:rsidRPr="00563498">
        <w:rPr>
          <w:rFonts w:ascii="Times New Roman" w:hAnsi="Times New Roman" w:cs="Times New Roman"/>
          <w:sz w:val="24"/>
          <w:szCs w:val="24"/>
          <w:lang w:val="sq-AL"/>
        </w:rPr>
        <w:t xml:space="preserve"> hyn në juridiksionin e Gjykatës, në kuptim të nenit 131, pika 1, shkronja “f”, të Kushtetutës dhe do të shqyrtohen në vijim.</w:t>
      </w:r>
      <w:r w:rsidRPr="00563498">
        <w:rPr>
          <w:rFonts w:ascii="Times New Roman" w:eastAsia="Calibri" w:hAnsi="Times New Roman" w:cs="Times New Roman"/>
          <w:color w:val="000000"/>
          <w:sz w:val="24"/>
          <w:szCs w:val="24"/>
          <w:lang w:val="sq-AL"/>
        </w:rPr>
        <w:tab/>
      </w:r>
    </w:p>
    <w:p w:rsidR="00057724" w:rsidRPr="00563498" w:rsidRDefault="00136314" w:rsidP="00FE71D2">
      <w:pPr>
        <w:pStyle w:val="ListParagraph"/>
        <w:numPr>
          <w:ilvl w:val="0"/>
          <w:numId w:val="11"/>
        </w:numPr>
        <w:tabs>
          <w:tab w:val="left" w:pos="720"/>
        </w:tabs>
        <w:spacing w:after="0" w:line="360" w:lineRule="auto"/>
        <w:jc w:val="both"/>
        <w:rPr>
          <w:rFonts w:ascii="Times New Roman" w:eastAsia="Calibri" w:hAnsi="Times New Roman" w:cs="Times New Roman"/>
          <w:i/>
          <w:color w:val="000000"/>
          <w:sz w:val="24"/>
          <w:szCs w:val="24"/>
          <w:lang w:val="sq-AL"/>
        </w:rPr>
      </w:pPr>
      <w:r w:rsidRPr="00563498">
        <w:rPr>
          <w:rFonts w:ascii="Times New Roman" w:eastAsia="Calibri" w:hAnsi="Times New Roman" w:cs="Times New Roman"/>
          <w:i/>
          <w:color w:val="000000"/>
          <w:sz w:val="24"/>
          <w:szCs w:val="24"/>
          <w:lang w:val="sq-AL"/>
        </w:rPr>
        <w:t>Për cenimin e s</w:t>
      </w:r>
      <w:r w:rsidR="00057724" w:rsidRPr="00563498">
        <w:rPr>
          <w:rFonts w:ascii="Times New Roman" w:eastAsia="Calibri" w:hAnsi="Times New Roman" w:cs="Times New Roman"/>
          <w:i/>
          <w:color w:val="000000"/>
          <w:sz w:val="24"/>
          <w:szCs w:val="24"/>
          <w:lang w:val="sq-AL"/>
        </w:rPr>
        <w:t xml:space="preserve">ë drejtës së mbrojtjes dhe </w:t>
      </w:r>
      <w:r w:rsidR="00340155" w:rsidRPr="00563498">
        <w:rPr>
          <w:rFonts w:ascii="Times New Roman" w:eastAsia="Calibri" w:hAnsi="Times New Roman" w:cs="Times New Roman"/>
          <w:i/>
          <w:color w:val="000000"/>
          <w:sz w:val="24"/>
          <w:szCs w:val="24"/>
          <w:lang w:val="sq-AL"/>
        </w:rPr>
        <w:t xml:space="preserve">të </w:t>
      </w:r>
      <w:r w:rsidRPr="00563498">
        <w:rPr>
          <w:rFonts w:ascii="Times New Roman" w:eastAsia="Calibri" w:hAnsi="Times New Roman" w:cs="Times New Roman"/>
          <w:i/>
          <w:color w:val="000000"/>
          <w:sz w:val="24"/>
          <w:szCs w:val="24"/>
          <w:lang w:val="sq-AL"/>
        </w:rPr>
        <w:t xml:space="preserve">së </w:t>
      </w:r>
      <w:r w:rsidR="00340155" w:rsidRPr="00563498">
        <w:rPr>
          <w:rFonts w:ascii="Times New Roman" w:eastAsia="Calibri" w:hAnsi="Times New Roman" w:cs="Times New Roman"/>
          <w:i/>
          <w:color w:val="000000"/>
          <w:sz w:val="24"/>
          <w:szCs w:val="24"/>
          <w:lang w:val="sq-AL"/>
        </w:rPr>
        <w:t xml:space="preserve">drejtës </w:t>
      </w:r>
      <w:r w:rsidR="00057724" w:rsidRPr="00563498">
        <w:rPr>
          <w:rFonts w:ascii="Times New Roman" w:eastAsia="Calibri" w:hAnsi="Times New Roman" w:cs="Times New Roman"/>
          <w:i/>
          <w:color w:val="000000"/>
          <w:sz w:val="24"/>
          <w:szCs w:val="24"/>
          <w:lang w:val="sq-AL"/>
        </w:rPr>
        <w:t>për t’u dëgjuar</w:t>
      </w:r>
    </w:p>
    <w:p w:rsidR="00057724" w:rsidRPr="00563498" w:rsidRDefault="00057724" w:rsidP="00B802CF">
      <w:pPr>
        <w:tabs>
          <w:tab w:val="left" w:pos="720"/>
          <w:tab w:val="left" w:pos="1080"/>
        </w:tabs>
        <w:spacing w:after="0" w:line="360" w:lineRule="auto"/>
        <w:jc w:val="both"/>
        <w:rPr>
          <w:rFonts w:ascii="Times New Roman" w:eastAsia="Calibri" w:hAnsi="Times New Roman" w:cs="Times New Roman"/>
          <w:color w:val="000000"/>
          <w:sz w:val="24"/>
          <w:szCs w:val="24"/>
          <w:lang w:val="sq-AL"/>
        </w:rPr>
      </w:pPr>
      <w:r w:rsidRPr="00563498">
        <w:rPr>
          <w:rFonts w:ascii="Times New Roman" w:eastAsia="Calibri" w:hAnsi="Times New Roman" w:cs="Times New Roman"/>
          <w:color w:val="000000"/>
          <w:sz w:val="24"/>
          <w:szCs w:val="24"/>
          <w:lang w:val="sq-AL"/>
        </w:rPr>
        <w:tab/>
        <w:t xml:space="preserve">17. Kërkuesi pretendon </w:t>
      </w:r>
      <w:r w:rsidR="000B6116" w:rsidRPr="00563498">
        <w:rPr>
          <w:rFonts w:ascii="Times New Roman" w:eastAsia="Calibri" w:hAnsi="Times New Roman" w:cs="Times New Roman"/>
          <w:color w:val="000000"/>
          <w:sz w:val="24"/>
          <w:szCs w:val="24"/>
          <w:lang w:val="sq-AL"/>
        </w:rPr>
        <w:t xml:space="preserve">se </w:t>
      </w:r>
      <w:r w:rsidRPr="00563498">
        <w:rPr>
          <w:rFonts w:ascii="Times New Roman" w:eastAsia="Calibri" w:hAnsi="Times New Roman" w:cs="Times New Roman"/>
          <w:sz w:val="24"/>
          <w:szCs w:val="24"/>
          <w:lang w:val="sq-AL"/>
        </w:rPr>
        <w:t xml:space="preserve">Kolegji Administrativ i Gjykatës së Lartë nuk i ka lejuar përfaqësuesit </w:t>
      </w:r>
      <w:r w:rsidR="00136314" w:rsidRPr="00563498">
        <w:rPr>
          <w:rFonts w:ascii="Times New Roman" w:eastAsia="Calibri" w:hAnsi="Times New Roman" w:cs="Times New Roman"/>
          <w:sz w:val="24"/>
          <w:szCs w:val="24"/>
          <w:lang w:val="sq-AL"/>
        </w:rPr>
        <w:t>të ISSH-së dhe DRSSHT-së të flasë</w:t>
      </w:r>
      <w:r w:rsidRPr="00563498">
        <w:rPr>
          <w:rFonts w:ascii="Times New Roman" w:eastAsia="Calibri" w:hAnsi="Times New Roman" w:cs="Times New Roman"/>
          <w:sz w:val="24"/>
          <w:szCs w:val="24"/>
          <w:lang w:val="sq-AL"/>
        </w:rPr>
        <w:t xml:space="preserve"> </w:t>
      </w:r>
      <w:r w:rsidR="00823708" w:rsidRPr="00563498">
        <w:rPr>
          <w:rFonts w:ascii="Times New Roman" w:eastAsia="Calibri" w:hAnsi="Times New Roman" w:cs="Times New Roman"/>
          <w:sz w:val="24"/>
          <w:szCs w:val="24"/>
          <w:lang w:val="sq-AL"/>
        </w:rPr>
        <w:t xml:space="preserve">në seancë </w:t>
      </w:r>
      <w:r w:rsidRPr="00563498">
        <w:rPr>
          <w:rFonts w:ascii="Times New Roman" w:eastAsia="Calibri" w:hAnsi="Times New Roman" w:cs="Times New Roman"/>
          <w:sz w:val="24"/>
          <w:szCs w:val="24"/>
          <w:lang w:val="sq-AL"/>
        </w:rPr>
        <w:t xml:space="preserve">me argumentin se përfaqësimi në </w:t>
      </w:r>
      <w:r w:rsidRPr="00563498">
        <w:rPr>
          <w:rFonts w:ascii="Times New Roman" w:eastAsia="Calibri" w:hAnsi="Times New Roman" w:cs="Times New Roman"/>
          <w:sz w:val="24"/>
          <w:szCs w:val="24"/>
          <w:lang w:val="sq-AL"/>
        </w:rPr>
        <w:lastRenderedPageBreak/>
        <w:t>atë gjykatë bëhet me avokat. Sipas tyre</w:t>
      </w:r>
      <w:r w:rsidR="00136314" w:rsidRPr="00563498">
        <w:rPr>
          <w:rFonts w:ascii="Times New Roman" w:eastAsia="Calibri" w:hAnsi="Times New Roman" w:cs="Times New Roman"/>
          <w:sz w:val="24"/>
          <w:szCs w:val="24"/>
          <w:lang w:val="sq-AL"/>
        </w:rPr>
        <w:t>, në rastin konkret, në kohën kur</w:t>
      </w:r>
      <w:r w:rsidRPr="00563498">
        <w:rPr>
          <w:rFonts w:ascii="Times New Roman" w:eastAsia="Calibri" w:hAnsi="Times New Roman" w:cs="Times New Roman"/>
          <w:sz w:val="24"/>
          <w:szCs w:val="24"/>
          <w:lang w:val="sq-AL"/>
        </w:rPr>
        <w:t xml:space="preserve"> është paraqitur kërkesëpadia e paditëses, neni 96/a i KPC-së ende nuk ishte miratuar dhe për këtë arsye duhej të zbatohej shkronja “c” e nenit 96 të KPC-së,</w:t>
      </w:r>
      <w:r w:rsidR="00136314" w:rsidRPr="00563498">
        <w:rPr>
          <w:rFonts w:ascii="Times New Roman" w:eastAsia="Calibri" w:hAnsi="Times New Roman" w:cs="Times New Roman"/>
          <w:sz w:val="24"/>
          <w:szCs w:val="24"/>
          <w:lang w:val="sq-AL"/>
        </w:rPr>
        <w:t xml:space="preserve"> sipas së cilës si përfaqësues t</w:t>
      </w:r>
      <w:r w:rsidRPr="00563498">
        <w:rPr>
          <w:rFonts w:ascii="Times New Roman" w:eastAsia="Calibri" w:hAnsi="Times New Roman" w:cs="Times New Roman"/>
          <w:sz w:val="24"/>
          <w:szCs w:val="24"/>
          <w:lang w:val="sq-AL"/>
        </w:rPr>
        <w:t>ë palëve me prokurë mund të jenë juristët dhe punonjësit e tjerë të autorizuar të institucioneve shtetërore ose personave juridik</w:t>
      </w:r>
      <w:r w:rsidR="00136314" w:rsidRPr="00563498">
        <w:rPr>
          <w:rFonts w:ascii="Times New Roman" w:eastAsia="Calibri" w:hAnsi="Times New Roman" w:cs="Times New Roman"/>
          <w:sz w:val="24"/>
          <w:szCs w:val="24"/>
          <w:lang w:val="sq-AL"/>
        </w:rPr>
        <w:t>ë</w:t>
      </w:r>
      <w:r w:rsidRPr="00563498">
        <w:rPr>
          <w:rFonts w:ascii="Times New Roman" w:eastAsia="Calibri" w:hAnsi="Times New Roman" w:cs="Times New Roman"/>
          <w:sz w:val="24"/>
          <w:szCs w:val="24"/>
          <w:lang w:val="sq-AL"/>
        </w:rPr>
        <w:t>.</w:t>
      </w:r>
    </w:p>
    <w:p w:rsidR="00807DDC" w:rsidRPr="00563498" w:rsidRDefault="00057724" w:rsidP="00807DDC">
      <w:pPr>
        <w:tabs>
          <w:tab w:val="left" w:pos="720"/>
        </w:tabs>
        <w:spacing w:after="0" w:line="360" w:lineRule="auto"/>
        <w:jc w:val="both"/>
        <w:rPr>
          <w:rFonts w:ascii="Times New Roman" w:hAnsi="Times New Roman" w:cs="Times New Roman"/>
          <w:sz w:val="24"/>
          <w:szCs w:val="24"/>
          <w:lang w:val="sq-AL"/>
        </w:rPr>
      </w:pPr>
      <w:r w:rsidRPr="00563498">
        <w:rPr>
          <w:rFonts w:ascii="Times New Roman" w:hAnsi="Times New Roman" w:cs="Times New Roman"/>
          <w:sz w:val="24"/>
          <w:szCs w:val="24"/>
          <w:lang w:val="sq-AL"/>
        </w:rPr>
        <w:tab/>
        <w:t xml:space="preserve">18. </w:t>
      </w:r>
      <w:r w:rsidR="00807DDC" w:rsidRPr="00563498">
        <w:rPr>
          <w:rFonts w:ascii="Times New Roman" w:hAnsi="Times New Roman" w:cs="Times New Roman"/>
          <w:sz w:val="24"/>
          <w:szCs w:val="24"/>
          <w:lang w:val="sq-AL"/>
        </w:rPr>
        <w:t>Gjykata në jurisprudencën e saj të konsoliduar ka theksuar se të drejtat e palëve për të qenë të pranishme dhe për t’u mbrojtur në procesin gjyqësor janë aspekte të rëndësishme të procesit të rregullt në kuptimin kushtetues. Gjykata e ka vlerësuar të drejtën e mbrojtjes si element thelbësor të një procesi të rregullt. Që e drejta e mbrojtjes të jetë reale dhe efektive dhe jo vetëm teorike, ushtrimi i saj nuk duhet të pengohet, por, përkundrazi, gjykatat e juridiksionit t</w:t>
      </w:r>
      <w:r w:rsidR="00807DDC" w:rsidRPr="00563498">
        <w:rPr>
          <w:rFonts w:ascii="Times New Roman" w:hAnsi="Times New Roman" w:cs="Times New Roman"/>
          <w:color w:val="000000"/>
          <w:sz w:val="24"/>
          <w:szCs w:val="24"/>
          <w:lang w:val="sq-AL" w:eastAsia="sq-AL"/>
        </w:rPr>
        <w:t>ë zakonshëm</w:t>
      </w:r>
      <w:r w:rsidR="00807DDC" w:rsidRPr="00563498">
        <w:rPr>
          <w:rFonts w:ascii="Times New Roman" w:hAnsi="Times New Roman" w:cs="Times New Roman"/>
          <w:sz w:val="24"/>
          <w:szCs w:val="24"/>
          <w:lang w:val="sq-AL"/>
        </w:rPr>
        <w:t xml:space="preserve"> duhet të marrin të gjitha masat ligjore që në funksion të procesit të drejtë t’i japin mundësinë individit të bëjë mbrojtje reale, duke respektuar parimin e barazisë së armëve </w:t>
      </w:r>
      <w:r w:rsidR="00807DDC" w:rsidRPr="00563498">
        <w:rPr>
          <w:rFonts w:ascii="Times New Roman" w:hAnsi="Times New Roman" w:cs="Times New Roman"/>
          <w:iCs/>
          <w:sz w:val="24"/>
          <w:szCs w:val="24"/>
          <w:lang w:val="sq-AL"/>
        </w:rPr>
        <w:t>(</w:t>
      </w:r>
      <w:r w:rsidR="00807DDC" w:rsidRPr="00563498">
        <w:rPr>
          <w:rFonts w:ascii="Times New Roman" w:hAnsi="Times New Roman" w:cs="Times New Roman"/>
          <w:i/>
          <w:iCs/>
          <w:sz w:val="24"/>
          <w:szCs w:val="24"/>
          <w:lang w:val="sq-AL"/>
        </w:rPr>
        <w:t xml:space="preserve">shih vendimet nr. 73, datë 14.12.2015; </w:t>
      </w:r>
      <w:r w:rsidR="00807DDC" w:rsidRPr="00563498">
        <w:rPr>
          <w:rFonts w:ascii="Times New Roman" w:hAnsi="Times New Roman" w:cs="Times New Roman"/>
          <w:i/>
          <w:sz w:val="24"/>
          <w:szCs w:val="24"/>
          <w:lang w:val="sq-AL"/>
        </w:rPr>
        <w:t xml:space="preserve">nr. 6, datë 26.02.2013; </w:t>
      </w:r>
      <w:r w:rsidR="00807DDC" w:rsidRPr="00563498">
        <w:rPr>
          <w:rFonts w:ascii="Times New Roman" w:hAnsi="Times New Roman" w:cs="Times New Roman"/>
          <w:i/>
          <w:iCs/>
          <w:sz w:val="24"/>
          <w:szCs w:val="24"/>
          <w:lang w:val="sq-AL"/>
        </w:rPr>
        <w:t>nr. 37, datë 19.09.2011; nr. 25, datë 10.06.2011 të Gjykatës Kushtetuese</w:t>
      </w:r>
      <w:r w:rsidR="00807DDC" w:rsidRPr="00563498">
        <w:rPr>
          <w:rFonts w:ascii="Times New Roman" w:hAnsi="Times New Roman" w:cs="Times New Roman"/>
          <w:iCs/>
          <w:sz w:val="24"/>
          <w:szCs w:val="24"/>
          <w:lang w:val="sq-AL"/>
        </w:rPr>
        <w:t>)</w:t>
      </w:r>
      <w:r w:rsidR="00807DDC" w:rsidRPr="00563498">
        <w:rPr>
          <w:rFonts w:ascii="Times New Roman" w:hAnsi="Times New Roman" w:cs="Times New Roman"/>
          <w:sz w:val="24"/>
          <w:szCs w:val="24"/>
          <w:lang w:val="sq-AL"/>
        </w:rPr>
        <w:t xml:space="preserve">.  </w:t>
      </w:r>
    </w:p>
    <w:p w:rsidR="00807DDC" w:rsidRPr="00563498" w:rsidRDefault="00807DDC" w:rsidP="00807DDC">
      <w:pPr>
        <w:tabs>
          <w:tab w:val="left" w:pos="720"/>
          <w:tab w:val="left" w:pos="1170"/>
        </w:tabs>
        <w:spacing w:after="0" w:line="360" w:lineRule="auto"/>
        <w:jc w:val="both"/>
        <w:rPr>
          <w:rFonts w:ascii="Times New Roman" w:hAnsi="Times New Roman" w:cs="Times New Roman"/>
          <w:bCs/>
          <w:sz w:val="24"/>
          <w:szCs w:val="24"/>
          <w:lang w:val="sq-AL"/>
        </w:rPr>
      </w:pPr>
      <w:r w:rsidRPr="00563498">
        <w:rPr>
          <w:rFonts w:ascii="Times New Roman" w:hAnsi="Times New Roman" w:cs="Times New Roman"/>
          <w:sz w:val="24"/>
          <w:szCs w:val="24"/>
          <w:lang w:val="sq-AL"/>
        </w:rPr>
        <w:tab/>
        <w:t xml:space="preserve">19. Parimi i barazisë së armëve dhe kontradiktoritetit kërkon që secilës palë në gjykim t’i jepet një mundësi e arsyeshme për të paraqitur pretendimet e veta sipas kushteve, të cilat nuk e vendosin në disavantazh ndaj kundërshtarit. Secila palë duhet të ketë mundësi të komentojë </w:t>
      </w:r>
      <w:r w:rsidR="00AB48CB" w:rsidRPr="00563498">
        <w:rPr>
          <w:rFonts w:ascii="Times New Roman" w:hAnsi="Times New Roman" w:cs="Times New Roman"/>
          <w:sz w:val="24"/>
          <w:szCs w:val="24"/>
          <w:lang w:val="sq-AL"/>
        </w:rPr>
        <w:t>për</w:t>
      </w:r>
      <w:r w:rsidRPr="00563498">
        <w:rPr>
          <w:rFonts w:ascii="Times New Roman" w:hAnsi="Times New Roman" w:cs="Times New Roman"/>
          <w:sz w:val="24"/>
          <w:szCs w:val="24"/>
          <w:lang w:val="sq-AL"/>
        </w:rPr>
        <w:t xml:space="preserve"> të gjitha provat ose parashtrimet e paraqitura, me qëllim që të ndikojë në vendimmarrjen e gjykatës (</w:t>
      </w:r>
      <w:r w:rsidR="00AB48CB" w:rsidRPr="00563498">
        <w:rPr>
          <w:rFonts w:ascii="Times New Roman" w:hAnsi="Times New Roman" w:cs="Times New Roman"/>
          <w:i/>
          <w:iCs/>
          <w:sz w:val="24"/>
          <w:szCs w:val="24"/>
          <w:lang w:val="sq-AL"/>
        </w:rPr>
        <w:t xml:space="preserve">shih vendimet nr. 73, datë 14.12.2015; </w:t>
      </w:r>
      <w:r w:rsidRPr="00563498">
        <w:rPr>
          <w:rFonts w:ascii="Times New Roman" w:hAnsi="Times New Roman" w:cs="Times New Roman"/>
          <w:i/>
          <w:sz w:val="24"/>
          <w:szCs w:val="24"/>
          <w:lang w:val="sq-AL"/>
        </w:rPr>
        <w:t>nr. 4, datë 23.02.2011 të Gjykatës Kushtetuese</w:t>
      </w:r>
      <w:r w:rsidRPr="00563498">
        <w:rPr>
          <w:rFonts w:ascii="Times New Roman" w:hAnsi="Times New Roman" w:cs="Times New Roman"/>
          <w:sz w:val="24"/>
          <w:szCs w:val="24"/>
          <w:lang w:val="sq-AL"/>
        </w:rPr>
        <w:t xml:space="preserve">). </w:t>
      </w:r>
    </w:p>
    <w:p w:rsidR="005B010B" w:rsidRPr="00563498" w:rsidRDefault="00807DDC" w:rsidP="005B010B">
      <w:pPr>
        <w:tabs>
          <w:tab w:val="left" w:pos="720"/>
        </w:tabs>
        <w:spacing w:after="0" w:line="360" w:lineRule="auto"/>
        <w:jc w:val="both"/>
        <w:rPr>
          <w:rFonts w:ascii="Times New Roman" w:hAnsi="Times New Roman" w:cs="Times New Roman"/>
          <w:sz w:val="24"/>
          <w:szCs w:val="24"/>
          <w:lang w:val="sq-AL"/>
        </w:rPr>
      </w:pPr>
      <w:r w:rsidRPr="00563498">
        <w:rPr>
          <w:rFonts w:ascii="Times New Roman" w:hAnsi="Times New Roman" w:cs="Times New Roman"/>
          <w:sz w:val="24"/>
          <w:szCs w:val="24"/>
          <w:lang w:val="sq-AL"/>
        </w:rPr>
        <w:tab/>
        <w:t xml:space="preserve">20. </w:t>
      </w:r>
      <w:r w:rsidR="00057724" w:rsidRPr="00563498">
        <w:rPr>
          <w:rFonts w:ascii="Times New Roman" w:hAnsi="Times New Roman" w:cs="Times New Roman"/>
          <w:sz w:val="24"/>
          <w:szCs w:val="24"/>
          <w:lang w:val="sq-AL"/>
        </w:rPr>
        <w:t xml:space="preserve">Gjykata ka theksuar se shqyrtimi i çështjes dhe nxjerrja e konkluzioneve nga gjykata vetëm mbi bazën e provave të paraqitura nga një palë, pa dëgjuar pretendimet e palës tjetër, e bën të cenueshëm procesin gjyqësor. Në këtë mënyrë </w:t>
      </w:r>
      <w:r w:rsidR="00057724" w:rsidRPr="00563498">
        <w:rPr>
          <w:rFonts w:ascii="Times New Roman" w:hAnsi="Times New Roman" w:cs="Times New Roman"/>
          <w:bCs/>
          <w:sz w:val="24"/>
          <w:szCs w:val="24"/>
          <w:lang w:val="sq-AL"/>
        </w:rPr>
        <w:t xml:space="preserve">gjykatës i dalin një sërë detyrash, mes të cilave rëndësi të veçantë merr krijimi i mundësive të barabarta për pjesëmarrjen e palëve ose përfaqësuesve të tyre në proces, si dhe mundësia e deklarimit të tyre për faktet, provat dhe vlerësimet ligjore që janë të lidhura ngushtë me çështjen që shqyrtohet në gjykatë </w:t>
      </w:r>
      <w:r w:rsidR="00057724" w:rsidRPr="00563498">
        <w:rPr>
          <w:rFonts w:ascii="Times New Roman" w:hAnsi="Times New Roman" w:cs="Times New Roman"/>
          <w:sz w:val="24"/>
          <w:szCs w:val="24"/>
          <w:lang w:val="sq-AL"/>
        </w:rPr>
        <w:t>(</w:t>
      </w:r>
      <w:r w:rsidR="00057724" w:rsidRPr="00563498">
        <w:rPr>
          <w:rFonts w:ascii="Times New Roman" w:hAnsi="Times New Roman" w:cs="Times New Roman"/>
          <w:i/>
          <w:sz w:val="24"/>
          <w:szCs w:val="24"/>
          <w:lang w:val="sq-AL"/>
        </w:rPr>
        <w:t>shih vendimet nr. 8, datë 23.02.2021; nr. 34, datë 29.05.2015 të Gjykatës Kushtetuese</w:t>
      </w:r>
      <w:r w:rsidR="00057724" w:rsidRPr="00563498">
        <w:rPr>
          <w:rFonts w:ascii="Times New Roman" w:hAnsi="Times New Roman" w:cs="Times New Roman"/>
          <w:sz w:val="24"/>
          <w:szCs w:val="24"/>
          <w:lang w:val="sq-AL"/>
        </w:rPr>
        <w:t xml:space="preserve">). </w:t>
      </w:r>
    </w:p>
    <w:p w:rsidR="00563498" w:rsidRPr="009D23A0" w:rsidRDefault="005B010B" w:rsidP="00563498">
      <w:pPr>
        <w:tabs>
          <w:tab w:val="left" w:pos="720"/>
        </w:tabs>
        <w:spacing w:after="0" w:line="360" w:lineRule="auto"/>
        <w:jc w:val="both"/>
        <w:rPr>
          <w:rFonts w:ascii="Times New Roman" w:hAnsi="Times New Roman" w:cs="Times New Roman"/>
          <w:sz w:val="24"/>
          <w:szCs w:val="24"/>
          <w:lang w:val="sq-AL"/>
        </w:rPr>
      </w:pPr>
      <w:r w:rsidRPr="00563498">
        <w:rPr>
          <w:rFonts w:ascii="Times New Roman" w:hAnsi="Times New Roman" w:cs="Times New Roman"/>
          <w:sz w:val="24"/>
          <w:szCs w:val="24"/>
          <w:lang w:val="sq-AL"/>
        </w:rPr>
        <w:tab/>
      </w:r>
      <w:r w:rsidRPr="009D23A0">
        <w:rPr>
          <w:rFonts w:ascii="Times New Roman" w:hAnsi="Times New Roman" w:cs="Times New Roman"/>
          <w:sz w:val="24"/>
          <w:szCs w:val="24"/>
          <w:lang w:val="sq-AL"/>
        </w:rPr>
        <w:t xml:space="preserve">21. </w:t>
      </w:r>
      <w:r w:rsidR="00A745AD">
        <w:rPr>
          <w:rFonts w:ascii="Times New Roman" w:hAnsi="Times New Roman" w:cs="Times New Roman"/>
          <w:sz w:val="24"/>
          <w:szCs w:val="24"/>
          <w:lang w:val="sq-AL"/>
        </w:rPr>
        <w:t>Gjith</w:t>
      </w:r>
      <w:r w:rsidR="00563498" w:rsidRPr="009D23A0">
        <w:rPr>
          <w:rFonts w:ascii="Times New Roman" w:hAnsi="Times New Roman" w:cs="Times New Roman"/>
          <w:sz w:val="24"/>
          <w:szCs w:val="24"/>
          <w:lang w:val="sq-AL"/>
        </w:rPr>
        <w:t xml:space="preserve">ashtu, </w:t>
      </w:r>
      <w:r w:rsidR="00E65A3D" w:rsidRPr="009D23A0">
        <w:rPr>
          <w:rFonts w:ascii="Times New Roman" w:hAnsi="Times New Roman" w:cs="Times New Roman"/>
          <w:sz w:val="24"/>
          <w:szCs w:val="24"/>
          <w:lang w:val="sq-AL"/>
        </w:rPr>
        <w:t>Gjykata ka th</w:t>
      </w:r>
      <w:r w:rsidR="00563498" w:rsidRPr="009D23A0">
        <w:rPr>
          <w:rFonts w:ascii="Times New Roman" w:hAnsi="Times New Roman" w:cs="Times New Roman"/>
          <w:sz w:val="24"/>
          <w:szCs w:val="24"/>
          <w:lang w:val="sq-AL"/>
        </w:rPr>
        <w:t xml:space="preserve">eksuar se </w:t>
      </w:r>
      <w:r w:rsidR="009D23A0">
        <w:rPr>
          <w:rFonts w:ascii="Times New Roman" w:hAnsi="Times New Roman" w:cs="Times New Roman"/>
          <w:sz w:val="24"/>
          <w:szCs w:val="24"/>
          <w:lang w:val="sq-AL"/>
        </w:rPr>
        <w:t>n</w:t>
      </w:r>
      <w:r w:rsidR="00563498" w:rsidRPr="009D23A0">
        <w:rPr>
          <w:rFonts w:ascii="Times New Roman" w:hAnsi="Times New Roman" w:cs="Times New Roman"/>
          <w:sz w:val="24"/>
          <w:szCs w:val="24"/>
          <w:lang w:val="sq-AL"/>
        </w:rPr>
        <w:t>isur nga natyra e gjykimit në Gjykatën e Lartë dhe të përqendrimit (kompetencës) të saj në probleme të ligjit, pa ndihmën e një avokati, procesi nuk mund të kontribuojë në mënyrë të dobishme në shqyrtimin e çështjeve juridike që qëndrojnë në thelb të mosmarrëveshjeve (s</w:t>
      </w:r>
      <w:r w:rsidR="00A745AD">
        <w:rPr>
          <w:rFonts w:ascii="Times New Roman" w:hAnsi="Times New Roman" w:cs="Times New Roman"/>
          <w:i/>
          <w:sz w:val="24"/>
          <w:szCs w:val="24"/>
          <w:lang w:val="sq-AL"/>
        </w:rPr>
        <w:t xml:space="preserve">hih vendimin </w:t>
      </w:r>
      <w:r w:rsidR="00563498" w:rsidRPr="009D23A0">
        <w:rPr>
          <w:rFonts w:ascii="Times New Roman" w:hAnsi="Times New Roman" w:cs="Times New Roman"/>
          <w:i/>
          <w:sz w:val="24"/>
          <w:szCs w:val="24"/>
          <w:lang w:val="sq-AL"/>
        </w:rPr>
        <w:t>nr</w:t>
      </w:r>
      <w:r w:rsidR="009D23A0">
        <w:rPr>
          <w:rFonts w:ascii="Times New Roman" w:hAnsi="Times New Roman" w:cs="Times New Roman"/>
          <w:i/>
          <w:sz w:val="24"/>
          <w:szCs w:val="24"/>
          <w:lang w:val="sq-AL"/>
        </w:rPr>
        <w:t>.</w:t>
      </w:r>
      <w:r w:rsidR="00563498" w:rsidRPr="009D23A0">
        <w:rPr>
          <w:rFonts w:ascii="Times New Roman" w:hAnsi="Times New Roman" w:cs="Times New Roman"/>
          <w:i/>
          <w:sz w:val="24"/>
          <w:szCs w:val="24"/>
          <w:lang w:val="sq-AL"/>
        </w:rPr>
        <w:t xml:space="preserve"> 25, datë 30.07.2003</w:t>
      </w:r>
      <w:r w:rsidR="00A745AD" w:rsidRPr="00A745AD">
        <w:rPr>
          <w:rFonts w:ascii="Times New Roman" w:hAnsi="Times New Roman" w:cs="Times New Roman"/>
          <w:i/>
          <w:sz w:val="24"/>
          <w:szCs w:val="24"/>
          <w:lang w:val="sq-AL"/>
        </w:rPr>
        <w:t xml:space="preserve"> </w:t>
      </w:r>
      <w:r w:rsidR="00A745AD">
        <w:rPr>
          <w:rFonts w:ascii="Times New Roman" w:hAnsi="Times New Roman" w:cs="Times New Roman"/>
          <w:i/>
          <w:sz w:val="24"/>
          <w:szCs w:val="24"/>
          <w:lang w:val="sq-AL"/>
        </w:rPr>
        <w:t xml:space="preserve">të </w:t>
      </w:r>
      <w:r w:rsidR="00A745AD" w:rsidRPr="009D23A0">
        <w:rPr>
          <w:rFonts w:ascii="Times New Roman" w:hAnsi="Times New Roman" w:cs="Times New Roman"/>
          <w:i/>
          <w:sz w:val="24"/>
          <w:szCs w:val="24"/>
          <w:lang w:val="sq-AL"/>
        </w:rPr>
        <w:t>Gjykatës Kushtetuese</w:t>
      </w:r>
      <w:r w:rsidR="00563498" w:rsidRPr="009D23A0">
        <w:rPr>
          <w:rFonts w:ascii="Times New Roman" w:hAnsi="Times New Roman" w:cs="Times New Roman"/>
          <w:sz w:val="24"/>
          <w:szCs w:val="24"/>
          <w:lang w:val="sq-AL"/>
        </w:rPr>
        <w:t xml:space="preserve">). </w:t>
      </w:r>
    </w:p>
    <w:p w:rsidR="00641387" w:rsidRPr="00563498" w:rsidRDefault="005B010B" w:rsidP="007963B2">
      <w:pPr>
        <w:tabs>
          <w:tab w:val="left" w:pos="720"/>
          <w:tab w:val="left" w:pos="1170"/>
        </w:tabs>
        <w:spacing w:after="0" w:line="360" w:lineRule="auto"/>
        <w:jc w:val="both"/>
        <w:rPr>
          <w:rFonts w:ascii="Times New Roman" w:hAnsi="Times New Roman" w:cs="Times New Roman"/>
          <w:sz w:val="24"/>
          <w:szCs w:val="24"/>
          <w:lang w:val="sq-AL"/>
        </w:rPr>
      </w:pPr>
      <w:r w:rsidRPr="00563498">
        <w:rPr>
          <w:rFonts w:ascii="Times New Roman" w:hAnsi="Times New Roman" w:cs="Times New Roman"/>
          <w:bCs/>
          <w:sz w:val="24"/>
          <w:szCs w:val="24"/>
          <w:lang w:val="sq-AL"/>
        </w:rPr>
        <w:lastRenderedPageBreak/>
        <w:tab/>
      </w:r>
      <w:r w:rsidR="00966995">
        <w:rPr>
          <w:rFonts w:ascii="Times New Roman" w:hAnsi="Times New Roman" w:cs="Times New Roman"/>
          <w:bCs/>
          <w:sz w:val="24"/>
          <w:szCs w:val="24"/>
          <w:lang w:val="sq-AL"/>
        </w:rPr>
        <w:t>22</w:t>
      </w:r>
      <w:r w:rsidRPr="00563498">
        <w:rPr>
          <w:rFonts w:ascii="Times New Roman" w:hAnsi="Times New Roman" w:cs="Times New Roman"/>
          <w:bCs/>
          <w:sz w:val="24"/>
          <w:szCs w:val="24"/>
          <w:lang w:val="sq-AL"/>
        </w:rPr>
        <w:t xml:space="preserve">. </w:t>
      </w:r>
      <w:r w:rsidR="00807DDC" w:rsidRPr="00563498">
        <w:rPr>
          <w:rFonts w:ascii="Times New Roman" w:hAnsi="Times New Roman" w:cs="Times New Roman"/>
          <w:bCs/>
          <w:sz w:val="24"/>
          <w:szCs w:val="24"/>
          <w:lang w:val="sq-AL"/>
        </w:rPr>
        <w:t>Në kuptim të sa më sipër, duke iu rikthyer çështjes konkrete, Kolegji vëren se rekursi në Gjykatën e Lartë është bërë nga kërkuesi dhe DRSSHT-ja</w:t>
      </w:r>
      <w:r w:rsidR="00807DDC" w:rsidRPr="00563498">
        <w:rPr>
          <w:rFonts w:ascii="Times New Roman" w:hAnsi="Times New Roman" w:cs="Times New Roman"/>
          <w:sz w:val="24"/>
          <w:szCs w:val="24"/>
          <w:lang w:val="sq-AL"/>
        </w:rPr>
        <w:t xml:space="preserve"> </w:t>
      </w:r>
      <w:r w:rsidR="00D72076" w:rsidRPr="00563498">
        <w:rPr>
          <w:rFonts w:ascii="Times New Roman" w:hAnsi="Times New Roman" w:cs="Times New Roman"/>
          <w:sz w:val="24"/>
          <w:szCs w:val="24"/>
          <w:lang w:val="sq-AL"/>
        </w:rPr>
        <w:t>të cilat</w:t>
      </w:r>
      <w:r w:rsidR="00807DDC" w:rsidRPr="00563498">
        <w:rPr>
          <w:rFonts w:ascii="Times New Roman" w:hAnsi="Times New Roman" w:cs="Times New Roman"/>
          <w:sz w:val="24"/>
          <w:szCs w:val="24"/>
          <w:lang w:val="sq-AL"/>
        </w:rPr>
        <w:t xml:space="preserve"> e kanë realizuar të drejtën për t’u mbrojtur dhe për t’u dëgjuar nëpërmjet paraqitjes se pretendimeve </w:t>
      </w:r>
      <w:r w:rsidR="00D72076" w:rsidRPr="00563498">
        <w:rPr>
          <w:rFonts w:ascii="Times New Roman" w:hAnsi="Times New Roman" w:cs="Times New Roman"/>
          <w:sz w:val="24"/>
          <w:szCs w:val="24"/>
          <w:lang w:val="sq-AL"/>
        </w:rPr>
        <w:t xml:space="preserve">të tyre dhe që </w:t>
      </w:r>
      <w:r w:rsidR="00807DDC" w:rsidRPr="00563498">
        <w:rPr>
          <w:rFonts w:ascii="Times New Roman" w:hAnsi="Times New Roman" w:cs="Times New Roman"/>
          <w:sz w:val="24"/>
          <w:szCs w:val="24"/>
          <w:lang w:val="sq-AL"/>
        </w:rPr>
        <w:t>janë pasqyruar në pjesën hyrëse të vendimit të Kolegjit Administrativ të Gjykatës së Lartë, si dhe nëpërmjet paraqitjes së dokumenteve të tjera që lidhen me çështjen.</w:t>
      </w:r>
      <w:r w:rsidR="00CD27FF" w:rsidRPr="00563498">
        <w:rPr>
          <w:rFonts w:ascii="Times New Roman" w:hAnsi="Times New Roman" w:cs="Times New Roman"/>
          <w:sz w:val="24"/>
          <w:szCs w:val="24"/>
          <w:lang w:val="sq-AL"/>
        </w:rPr>
        <w:t xml:space="preserve"> </w:t>
      </w:r>
      <w:r w:rsidR="00807DDC" w:rsidRPr="00563498">
        <w:rPr>
          <w:rFonts w:ascii="Times New Roman" w:hAnsi="Times New Roman" w:cs="Times New Roman"/>
          <w:sz w:val="24"/>
          <w:szCs w:val="24"/>
          <w:lang w:val="sq-AL"/>
        </w:rPr>
        <w:t xml:space="preserve">Në përfundim të gjykimit, </w:t>
      </w:r>
      <w:r w:rsidR="007963B2" w:rsidRPr="00563498">
        <w:rPr>
          <w:rFonts w:ascii="Times New Roman" w:hAnsi="Times New Roman" w:cs="Times New Roman"/>
          <w:sz w:val="24"/>
          <w:szCs w:val="24"/>
          <w:lang w:val="sq-AL"/>
        </w:rPr>
        <w:t>Kolegji Administrativ i Gjykatës së Lartë</w:t>
      </w:r>
      <w:r w:rsidR="00807DDC" w:rsidRPr="00563498">
        <w:rPr>
          <w:rFonts w:ascii="Times New Roman" w:hAnsi="Times New Roman" w:cs="Times New Roman"/>
          <w:sz w:val="24"/>
          <w:szCs w:val="24"/>
          <w:lang w:val="sq-AL"/>
        </w:rPr>
        <w:t>, pasi ka shqyrtuar pretendimet e rekursuesve, i ka vlerësuar ato si të papranueshme, duke vendosur lënien në fuqi të vendimit të Gjykatës Administrative të Apelit, sipas dispozitivit të vendimit.</w:t>
      </w:r>
      <w:r w:rsidR="001D300D" w:rsidRPr="00563498">
        <w:rPr>
          <w:rFonts w:ascii="Times New Roman" w:hAnsi="Times New Roman" w:cs="Times New Roman"/>
          <w:sz w:val="24"/>
          <w:szCs w:val="24"/>
          <w:lang w:val="sq-AL"/>
        </w:rPr>
        <w:t xml:space="preserve"> </w:t>
      </w:r>
    </w:p>
    <w:p w:rsidR="007963B2" w:rsidRPr="00563498" w:rsidRDefault="009D23A0" w:rsidP="007963B2">
      <w:pPr>
        <w:shd w:val="clear" w:color="auto" w:fill="FFFFFF"/>
        <w:spacing w:after="0" w:line="360" w:lineRule="auto"/>
        <w:ind w:firstLine="720"/>
        <w:jc w:val="both"/>
        <w:rPr>
          <w:rFonts w:ascii="Times New Roman" w:hAnsi="Times New Roman" w:cs="Times New Roman"/>
          <w:iCs/>
          <w:color w:val="222222"/>
          <w:sz w:val="24"/>
          <w:szCs w:val="24"/>
          <w:lang w:val="sq-AL"/>
        </w:rPr>
      </w:pPr>
      <w:r>
        <w:rPr>
          <w:rFonts w:ascii="Times New Roman" w:hAnsi="Times New Roman" w:cs="Times New Roman"/>
          <w:sz w:val="24"/>
          <w:szCs w:val="24"/>
          <w:lang w:val="sq-AL"/>
        </w:rPr>
        <w:t>23</w:t>
      </w:r>
      <w:r w:rsidR="007963B2" w:rsidRPr="00563498">
        <w:rPr>
          <w:rFonts w:ascii="Times New Roman" w:hAnsi="Times New Roman" w:cs="Times New Roman"/>
          <w:sz w:val="24"/>
          <w:szCs w:val="24"/>
          <w:lang w:val="sq-AL"/>
        </w:rPr>
        <w:t xml:space="preserve">. Nga ana tjetër, për sa i përket argumentit tjetër të kërkuesit për zbatimin në kohë të ligjit procedural, </w:t>
      </w:r>
      <w:r w:rsidR="007963B2" w:rsidRPr="00563498">
        <w:rPr>
          <w:rFonts w:ascii="Times New Roman" w:hAnsi="Times New Roman" w:cs="Times New Roman"/>
          <w:color w:val="222222"/>
          <w:sz w:val="24"/>
          <w:szCs w:val="24"/>
          <w:lang w:val="sq-AL"/>
        </w:rPr>
        <w:t xml:space="preserve">Gjykata në mënyrë të vazhdueshme ka theksuar se përveç rasteve kur parashikohet shprehimisht ndryshe, ligji procedural zbatohet menjëherë në përputhje me parimin </w:t>
      </w:r>
      <w:r w:rsidR="007963B2" w:rsidRPr="00563498">
        <w:rPr>
          <w:rFonts w:ascii="Times New Roman" w:hAnsi="Times New Roman" w:cs="Times New Roman"/>
          <w:i/>
          <w:iCs/>
          <w:color w:val="222222"/>
          <w:sz w:val="24"/>
          <w:szCs w:val="24"/>
          <w:lang w:val="sq-AL"/>
        </w:rPr>
        <w:t>tempus regit processum</w:t>
      </w:r>
      <w:r w:rsidR="007963B2" w:rsidRPr="00563498">
        <w:rPr>
          <w:rFonts w:ascii="Times New Roman" w:hAnsi="Times New Roman" w:cs="Times New Roman"/>
          <w:color w:val="222222"/>
          <w:sz w:val="24"/>
          <w:szCs w:val="24"/>
          <w:lang w:val="sq-AL"/>
        </w:rPr>
        <w:t>. Në të drejtën procedurale, ndryshe nga ajo materiale, ligji i ri ka fuqi edhe për çështjet që janë në gjykim, me përjashtim të rastit kur vetë ai shprehet ndryshe </w:t>
      </w:r>
      <w:r w:rsidR="007963B2" w:rsidRPr="00563498">
        <w:rPr>
          <w:rFonts w:ascii="Times New Roman" w:hAnsi="Times New Roman" w:cs="Times New Roman"/>
          <w:iCs/>
          <w:color w:val="222222"/>
          <w:sz w:val="24"/>
          <w:szCs w:val="24"/>
          <w:lang w:val="sq-AL"/>
        </w:rPr>
        <w:t>(</w:t>
      </w:r>
      <w:r w:rsidR="00955A49" w:rsidRPr="00563498">
        <w:rPr>
          <w:rFonts w:ascii="Times New Roman" w:hAnsi="Times New Roman" w:cs="Times New Roman"/>
          <w:i/>
          <w:iCs/>
          <w:color w:val="222222"/>
          <w:sz w:val="24"/>
          <w:szCs w:val="24"/>
          <w:lang w:val="sq-AL"/>
        </w:rPr>
        <w:t xml:space="preserve">shih vendimet nr. 1, datë 26.01.2021; nr. </w:t>
      </w:r>
      <w:r w:rsidR="007963B2" w:rsidRPr="00563498">
        <w:rPr>
          <w:rFonts w:ascii="Times New Roman" w:hAnsi="Times New Roman" w:cs="Times New Roman"/>
          <w:i/>
          <w:iCs/>
          <w:color w:val="222222"/>
          <w:sz w:val="24"/>
          <w:szCs w:val="24"/>
          <w:lang w:val="sq-AL"/>
        </w:rPr>
        <w:t>3, datë 11.02</w:t>
      </w:r>
      <w:r w:rsidR="00955A49" w:rsidRPr="00563498">
        <w:rPr>
          <w:rFonts w:ascii="Times New Roman" w:hAnsi="Times New Roman" w:cs="Times New Roman"/>
          <w:i/>
          <w:iCs/>
          <w:color w:val="222222"/>
          <w:sz w:val="24"/>
          <w:szCs w:val="24"/>
          <w:lang w:val="sq-AL"/>
        </w:rPr>
        <w:t xml:space="preserve">.2021; nr. 11, datë 23.04.2009 </w:t>
      </w:r>
      <w:r w:rsidR="007963B2" w:rsidRPr="00563498">
        <w:rPr>
          <w:rFonts w:ascii="Times New Roman" w:hAnsi="Times New Roman" w:cs="Times New Roman"/>
          <w:i/>
          <w:iCs/>
          <w:color w:val="222222"/>
          <w:sz w:val="24"/>
          <w:szCs w:val="24"/>
          <w:lang w:val="sq-AL"/>
        </w:rPr>
        <w:t>të Gjykatës Kushtetuese</w:t>
      </w:r>
      <w:r w:rsidR="007963B2" w:rsidRPr="00563498">
        <w:rPr>
          <w:rFonts w:ascii="Times New Roman" w:hAnsi="Times New Roman" w:cs="Times New Roman"/>
          <w:iCs/>
          <w:color w:val="222222"/>
          <w:sz w:val="24"/>
          <w:szCs w:val="24"/>
          <w:lang w:val="sq-AL"/>
        </w:rPr>
        <w:t xml:space="preserve">). </w:t>
      </w:r>
    </w:p>
    <w:p w:rsidR="00057724" w:rsidRPr="00563498" w:rsidRDefault="00502E3F" w:rsidP="00CB4838">
      <w:pPr>
        <w:pStyle w:val="CommentText"/>
        <w:spacing w:after="0" w:line="360" w:lineRule="auto"/>
        <w:ind w:firstLine="720"/>
        <w:jc w:val="both"/>
        <w:rPr>
          <w:rFonts w:ascii="Times New Roman" w:hAnsi="Times New Roman" w:cs="Times New Roman"/>
          <w:sz w:val="24"/>
          <w:szCs w:val="24"/>
          <w:lang w:val="sq-AL"/>
        </w:rPr>
      </w:pPr>
      <w:r w:rsidRPr="00563498">
        <w:rPr>
          <w:rFonts w:ascii="Times New Roman" w:eastAsia="Calibri" w:hAnsi="Times New Roman" w:cs="Times New Roman"/>
          <w:sz w:val="24"/>
          <w:szCs w:val="24"/>
          <w:lang w:val="sq-AL"/>
        </w:rPr>
        <w:t>2</w:t>
      </w:r>
      <w:r w:rsidR="009D23A0">
        <w:rPr>
          <w:rFonts w:ascii="Times New Roman" w:eastAsia="Calibri" w:hAnsi="Times New Roman" w:cs="Times New Roman"/>
          <w:sz w:val="24"/>
          <w:szCs w:val="24"/>
          <w:lang w:val="sq-AL"/>
        </w:rPr>
        <w:t>4</w:t>
      </w:r>
      <w:r w:rsidR="007963B2" w:rsidRPr="00563498">
        <w:rPr>
          <w:rFonts w:ascii="Times New Roman" w:eastAsia="Calibri" w:hAnsi="Times New Roman" w:cs="Times New Roman"/>
          <w:sz w:val="24"/>
          <w:szCs w:val="24"/>
          <w:lang w:val="sq-AL"/>
        </w:rPr>
        <w:t>. Në rastin konkret</w:t>
      </w:r>
      <w:r w:rsidR="008D7127" w:rsidRPr="00563498">
        <w:rPr>
          <w:rFonts w:ascii="Times New Roman" w:eastAsia="Calibri" w:hAnsi="Times New Roman" w:cs="Times New Roman"/>
          <w:sz w:val="24"/>
          <w:szCs w:val="24"/>
          <w:lang w:val="sq-AL"/>
        </w:rPr>
        <w:t xml:space="preserve">, referuar procesverbalit të seancës gjyqësore, Kolegji vëren se kërkuesi në Gjykatën e Lartë nuk është </w:t>
      </w:r>
      <w:r w:rsidR="00955A49" w:rsidRPr="00563498">
        <w:rPr>
          <w:rFonts w:ascii="Times New Roman" w:eastAsia="Calibri" w:hAnsi="Times New Roman" w:cs="Times New Roman"/>
          <w:sz w:val="24"/>
          <w:szCs w:val="24"/>
          <w:lang w:val="sq-AL"/>
        </w:rPr>
        <w:t>përfaqësuar nga avokat ose nga A</w:t>
      </w:r>
      <w:r w:rsidR="008D7127" w:rsidRPr="00563498">
        <w:rPr>
          <w:rFonts w:ascii="Times New Roman" w:eastAsia="Calibri" w:hAnsi="Times New Roman" w:cs="Times New Roman"/>
          <w:sz w:val="24"/>
          <w:szCs w:val="24"/>
          <w:lang w:val="sq-AL"/>
        </w:rPr>
        <w:t xml:space="preserve">vokatura e </w:t>
      </w:r>
      <w:r w:rsidR="00955A49" w:rsidRPr="00563498">
        <w:rPr>
          <w:rFonts w:ascii="Times New Roman" w:eastAsia="Calibri" w:hAnsi="Times New Roman" w:cs="Times New Roman"/>
          <w:sz w:val="24"/>
          <w:szCs w:val="24"/>
          <w:lang w:val="sq-AL"/>
        </w:rPr>
        <w:t>S</w:t>
      </w:r>
      <w:r w:rsidR="008D7127" w:rsidRPr="00563498">
        <w:rPr>
          <w:rFonts w:ascii="Times New Roman" w:eastAsia="Calibri" w:hAnsi="Times New Roman" w:cs="Times New Roman"/>
          <w:sz w:val="24"/>
          <w:szCs w:val="24"/>
          <w:lang w:val="sq-AL"/>
        </w:rPr>
        <w:t xml:space="preserve">htetit, siç përcakton neni 96/a i KPC-së, </w:t>
      </w:r>
      <w:r w:rsidR="008B3FDE">
        <w:rPr>
          <w:rFonts w:ascii="Times New Roman" w:eastAsia="Calibri" w:hAnsi="Times New Roman" w:cs="Times New Roman"/>
          <w:sz w:val="24"/>
          <w:szCs w:val="24"/>
          <w:lang w:val="sq-AL"/>
        </w:rPr>
        <w:t>edhe pse i pranishëm ishte</w:t>
      </w:r>
      <w:r w:rsidR="008D7127" w:rsidRPr="00563498">
        <w:rPr>
          <w:rFonts w:ascii="Times New Roman" w:eastAsia="Calibri" w:hAnsi="Times New Roman" w:cs="Times New Roman"/>
          <w:sz w:val="24"/>
          <w:szCs w:val="24"/>
          <w:lang w:val="sq-AL"/>
        </w:rPr>
        <w:t xml:space="preserve"> punonjësi i autorizuar prej tij. </w:t>
      </w:r>
      <w:r w:rsidR="00FE0607" w:rsidRPr="00563498">
        <w:rPr>
          <w:rFonts w:ascii="Times New Roman" w:hAnsi="Times New Roman" w:cs="Times New Roman"/>
          <w:iCs/>
          <w:color w:val="222222"/>
          <w:sz w:val="24"/>
          <w:szCs w:val="24"/>
          <w:lang w:val="sq-AL"/>
        </w:rPr>
        <w:t>Sipas nenit</w:t>
      </w:r>
      <w:r w:rsidR="00057724" w:rsidRPr="00563498">
        <w:rPr>
          <w:rFonts w:ascii="Times New Roman" w:hAnsi="Times New Roman" w:cs="Times New Roman"/>
          <w:sz w:val="24"/>
          <w:szCs w:val="24"/>
          <w:lang w:val="sq-AL"/>
        </w:rPr>
        <w:t xml:space="preserve"> 96 të KPC-së </w:t>
      </w:r>
      <w:r w:rsidR="00955A49" w:rsidRPr="00563498">
        <w:rPr>
          <w:rFonts w:ascii="Times New Roman" w:eastAsia="Calibri" w:hAnsi="Times New Roman" w:cs="Times New Roman"/>
          <w:sz w:val="24"/>
          <w:szCs w:val="24"/>
          <w:lang w:val="sq-AL"/>
        </w:rPr>
        <w:t>si përfaqësues t</w:t>
      </w:r>
      <w:r w:rsidR="00057724" w:rsidRPr="00563498">
        <w:rPr>
          <w:rFonts w:ascii="Times New Roman" w:eastAsia="Calibri" w:hAnsi="Times New Roman" w:cs="Times New Roman"/>
          <w:sz w:val="24"/>
          <w:szCs w:val="24"/>
          <w:lang w:val="sq-AL"/>
        </w:rPr>
        <w:t>ë palëve me prokurë mund të jenë juristët dhe punonjësit e tjerë të autorizuar të institucioneve shtetërore ose personave juridik</w:t>
      </w:r>
      <w:r w:rsidR="00955A49" w:rsidRPr="00563498">
        <w:rPr>
          <w:rFonts w:ascii="Times New Roman" w:eastAsia="Calibri" w:hAnsi="Times New Roman" w:cs="Times New Roman"/>
          <w:sz w:val="24"/>
          <w:szCs w:val="24"/>
          <w:lang w:val="sq-AL"/>
        </w:rPr>
        <w:t>ë</w:t>
      </w:r>
      <w:r w:rsidR="00057724" w:rsidRPr="00563498">
        <w:rPr>
          <w:rFonts w:ascii="Times New Roman" w:eastAsia="Calibri" w:hAnsi="Times New Roman" w:cs="Times New Roman"/>
          <w:sz w:val="24"/>
          <w:szCs w:val="24"/>
          <w:lang w:val="sq-AL"/>
        </w:rPr>
        <w:t>. Ndërsa, sipas nenit 96/a</w:t>
      </w:r>
      <w:r w:rsidR="00955A49" w:rsidRPr="00563498">
        <w:rPr>
          <w:rFonts w:ascii="Times New Roman" w:eastAsia="Calibri" w:hAnsi="Times New Roman" w:cs="Times New Roman"/>
          <w:sz w:val="24"/>
          <w:szCs w:val="24"/>
          <w:lang w:val="sq-AL"/>
        </w:rPr>
        <w:t xml:space="preserve"> të KPC-së</w:t>
      </w:r>
      <w:r w:rsidR="00057724" w:rsidRPr="00563498">
        <w:rPr>
          <w:rFonts w:ascii="Times New Roman" w:eastAsia="Calibri" w:hAnsi="Times New Roman" w:cs="Times New Roman"/>
          <w:sz w:val="24"/>
          <w:szCs w:val="24"/>
          <w:lang w:val="sq-AL"/>
        </w:rPr>
        <w:t xml:space="preserve">, të miratuar me ndryshimet ligjore të vitit 2017, </w:t>
      </w:r>
      <w:r w:rsidR="00057724" w:rsidRPr="00563498">
        <w:rPr>
          <w:rFonts w:ascii="Times New Roman" w:eastAsia="Calibri" w:hAnsi="Times New Roman" w:cs="Times New Roman"/>
          <w:i/>
          <w:sz w:val="24"/>
          <w:szCs w:val="24"/>
          <w:lang w:val="sq-AL"/>
        </w:rPr>
        <w:t>përfaqësimi i palëve në Gjykatën e Lartë bëhet vetëm nga avokat</w:t>
      </w:r>
      <w:r w:rsidR="00057724" w:rsidRPr="00563498">
        <w:rPr>
          <w:rFonts w:ascii="Times New Roman" w:eastAsia="Calibri" w:hAnsi="Times New Roman" w:cs="Times New Roman"/>
          <w:sz w:val="24"/>
          <w:szCs w:val="24"/>
          <w:lang w:val="sq-AL"/>
        </w:rPr>
        <w:t xml:space="preserve"> ose nga Avokatura e Shtetit. </w:t>
      </w:r>
      <w:r w:rsidR="00EF2644" w:rsidRPr="00563498">
        <w:rPr>
          <w:rFonts w:ascii="Times New Roman" w:hAnsi="Times New Roman" w:cs="Times New Roman"/>
          <w:sz w:val="24"/>
          <w:szCs w:val="24"/>
          <w:lang w:val="sq-AL"/>
        </w:rPr>
        <w:t xml:space="preserve">Për rrjedhojë, </w:t>
      </w:r>
      <w:r w:rsidR="00CB4838" w:rsidRPr="00563498">
        <w:rPr>
          <w:rFonts w:ascii="Times New Roman" w:hAnsi="Times New Roman" w:cs="Times New Roman"/>
          <w:sz w:val="24"/>
          <w:szCs w:val="24"/>
          <w:lang w:val="sq-AL"/>
        </w:rPr>
        <w:t>Kolegji</w:t>
      </w:r>
      <w:r w:rsidR="00CB4838" w:rsidRPr="00563498">
        <w:rPr>
          <w:rStyle w:val="CommentReference"/>
          <w:rFonts w:ascii="Times New Roman" w:hAnsi="Times New Roman" w:cs="Times New Roman"/>
          <w:sz w:val="24"/>
          <w:szCs w:val="24"/>
          <w:lang w:val="sq-AL"/>
        </w:rPr>
        <w:t xml:space="preserve"> k</w:t>
      </w:r>
      <w:r w:rsidR="00CB4838" w:rsidRPr="00563498">
        <w:rPr>
          <w:rFonts w:ascii="Times New Roman" w:hAnsi="Times New Roman" w:cs="Times New Roman"/>
          <w:sz w:val="24"/>
          <w:szCs w:val="24"/>
          <w:lang w:val="sq-AL"/>
        </w:rPr>
        <w:t xml:space="preserve">onstaton se kërkuesi në atë gjykim e ka realizuar të drejtën e mbrojtjes nëpërmjet paraqitjes së parashtrimeve të tij me shkrim në lidhje me shqyrtimin e çështjes përpara Kolegjit Administrativ të Gjykatës së Lartë. Në vlerësimin e këtij Kolegji, fakti që kërkuesi nuk është lejuar të shprehet ne seancë nga një përfaqësues jashtë kategorive të përcaktuara nga neni 96/a i KPC-së, nuk përbën cenim të së drejtës për proces te rregullt ligjor nga ana e </w:t>
      </w:r>
      <w:r w:rsidR="00CB4838" w:rsidRPr="00563498">
        <w:rPr>
          <w:rStyle w:val="Bodytext3"/>
          <w:rFonts w:ascii="Times New Roman" w:hAnsi="Times New Roman" w:cs="Times New Roman"/>
          <w:i w:val="0"/>
          <w:sz w:val="24"/>
          <w:szCs w:val="24"/>
          <w:lang w:val="sq-AL"/>
        </w:rPr>
        <w:t>Kolegjit Administrativ të Gjykatës së Lartë, në aspektet e së drejtës</w:t>
      </w:r>
      <w:r w:rsidR="00CB4838" w:rsidRPr="00563498">
        <w:rPr>
          <w:rFonts w:ascii="Times New Roman" w:hAnsi="Times New Roman" w:cs="Times New Roman"/>
          <w:sz w:val="24"/>
          <w:szCs w:val="24"/>
          <w:lang w:val="sq-AL"/>
        </w:rPr>
        <w:t xml:space="preserve"> për t’u dëgjuar dhe asaj për t`u mbrojtur efektivisht.</w:t>
      </w:r>
    </w:p>
    <w:p w:rsidR="00C03ADD" w:rsidRPr="00563498" w:rsidRDefault="00B60E4E" w:rsidP="00AB0279">
      <w:pPr>
        <w:shd w:val="clear" w:color="auto" w:fill="FFFFFF"/>
        <w:spacing w:after="0" w:line="360" w:lineRule="auto"/>
        <w:ind w:firstLine="720"/>
        <w:jc w:val="both"/>
        <w:rPr>
          <w:rFonts w:ascii="Times New Roman" w:eastAsia="Calibri" w:hAnsi="Times New Roman" w:cs="Times New Roman"/>
          <w:sz w:val="24"/>
          <w:szCs w:val="24"/>
          <w:lang w:val="sq-AL" w:eastAsia="sq-AL"/>
        </w:rPr>
      </w:pPr>
      <w:r w:rsidRPr="00563498">
        <w:rPr>
          <w:rFonts w:ascii="Times New Roman" w:hAnsi="Times New Roman" w:cs="Times New Roman"/>
          <w:sz w:val="24"/>
          <w:szCs w:val="24"/>
          <w:lang w:val="sq-AL"/>
        </w:rPr>
        <w:t>2</w:t>
      </w:r>
      <w:r w:rsidR="009D23A0">
        <w:rPr>
          <w:rFonts w:ascii="Times New Roman" w:hAnsi="Times New Roman" w:cs="Times New Roman"/>
          <w:sz w:val="24"/>
          <w:szCs w:val="24"/>
          <w:lang w:val="sq-AL"/>
        </w:rPr>
        <w:t>5</w:t>
      </w:r>
      <w:r w:rsidR="00057724" w:rsidRPr="00563498">
        <w:rPr>
          <w:rFonts w:ascii="Times New Roman" w:hAnsi="Times New Roman" w:cs="Times New Roman"/>
          <w:sz w:val="24"/>
          <w:szCs w:val="24"/>
          <w:lang w:val="sq-AL"/>
        </w:rPr>
        <w:t xml:space="preserve">. Në përfundim, </w:t>
      </w:r>
      <w:r w:rsidR="0052238B" w:rsidRPr="00563498">
        <w:rPr>
          <w:rFonts w:ascii="Times New Roman" w:hAnsi="Times New Roman" w:cs="Times New Roman"/>
          <w:sz w:val="24"/>
          <w:szCs w:val="24"/>
          <w:lang w:val="sq-AL"/>
        </w:rPr>
        <w:t>Kolegji vlerë</w:t>
      </w:r>
      <w:r w:rsidR="00340155" w:rsidRPr="00563498">
        <w:rPr>
          <w:rFonts w:ascii="Times New Roman" w:hAnsi="Times New Roman" w:cs="Times New Roman"/>
          <w:sz w:val="24"/>
          <w:szCs w:val="24"/>
          <w:lang w:val="sq-AL"/>
        </w:rPr>
        <w:t xml:space="preserve">son </w:t>
      </w:r>
      <w:r w:rsidR="00955A49" w:rsidRPr="00563498">
        <w:rPr>
          <w:rFonts w:ascii="Times New Roman" w:hAnsi="Times New Roman" w:cs="Times New Roman"/>
          <w:sz w:val="24"/>
          <w:szCs w:val="24"/>
          <w:lang w:val="sq-AL"/>
        </w:rPr>
        <w:t xml:space="preserve">se </w:t>
      </w:r>
      <w:r w:rsidR="00057724" w:rsidRPr="00563498">
        <w:rPr>
          <w:rFonts w:ascii="Times New Roman" w:hAnsi="Times New Roman" w:cs="Times New Roman"/>
          <w:sz w:val="24"/>
          <w:szCs w:val="24"/>
          <w:lang w:val="sq-AL"/>
        </w:rPr>
        <w:t xml:space="preserve">pretendimet e kërkuesit janë të pabazuara dhe kërkesa e tij nuk </w:t>
      </w:r>
      <w:r w:rsidR="00340155" w:rsidRPr="00563498">
        <w:rPr>
          <w:rFonts w:ascii="Times New Roman" w:hAnsi="Times New Roman" w:cs="Times New Roman"/>
          <w:sz w:val="24"/>
          <w:szCs w:val="24"/>
          <w:lang w:val="sq-AL"/>
        </w:rPr>
        <w:t xml:space="preserve">mund </w:t>
      </w:r>
      <w:r w:rsidR="00057724" w:rsidRPr="00563498">
        <w:rPr>
          <w:rFonts w:ascii="Times New Roman" w:hAnsi="Times New Roman" w:cs="Times New Roman"/>
          <w:sz w:val="24"/>
          <w:szCs w:val="24"/>
          <w:lang w:val="sq-AL"/>
        </w:rPr>
        <w:t xml:space="preserve">të kalojë për shqyrtim në seance plenare. </w:t>
      </w:r>
    </w:p>
    <w:p w:rsidR="00C03ADD" w:rsidRPr="00563498" w:rsidRDefault="00C03ADD" w:rsidP="00B802CF">
      <w:pPr>
        <w:tabs>
          <w:tab w:val="left" w:pos="720"/>
          <w:tab w:val="left" w:pos="851"/>
          <w:tab w:val="left" w:pos="1260"/>
        </w:tabs>
        <w:spacing w:after="0" w:line="360" w:lineRule="auto"/>
        <w:jc w:val="center"/>
        <w:rPr>
          <w:rFonts w:ascii="Times New Roman" w:eastAsia="Times New Roman" w:hAnsi="Times New Roman" w:cs="Times New Roman"/>
          <w:sz w:val="24"/>
          <w:szCs w:val="24"/>
          <w:lang w:val="sq-AL"/>
        </w:rPr>
      </w:pPr>
      <w:r w:rsidRPr="00563498">
        <w:rPr>
          <w:rFonts w:ascii="Times New Roman" w:eastAsia="Times New Roman" w:hAnsi="Times New Roman" w:cs="Times New Roman"/>
          <w:b/>
          <w:sz w:val="24"/>
          <w:szCs w:val="24"/>
          <w:lang w:val="sq-AL"/>
        </w:rPr>
        <w:t>PËR KËTO ARSYE,</w:t>
      </w:r>
    </w:p>
    <w:p w:rsidR="00C03ADD" w:rsidRPr="00563498" w:rsidRDefault="00C03ADD" w:rsidP="00B802CF">
      <w:pPr>
        <w:tabs>
          <w:tab w:val="left" w:pos="851"/>
        </w:tabs>
        <w:spacing w:after="0" w:line="360" w:lineRule="auto"/>
        <w:ind w:firstLine="720"/>
        <w:jc w:val="both"/>
        <w:rPr>
          <w:rFonts w:ascii="Times New Roman" w:hAnsi="Times New Roman" w:cs="Times New Roman"/>
          <w:sz w:val="24"/>
          <w:szCs w:val="24"/>
          <w:lang w:val="sq-AL"/>
        </w:rPr>
      </w:pPr>
      <w:r w:rsidRPr="00563498">
        <w:rPr>
          <w:rFonts w:ascii="Times New Roman" w:hAnsi="Times New Roman" w:cs="Times New Roman"/>
          <w:sz w:val="24"/>
          <w:szCs w:val="24"/>
          <w:lang w:val="sq-AL"/>
        </w:rPr>
        <w:lastRenderedPageBreak/>
        <w:t>Kolegji i Gjykatës Kushtetuese të Republikës së Shqipërisë, në bazë të neneve 31 dhe 31/a</w:t>
      </w:r>
      <w:r w:rsidR="00B802CF" w:rsidRPr="00563498">
        <w:rPr>
          <w:rFonts w:ascii="Times New Roman" w:hAnsi="Times New Roman" w:cs="Times New Roman"/>
          <w:sz w:val="24"/>
          <w:szCs w:val="24"/>
          <w:lang w:val="sq-AL"/>
        </w:rPr>
        <w:t>, pika 2, shkronja “e</w:t>
      </w:r>
      <w:r w:rsidR="001B0ECC" w:rsidRPr="00563498">
        <w:rPr>
          <w:rFonts w:ascii="Times New Roman" w:hAnsi="Times New Roman" w:cs="Times New Roman"/>
          <w:sz w:val="24"/>
          <w:szCs w:val="24"/>
          <w:lang w:val="sq-AL"/>
        </w:rPr>
        <w:t>”</w:t>
      </w:r>
      <w:r w:rsidR="002F4290" w:rsidRPr="00563498">
        <w:rPr>
          <w:rFonts w:ascii="Times New Roman" w:hAnsi="Times New Roman" w:cs="Times New Roman"/>
          <w:sz w:val="24"/>
          <w:szCs w:val="24"/>
          <w:lang w:val="sq-AL"/>
        </w:rPr>
        <w:t>,</w:t>
      </w:r>
      <w:r w:rsidRPr="00563498">
        <w:rPr>
          <w:rFonts w:ascii="Times New Roman" w:hAnsi="Times New Roman" w:cs="Times New Roman"/>
          <w:sz w:val="24"/>
          <w:szCs w:val="24"/>
          <w:lang w:val="sq-AL"/>
        </w:rPr>
        <w:t xml:space="preserve"> të ligjit nr.</w:t>
      </w:r>
      <w:r w:rsidR="009A4703" w:rsidRPr="00563498">
        <w:rPr>
          <w:rFonts w:ascii="Times New Roman" w:hAnsi="Times New Roman" w:cs="Times New Roman"/>
          <w:sz w:val="24"/>
          <w:szCs w:val="24"/>
          <w:lang w:val="sq-AL"/>
        </w:rPr>
        <w:t xml:space="preserve"> </w:t>
      </w:r>
      <w:r w:rsidRPr="00563498">
        <w:rPr>
          <w:rFonts w:ascii="Times New Roman" w:hAnsi="Times New Roman" w:cs="Times New Roman"/>
          <w:sz w:val="24"/>
          <w:szCs w:val="24"/>
          <w:lang w:val="sq-AL"/>
        </w:rPr>
        <w:t>8577, datë 10.02.2000 “Për organizimin dhe funksionimin e Gjykatës Kushtetuese të Republik</w:t>
      </w:r>
      <w:r w:rsidR="00F65E96" w:rsidRPr="00563498">
        <w:rPr>
          <w:rFonts w:ascii="Times New Roman" w:hAnsi="Times New Roman" w:cs="Times New Roman"/>
          <w:sz w:val="24"/>
          <w:szCs w:val="24"/>
          <w:lang w:val="sq-AL"/>
        </w:rPr>
        <w:t>ës së Shqipërisë”, të ndryshuar,</w:t>
      </w:r>
    </w:p>
    <w:p w:rsidR="00FB3AD0" w:rsidRPr="00563498" w:rsidRDefault="00FB3AD0" w:rsidP="00B802CF">
      <w:pPr>
        <w:tabs>
          <w:tab w:val="left" w:pos="720"/>
          <w:tab w:val="left" w:pos="1080"/>
          <w:tab w:val="left" w:pos="1260"/>
        </w:tabs>
        <w:suppressAutoHyphens/>
        <w:spacing w:after="0" w:line="360" w:lineRule="auto"/>
        <w:jc w:val="both"/>
        <w:outlineLvl w:val="0"/>
        <w:rPr>
          <w:rFonts w:ascii="Times New Roman" w:hAnsi="Times New Roman" w:cs="Times New Roman"/>
          <w:sz w:val="24"/>
          <w:szCs w:val="24"/>
          <w:lang w:val="sq-AL"/>
        </w:rPr>
      </w:pPr>
    </w:p>
    <w:p w:rsidR="00461B91" w:rsidRPr="00563498" w:rsidRDefault="00461B91" w:rsidP="00B802CF">
      <w:pPr>
        <w:tabs>
          <w:tab w:val="left" w:pos="851"/>
        </w:tabs>
        <w:spacing w:after="0" w:line="360" w:lineRule="auto"/>
        <w:jc w:val="center"/>
        <w:rPr>
          <w:rFonts w:ascii="Times New Roman" w:hAnsi="Times New Roman" w:cs="Times New Roman"/>
          <w:b/>
          <w:sz w:val="24"/>
          <w:szCs w:val="24"/>
          <w:u w:val="single"/>
          <w:lang w:val="sq-AL"/>
        </w:rPr>
      </w:pPr>
      <w:r w:rsidRPr="00563498">
        <w:rPr>
          <w:rFonts w:ascii="Times New Roman" w:hAnsi="Times New Roman" w:cs="Times New Roman"/>
          <w:b/>
          <w:sz w:val="24"/>
          <w:szCs w:val="24"/>
          <w:lang w:val="sq-AL"/>
        </w:rPr>
        <w:t>V E N D O S I:</w:t>
      </w:r>
    </w:p>
    <w:p w:rsidR="00812E99" w:rsidRPr="00563498" w:rsidRDefault="00461B91" w:rsidP="00B802CF">
      <w:pPr>
        <w:pStyle w:val="ListParagraph"/>
        <w:tabs>
          <w:tab w:val="left" w:pos="851"/>
        </w:tabs>
        <w:spacing w:after="0" w:line="360" w:lineRule="auto"/>
        <w:ind w:left="0" w:firstLine="567"/>
        <w:contextualSpacing w:val="0"/>
        <w:rPr>
          <w:rFonts w:ascii="Times New Roman" w:hAnsi="Times New Roman" w:cs="Times New Roman"/>
          <w:sz w:val="24"/>
          <w:szCs w:val="24"/>
          <w:lang w:val="sq-AL"/>
        </w:rPr>
      </w:pPr>
      <w:r w:rsidRPr="00563498">
        <w:rPr>
          <w:rFonts w:ascii="Times New Roman" w:hAnsi="Times New Roman" w:cs="Times New Roman"/>
          <w:sz w:val="24"/>
          <w:szCs w:val="24"/>
          <w:lang w:val="sq-AL"/>
        </w:rPr>
        <w:t>Moskalimin e çështjes për shqyrtim në seancë plenare.</w:t>
      </w:r>
    </w:p>
    <w:p w:rsidR="00187620" w:rsidRPr="00563498" w:rsidRDefault="00187620" w:rsidP="00C24A3D">
      <w:pPr>
        <w:tabs>
          <w:tab w:val="left" w:pos="851"/>
        </w:tabs>
        <w:spacing w:after="0" w:line="360" w:lineRule="auto"/>
        <w:ind w:left="284" w:firstLine="567"/>
        <w:jc w:val="both"/>
        <w:rPr>
          <w:rFonts w:ascii="Times New Roman" w:eastAsia="Calibri" w:hAnsi="Times New Roman" w:cs="Times New Roman"/>
          <w:i/>
          <w:sz w:val="24"/>
          <w:szCs w:val="24"/>
          <w:lang w:val="sq-AL" w:eastAsia="sq-AL"/>
        </w:rPr>
      </w:pPr>
    </w:p>
    <w:sectPr w:rsidR="00187620" w:rsidRPr="00563498" w:rsidSect="003A0760">
      <w:footerReference w:type="default" r:id="rId8"/>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D3" w:rsidRDefault="00020ED3" w:rsidP="00FD0846">
      <w:pPr>
        <w:spacing w:after="0" w:line="240" w:lineRule="auto"/>
      </w:pPr>
      <w:r>
        <w:separator/>
      </w:r>
    </w:p>
  </w:endnote>
  <w:endnote w:type="continuationSeparator" w:id="0">
    <w:p w:rsidR="00020ED3" w:rsidRDefault="00020ED3" w:rsidP="00F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24" w:rsidRPr="00D74B87" w:rsidRDefault="00AC2E9B"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sidRPr="00D74B87">
      <w:rPr>
        <w:rFonts w:ascii="Times New Roman" w:hAnsi="Times New Roman" w:cs="Times New Roman"/>
        <w:sz w:val="24"/>
        <w:szCs w:val="24"/>
        <w:lang w:val="sq-AL"/>
      </w:rPr>
      <w:t>Vendim</w:t>
    </w:r>
    <w:r w:rsidR="00856524" w:rsidRPr="00D74B87">
      <w:rPr>
        <w:rFonts w:ascii="Times New Roman" w:hAnsi="Times New Roman" w:cs="Times New Roman"/>
        <w:sz w:val="24"/>
        <w:szCs w:val="24"/>
        <w:lang w:val="sq-AL"/>
      </w:rPr>
      <w:t xml:space="preserve"> i </w:t>
    </w:r>
    <w:r w:rsidR="005416FB" w:rsidRPr="00D74B87">
      <w:rPr>
        <w:rFonts w:ascii="Times New Roman" w:hAnsi="Times New Roman" w:cs="Times New Roman"/>
        <w:sz w:val="24"/>
        <w:szCs w:val="24"/>
        <w:lang w:val="sq-AL"/>
      </w:rPr>
      <w:t>Kolegjit</w:t>
    </w:r>
    <w:r w:rsidR="005416FB" w:rsidRPr="00D74B87">
      <w:rPr>
        <w:rFonts w:ascii="Times New Roman" w:hAnsi="Times New Roman" w:cs="Times New Roman"/>
        <w:sz w:val="24"/>
        <w:szCs w:val="24"/>
        <w:lang w:val="sq-AL"/>
      </w:rPr>
      <w:tab/>
    </w:r>
    <w:r w:rsidR="005416FB" w:rsidRPr="00D74B87">
      <w:rPr>
        <w:rFonts w:ascii="Times New Roman" w:hAnsi="Times New Roman" w:cs="Times New Roman"/>
        <w:sz w:val="24"/>
        <w:szCs w:val="24"/>
        <w:lang w:val="sq-AL"/>
      </w:rPr>
      <w:tab/>
      <w:t>Faqe</w:t>
    </w:r>
    <w:r w:rsidR="00D74B87" w:rsidRPr="00D74B87">
      <w:rPr>
        <w:rFonts w:ascii="Times New Roman" w:hAnsi="Times New Roman" w:cs="Times New Roman"/>
        <w:sz w:val="24"/>
        <w:szCs w:val="24"/>
        <w:lang w:val="sq-AL"/>
      </w:rPr>
      <w:t xml:space="preserve"> </w:t>
    </w:r>
    <w:r w:rsidR="003C5FDB" w:rsidRPr="00D74B87">
      <w:rPr>
        <w:rFonts w:ascii="Times New Roman" w:hAnsi="Times New Roman" w:cs="Times New Roman"/>
        <w:sz w:val="24"/>
        <w:szCs w:val="24"/>
        <w:lang w:val="sq-AL"/>
      </w:rPr>
      <w:fldChar w:fldCharType="begin"/>
    </w:r>
    <w:r w:rsidR="005416FB" w:rsidRPr="00D74B87">
      <w:rPr>
        <w:rFonts w:ascii="Times New Roman" w:hAnsi="Times New Roman" w:cs="Times New Roman"/>
        <w:sz w:val="24"/>
        <w:szCs w:val="24"/>
        <w:lang w:val="sq-AL"/>
      </w:rPr>
      <w:instrText xml:space="preserve"> PAGE   \* MERGEFORMAT </w:instrText>
    </w:r>
    <w:r w:rsidR="003C5FDB" w:rsidRPr="00D74B87">
      <w:rPr>
        <w:rFonts w:ascii="Times New Roman" w:hAnsi="Times New Roman" w:cs="Times New Roman"/>
        <w:sz w:val="24"/>
        <w:szCs w:val="24"/>
        <w:lang w:val="sq-AL"/>
      </w:rPr>
      <w:fldChar w:fldCharType="separate"/>
    </w:r>
    <w:r w:rsidR="00C14EB3">
      <w:rPr>
        <w:rFonts w:ascii="Times New Roman" w:hAnsi="Times New Roman" w:cs="Times New Roman"/>
        <w:noProof/>
        <w:sz w:val="24"/>
        <w:szCs w:val="24"/>
        <w:lang w:val="sq-AL"/>
      </w:rPr>
      <w:t>2</w:t>
    </w:r>
    <w:r w:rsidR="003C5FDB" w:rsidRPr="00D74B87">
      <w:rPr>
        <w:rFonts w:ascii="Times New Roman" w:hAnsi="Times New Roman" w:cs="Times New Roman"/>
        <w:sz w:val="24"/>
        <w:szCs w:val="24"/>
        <w:lang w:val="sq-AL"/>
      </w:rPr>
      <w:fldChar w:fldCharType="end"/>
    </w:r>
  </w:p>
  <w:p w:rsidR="005416FB" w:rsidRPr="00D74B87" w:rsidRDefault="0024182D"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Pr>
        <w:rFonts w:ascii="Times New Roman" w:hAnsi="Times New Roman" w:cs="Times New Roman"/>
        <w:sz w:val="24"/>
        <w:szCs w:val="24"/>
        <w:lang w:val="sq-AL"/>
      </w:rPr>
      <w:t>Kërkues</w:t>
    </w:r>
    <w:r w:rsidR="005416FB" w:rsidRPr="00D74B87">
      <w:rPr>
        <w:rFonts w:ascii="Times New Roman" w:hAnsi="Times New Roman" w:cs="Times New Roman"/>
        <w:sz w:val="24"/>
        <w:szCs w:val="24"/>
        <w:lang w:val="sq-AL"/>
      </w:rPr>
      <w:t xml:space="preserve">: </w:t>
    </w:r>
    <w:r w:rsidR="00057724">
      <w:rPr>
        <w:rFonts w:ascii="Times New Roman" w:hAnsi="Times New Roman" w:cs="Times New Roman"/>
        <w:sz w:val="24"/>
        <w:szCs w:val="24"/>
        <w:lang w:val="sq-AL"/>
      </w:rPr>
      <w:t>Instituti i Sigurimeve Shoqërore</w:t>
    </w:r>
    <w:r w:rsidR="006D6CD0">
      <w:rPr>
        <w:rFonts w:ascii="Times New Roman" w:hAnsi="Times New Roman" w:cs="Times New Roman"/>
        <w:sz w:val="24"/>
        <w:szCs w:val="24"/>
        <w:lang w:val="sq-AL"/>
      </w:rPr>
      <w:t xml:space="preserve"> (ISSH)</w:t>
    </w:r>
  </w:p>
  <w:p w:rsidR="005416FB" w:rsidRPr="00D74B87" w:rsidRDefault="005416FB">
    <w:pPr>
      <w:pStyle w:val="Footer"/>
      <w:rPr>
        <w:rFonts w:ascii="Times New Roman" w:hAnsi="Times New Roman" w:cs="Times New Roman"/>
        <w:sz w:val="24"/>
        <w:szCs w:val="24"/>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D3" w:rsidRDefault="00020ED3" w:rsidP="00FD0846">
      <w:pPr>
        <w:spacing w:after="0" w:line="240" w:lineRule="auto"/>
      </w:pPr>
      <w:r>
        <w:separator/>
      </w:r>
    </w:p>
  </w:footnote>
  <w:footnote w:type="continuationSeparator" w:id="0">
    <w:p w:rsidR="00020ED3" w:rsidRDefault="00020ED3" w:rsidP="00FD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1" w15:restartNumberingAfterBreak="0">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36F5D"/>
    <w:multiLevelType w:val="multilevel"/>
    <w:tmpl w:val="4A2CE92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185188"/>
    <w:multiLevelType w:val="multilevel"/>
    <w:tmpl w:val="26E20B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D5C68"/>
    <w:multiLevelType w:val="multilevel"/>
    <w:tmpl w:val="B0DC5846"/>
    <w:lvl w:ilvl="0">
      <w:start w:val="7"/>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9" w15:restartNumberingAfterBreak="0">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B352DE3"/>
    <w:multiLevelType w:val="hybridMultilevel"/>
    <w:tmpl w:val="39500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EA0428"/>
    <w:multiLevelType w:val="multilevel"/>
    <w:tmpl w:val="422AA68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05B48"/>
    <w:multiLevelType w:val="multilevel"/>
    <w:tmpl w:val="382A31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7023CBE"/>
    <w:multiLevelType w:val="multilevel"/>
    <w:tmpl w:val="1F6E32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18" w15:restartNumberingAfterBreak="0">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9" w15:restartNumberingAfterBreak="0">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20" w15:restartNumberingAfterBreak="0">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21" w15:restartNumberingAfterBreak="0">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6C53AB6"/>
    <w:multiLevelType w:val="multilevel"/>
    <w:tmpl w:val="E21CE76A"/>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3" w15:restartNumberingAfterBreak="0">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DCC5E36"/>
    <w:multiLevelType w:val="multilevel"/>
    <w:tmpl w:val="A1421232"/>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5" w15:restartNumberingAfterBreak="0">
    <w:nsid w:val="7FF8254B"/>
    <w:multiLevelType w:val="hybridMultilevel"/>
    <w:tmpl w:val="9632675E"/>
    <w:lvl w:ilvl="0" w:tplc="EDA6BFEE">
      <w:start w:val="1"/>
      <w:numFmt w:val="upperLetter"/>
      <w:lvlText w:val="%1."/>
      <w:lvlJc w:val="left"/>
      <w:pPr>
        <w:ind w:left="1260" w:hanging="360"/>
      </w:pPr>
      <w:rPr>
        <w:rFonts w:hint="default"/>
      </w:rPr>
    </w:lvl>
    <w:lvl w:ilvl="1" w:tplc="041C0019">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num w:numId="1">
    <w:abstractNumId w:val="21"/>
  </w:num>
  <w:num w:numId="2">
    <w:abstractNumId w:val="15"/>
  </w:num>
  <w:num w:numId="3">
    <w:abstractNumId w:val="0"/>
  </w:num>
  <w:num w:numId="4">
    <w:abstractNumId w:val="16"/>
  </w:num>
  <w:num w:numId="5">
    <w:abstractNumId w:val="19"/>
  </w:num>
  <w:num w:numId="6">
    <w:abstractNumId w:val="6"/>
  </w:num>
  <w:num w:numId="7">
    <w:abstractNumId w:val="18"/>
  </w:num>
  <w:num w:numId="8">
    <w:abstractNumId w:val="9"/>
  </w:num>
  <w:num w:numId="9">
    <w:abstractNumId w:val="12"/>
  </w:num>
  <w:num w:numId="10">
    <w:abstractNumId w:val="1"/>
  </w:num>
  <w:num w:numId="11">
    <w:abstractNumId w:val="7"/>
  </w:num>
  <w:num w:numId="12">
    <w:abstractNumId w:val="4"/>
  </w:num>
  <w:num w:numId="13">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3"/>
  </w:num>
  <w:num w:numId="17">
    <w:abstractNumId w:val="5"/>
  </w:num>
  <w:num w:numId="18">
    <w:abstractNumId w:val="2"/>
  </w:num>
  <w:num w:numId="19">
    <w:abstractNumId w:val="14"/>
  </w:num>
  <w:num w:numId="20">
    <w:abstractNumId w:val="24"/>
  </w:num>
  <w:num w:numId="21">
    <w:abstractNumId w:val="8"/>
  </w:num>
  <w:num w:numId="22">
    <w:abstractNumId w:val="22"/>
  </w:num>
  <w:num w:numId="23">
    <w:abstractNumId w:val="10"/>
  </w:num>
  <w:num w:numId="24">
    <w:abstractNumId w:val="11"/>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1023"/>
    <w:rsid w:val="000038E0"/>
    <w:rsid w:val="00014227"/>
    <w:rsid w:val="00020148"/>
    <w:rsid w:val="00020ED3"/>
    <w:rsid w:val="0002244C"/>
    <w:rsid w:val="000360DF"/>
    <w:rsid w:val="00036CC6"/>
    <w:rsid w:val="00045881"/>
    <w:rsid w:val="000505AE"/>
    <w:rsid w:val="0005583C"/>
    <w:rsid w:val="00056CC1"/>
    <w:rsid w:val="00057724"/>
    <w:rsid w:val="00057831"/>
    <w:rsid w:val="00057D61"/>
    <w:rsid w:val="000607E2"/>
    <w:rsid w:val="00066FDB"/>
    <w:rsid w:val="00070092"/>
    <w:rsid w:val="00080CC1"/>
    <w:rsid w:val="00085D79"/>
    <w:rsid w:val="000878B9"/>
    <w:rsid w:val="00097058"/>
    <w:rsid w:val="000A7F07"/>
    <w:rsid w:val="000B0BC6"/>
    <w:rsid w:val="000B1BF9"/>
    <w:rsid w:val="000B6116"/>
    <w:rsid w:val="000C4BA2"/>
    <w:rsid w:val="000D69AB"/>
    <w:rsid w:val="000E4914"/>
    <w:rsid w:val="000F2A1C"/>
    <w:rsid w:val="000F3FE6"/>
    <w:rsid w:val="000F75D9"/>
    <w:rsid w:val="00101F65"/>
    <w:rsid w:val="0010558E"/>
    <w:rsid w:val="001061AA"/>
    <w:rsid w:val="001345EA"/>
    <w:rsid w:val="00136314"/>
    <w:rsid w:val="00137282"/>
    <w:rsid w:val="00141078"/>
    <w:rsid w:val="0014241B"/>
    <w:rsid w:val="00142D32"/>
    <w:rsid w:val="0014494D"/>
    <w:rsid w:val="0014578F"/>
    <w:rsid w:val="001508DF"/>
    <w:rsid w:val="00156A42"/>
    <w:rsid w:val="001577AD"/>
    <w:rsid w:val="00160736"/>
    <w:rsid w:val="00162F13"/>
    <w:rsid w:val="00164384"/>
    <w:rsid w:val="00166438"/>
    <w:rsid w:val="00175419"/>
    <w:rsid w:val="00175AB1"/>
    <w:rsid w:val="001826AE"/>
    <w:rsid w:val="001844A1"/>
    <w:rsid w:val="00187620"/>
    <w:rsid w:val="001878DB"/>
    <w:rsid w:val="00193764"/>
    <w:rsid w:val="001973EB"/>
    <w:rsid w:val="001A742D"/>
    <w:rsid w:val="001B0ECC"/>
    <w:rsid w:val="001B3584"/>
    <w:rsid w:val="001B7563"/>
    <w:rsid w:val="001B7A21"/>
    <w:rsid w:val="001C0CB2"/>
    <w:rsid w:val="001C0EFE"/>
    <w:rsid w:val="001C2B62"/>
    <w:rsid w:val="001C5D67"/>
    <w:rsid w:val="001C7E68"/>
    <w:rsid w:val="001D300D"/>
    <w:rsid w:val="001D5C53"/>
    <w:rsid w:val="001D7438"/>
    <w:rsid w:val="001D7DF8"/>
    <w:rsid w:val="001E094A"/>
    <w:rsid w:val="001E3413"/>
    <w:rsid w:val="001E4D18"/>
    <w:rsid w:val="001F03EC"/>
    <w:rsid w:val="001F4927"/>
    <w:rsid w:val="001F4D25"/>
    <w:rsid w:val="001F75C0"/>
    <w:rsid w:val="00205FFE"/>
    <w:rsid w:val="00206670"/>
    <w:rsid w:val="00206C3C"/>
    <w:rsid w:val="00216780"/>
    <w:rsid w:val="0021737D"/>
    <w:rsid w:val="0022035E"/>
    <w:rsid w:val="0022124E"/>
    <w:rsid w:val="00224254"/>
    <w:rsid w:val="00226621"/>
    <w:rsid w:val="00230504"/>
    <w:rsid w:val="00231123"/>
    <w:rsid w:val="00232F87"/>
    <w:rsid w:val="0024182D"/>
    <w:rsid w:val="002432C4"/>
    <w:rsid w:val="00251646"/>
    <w:rsid w:val="0025270B"/>
    <w:rsid w:val="0025464C"/>
    <w:rsid w:val="0025565A"/>
    <w:rsid w:val="0026420D"/>
    <w:rsid w:val="002800B4"/>
    <w:rsid w:val="0028180F"/>
    <w:rsid w:val="00282D44"/>
    <w:rsid w:val="002848EA"/>
    <w:rsid w:val="00286F4D"/>
    <w:rsid w:val="0029213C"/>
    <w:rsid w:val="002921E4"/>
    <w:rsid w:val="00292C14"/>
    <w:rsid w:val="002952BF"/>
    <w:rsid w:val="00295736"/>
    <w:rsid w:val="002A5E0F"/>
    <w:rsid w:val="002A61F3"/>
    <w:rsid w:val="002A6297"/>
    <w:rsid w:val="002A6604"/>
    <w:rsid w:val="002B55DB"/>
    <w:rsid w:val="002B600F"/>
    <w:rsid w:val="002B7F01"/>
    <w:rsid w:val="002C6B83"/>
    <w:rsid w:val="002C7998"/>
    <w:rsid w:val="002D0763"/>
    <w:rsid w:val="002D1D4A"/>
    <w:rsid w:val="002D30FD"/>
    <w:rsid w:val="002D4B84"/>
    <w:rsid w:val="002D4FEE"/>
    <w:rsid w:val="002E5E5F"/>
    <w:rsid w:val="002E7DAD"/>
    <w:rsid w:val="002F09B6"/>
    <w:rsid w:val="002F4290"/>
    <w:rsid w:val="002F7317"/>
    <w:rsid w:val="002F73EF"/>
    <w:rsid w:val="0030180C"/>
    <w:rsid w:val="00302834"/>
    <w:rsid w:val="00303767"/>
    <w:rsid w:val="00305DC2"/>
    <w:rsid w:val="00306BED"/>
    <w:rsid w:val="00307291"/>
    <w:rsid w:val="003078C7"/>
    <w:rsid w:val="003123E4"/>
    <w:rsid w:val="00312E58"/>
    <w:rsid w:val="00315604"/>
    <w:rsid w:val="00320DEF"/>
    <w:rsid w:val="00324908"/>
    <w:rsid w:val="00324924"/>
    <w:rsid w:val="00327DF4"/>
    <w:rsid w:val="003314D9"/>
    <w:rsid w:val="00331AC5"/>
    <w:rsid w:val="00335678"/>
    <w:rsid w:val="00336FEC"/>
    <w:rsid w:val="00340155"/>
    <w:rsid w:val="003469FE"/>
    <w:rsid w:val="00346BB9"/>
    <w:rsid w:val="00347465"/>
    <w:rsid w:val="00351601"/>
    <w:rsid w:val="00357797"/>
    <w:rsid w:val="00360227"/>
    <w:rsid w:val="00366015"/>
    <w:rsid w:val="00366B3B"/>
    <w:rsid w:val="00376C66"/>
    <w:rsid w:val="00376FB3"/>
    <w:rsid w:val="0038497E"/>
    <w:rsid w:val="00386C2F"/>
    <w:rsid w:val="003927DD"/>
    <w:rsid w:val="003956A4"/>
    <w:rsid w:val="0039675F"/>
    <w:rsid w:val="00397840"/>
    <w:rsid w:val="003A0760"/>
    <w:rsid w:val="003A391D"/>
    <w:rsid w:val="003A4FAC"/>
    <w:rsid w:val="003A66D8"/>
    <w:rsid w:val="003A6B85"/>
    <w:rsid w:val="003A7B3F"/>
    <w:rsid w:val="003B14DD"/>
    <w:rsid w:val="003B3FD3"/>
    <w:rsid w:val="003C5C5F"/>
    <w:rsid w:val="003C5FDB"/>
    <w:rsid w:val="003C72E0"/>
    <w:rsid w:val="003E0ADC"/>
    <w:rsid w:val="003F0775"/>
    <w:rsid w:val="003F3935"/>
    <w:rsid w:val="003F78FD"/>
    <w:rsid w:val="0040292B"/>
    <w:rsid w:val="00403FEB"/>
    <w:rsid w:val="00404E9C"/>
    <w:rsid w:val="00406DF8"/>
    <w:rsid w:val="00410B5F"/>
    <w:rsid w:val="00412A37"/>
    <w:rsid w:val="004168CD"/>
    <w:rsid w:val="004266D0"/>
    <w:rsid w:val="00430150"/>
    <w:rsid w:val="004309B1"/>
    <w:rsid w:val="0043501C"/>
    <w:rsid w:val="0044216E"/>
    <w:rsid w:val="0045270B"/>
    <w:rsid w:val="00453A9F"/>
    <w:rsid w:val="00456084"/>
    <w:rsid w:val="0045764E"/>
    <w:rsid w:val="00461B91"/>
    <w:rsid w:val="0046339E"/>
    <w:rsid w:val="00464101"/>
    <w:rsid w:val="00470A9C"/>
    <w:rsid w:val="00470F6F"/>
    <w:rsid w:val="0047363E"/>
    <w:rsid w:val="004757F8"/>
    <w:rsid w:val="00476AC7"/>
    <w:rsid w:val="00481936"/>
    <w:rsid w:val="0048381B"/>
    <w:rsid w:val="00486488"/>
    <w:rsid w:val="0048669D"/>
    <w:rsid w:val="00491298"/>
    <w:rsid w:val="004948F2"/>
    <w:rsid w:val="004970D2"/>
    <w:rsid w:val="004A559C"/>
    <w:rsid w:val="004A78A7"/>
    <w:rsid w:val="004A7D9E"/>
    <w:rsid w:val="004B09FC"/>
    <w:rsid w:val="004C20D2"/>
    <w:rsid w:val="004C2EA2"/>
    <w:rsid w:val="004C6365"/>
    <w:rsid w:val="004D1B52"/>
    <w:rsid w:val="004D1BE3"/>
    <w:rsid w:val="004E6C25"/>
    <w:rsid w:val="004F3E1E"/>
    <w:rsid w:val="004F4749"/>
    <w:rsid w:val="004F6B28"/>
    <w:rsid w:val="00502E3F"/>
    <w:rsid w:val="00504608"/>
    <w:rsid w:val="005069C0"/>
    <w:rsid w:val="005131E7"/>
    <w:rsid w:val="00516CC0"/>
    <w:rsid w:val="0051782F"/>
    <w:rsid w:val="0052238B"/>
    <w:rsid w:val="00524685"/>
    <w:rsid w:val="00527407"/>
    <w:rsid w:val="00527A3B"/>
    <w:rsid w:val="005302CB"/>
    <w:rsid w:val="00534458"/>
    <w:rsid w:val="00536374"/>
    <w:rsid w:val="0053657C"/>
    <w:rsid w:val="005416FB"/>
    <w:rsid w:val="005454EA"/>
    <w:rsid w:val="00550A8D"/>
    <w:rsid w:val="0055575F"/>
    <w:rsid w:val="00560ED0"/>
    <w:rsid w:val="0056206A"/>
    <w:rsid w:val="00563498"/>
    <w:rsid w:val="00563EB1"/>
    <w:rsid w:val="00570A5E"/>
    <w:rsid w:val="005754F2"/>
    <w:rsid w:val="005762A6"/>
    <w:rsid w:val="00590CE2"/>
    <w:rsid w:val="00597AAA"/>
    <w:rsid w:val="005B010B"/>
    <w:rsid w:val="005B5117"/>
    <w:rsid w:val="005B6041"/>
    <w:rsid w:val="005C7906"/>
    <w:rsid w:val="005D72A1"/>
    <w:rsid w:val="005E3AA8"/>
    <w:rsid w:val="005E4B0B"/>
    <w:rsid w:val="005E7087"/>
    <w:rsid w:val="005F03CC"/>
    <w:rsid w:val="005F0B9E"/>
    <w:rsid w:val="005F1D5A"/>
    <w:rsid w:val="005F2827"/>
    <w:rsid w:val="005F79D5"/>
    <w:rsid w:val="005F7F12"/>
    <w:rsid w:val="006049FD"/>
    <w:rsid w:val="00605C10"/>
    <w:rsid w:val="00605CED"/>
    <w:rsid w:val="00620266"/>
    <w:rsid w:val="006208E8"/>
    <w:rsid w:val="0062554B"/>
    <w:rsid w:val="00626D65"/>
    <w:rsid w:val="00631CB4"/>
    <w:rsid w:val="00633B49"/>
    <w:rsid w:val="00634037"/>
    <w:rsid w:val="00636614"/>
    <w:rsid w:val="006369D7"/>
    <w:rsid w:val="00641387"/>
    <w:rsid w:val="0064214B"/>
    <w:rsid w:val="00647469"/>
    <w:rsid w:val="006532BD"/>
    <w:rsid w:val="00654296"/>
    <w:rsid w:val="0065600D"/>
    <w:rsid w:val="00656D92"/>
    <w:rsid w:val="006605C9"/>
    <w:rsid w:val="006613C2"/>
    <w:rsid w:val="0066312D"/>
    <w:rsid w:val="00666334"/>
    <w:rsid w:val="00666BED"/>
    <w:rsid w:val="00666D76"/>
    <w:rsid w:val="00673B48"/>
    <w:rsid w:val="0067515C"/>
    <w:rsid w:val="00680A13"/>
    <w:rsid w:val="00684050"/>
    <w:rsid w:val="006857E9"/>
    <w:rsid w:val="0068790F"/>
    <w:rsid w:val="0069330D"/>
    <w:rsid w:val="006954AD"/>
    <w:rsid w:val="006A0470"/>
    <w:rsid w:val="006A0FB1"/>
    <w:rsid w:val="006A519A"/>
    <w:rsid w:val="006A703C"/>
    <w:rsid w:val="006B7FFA"/>
    <w:rsid w:val="006C2C52"/>
    <w:rsid w:val="006C36DA"/>
    <w:rsid w:val="006C59BC"/>
    <w:rsid w:val="006D5EF6"/>
    <w:rsid w:val="006D6100"/>
    <w:rsid w:val="006D612D"/>
    <w:rsid w:val="006D6CD0"/>
    <w:rsid w:val="006D7209"/>
    <w:rsid w:val="006E21D5"/>
    <w:rsid w:val="006E222C"/>
    <w:rsid w:val="006E339E"/>
    <w:rsid w:val="006E3E89"/>
    <w:rsid w:val="006E454F"/>
    <w:rsid w:val="006E6674"/>
    <w:rsid w:val="006F11F0"/>
    <w:rsid w:val="006F1A50"/>
    <w:rsid w:val="006F7871"/>
    <w:rsid w:val="007212C2"/>
    <w:rsid w:val="007303E6"/>
    <w:rsid w:val="00730BBD"/>
    <w:rsid w:val="00732311"/>
    <w:rsid w:val="00733552"/>
    <w:rsid w:val="0073525C"/>
    <w:rsid w:val="00735AF1"/>
    <w:rsid w:val="00743B1F"/>
    <w:rsid w:val="0075323B"/>
    <w:rsid w:val="00753683"/>
    <w:rsid w:val="0075402A"/>
    <w:rsid w:val="00755F79"/>
    <w:rsid w:val="00757068"/>
    <w:rsid w:val="0076522E"/>
    <w:rsid w:val="00766361"/>
    <w:rsid w:val="0077310F"/>
    <w:rsid w:val="007745B7"/>
    <w:rsid w:val="0079419F"/>
    <w:rsid w:val="007963B2"/>
    <w:rsid w:val="007A4692"/>
    <w:rsid w:val="007A4B1B"/>
    <w:rsid w:val="007B06C4"/>
    <w:rsid w:val="007B39F9"/>
    <w:rsid w:val="007B78F5"/>
    <w:rsid w:val="007C1E71"/>
    <w:rsid w:val="007D03A3"/>
    <w:rsid w:val="007D1AB4"/>
    <w:rsid w:val="007D429B"/>
    <w:rsid w:val="007D69A8"/>
    <w:rsid w:val="007D6CED"/>
    <w:rsid w:val="007D7502"/>
    <w:rsid w:val="007E69CB"/>
    <w:rsid w:val="00803CCB"/>
    <w:rsid w:val="008052C9"/>
    <w:rsid w:val="00807DDC"/>
    <w:rsid w:val="00812E99"/>
    <w:rsid w:val="0081443A"/>
    <w:rsid w:val="00821A74"/>
    <w:rsid w:val="00823708"/>
    <w:rsid w:val="0082524B"/>
    <w:rsid w:val="00825449"/>
    <w:rsid w:val="00832658"/>
    <w:rsid w:val="00835414"/>
    <w:rsid w:val="00835CBF"/>
    <w:rsid w:val="008452F3"/>
    <w:rsid w:val="00852EB5"/>
    <w:rsid w:val="00853249"/>
    <w:rsid w:val="008535B9"/>
    <w:rsid w:val="00856524"/>
    <w:rsid w:val="00861BBD"/>
    <w:rsid w:val="00861C60"/>
    <w:rsid w:val="00864D75"/>
    <w:rsid w:val="00870057"/>
    <w:rsid w:val="0087191F"/>
    <w:rsid w:val="00873D76"/>
    <w:rsid w:val="008748CC"/>
    <w:rsid w:val="00886593"/>
    <w:rsid w:val="008921DE"/>
    <w:rsid w:val="00895123"/>
    <w:rsid w:val="008966F5"/>
    <w:rsid w:val="008969CE"/>
    <w:rsid w:val="00896A1F"/>
    <w:rsid w:val="00897429"/>
    <w:rsid w:val="008A22AF"/>
    <w:rsid w:val="008A22E0"/>
    <w:rsid w:val="008A386B"/>
    <w:rsid w:val="008A3E5B"/>
    <w:rsid w:val="008B217A"/>
    <w:rsid w:val="008B2802"/>
    <w:rsid w:val="008B3FDE"/>
    <w:rsid w:val="008B7A2B"/>
    <w:rsid w:val="008C0C47"/>
    <w:rsid w:val="008C10CD"/>
    <w:rsid w:val="008C1943"/>
    <w:rsid w:val="008C29E0"/>
    <w:rsid w:val="008C7094"/>
    <w:rsid w:val="008C7291"/>
    <w:rsid w:val="008D0F7E"/>
    <w:rsid w:val="008D2DA2"/>
    <w:rsid w:val="008D7127"/>
    <w:rsid w:val="008E24DA"/>
    <w:rsid w:val="008E362C"/>
    <w:rsid w:val="008E6E5C"/>
    <w:rsid w:val="008E7CD8"/>
    <w:rsid w:val="008E7EBB"/>
    <w:rsid w:val="008F4745"/>
    <w:rsid w:val="009047DD"/>
    <w:rsid w:val="00907190"/>
    <w:rsid w:val="009137D8"/>
    <w:rsid w:val="00913F36"/>
    <w:rsid w:val="00920FFC"/>
    <w:rsid w:val="00925C06"/>
    <w:rsid w:val="00927678"/>
    <w:rsid w:val="00927B1D"/>
    <w:rsid w:val="00946F9F"/>
    <w:rsid w:val="00946FAF"/>
    <w:rsid w:val="00955A49"/>
    <w:rsid w:val="00963DDA"/>
    <w:rsid w:val="00965252"/>
    <w:rsid w:val="00966995"/>
    <w:rsid w:val="009702D6"/>
    <w:rsid w:val="009741D3"/>
    <w:rsid w:val="00975801"/>
    <w:rsid w:val="00975CEB"/>
    <w:rsid w:val="00975E45"/>
    <w:rsid w:val="0097725D"/>
    <w:rsid w:val="00983039"/>
    <w:rsid w:val="00983330"/>
    <w:rsid w:val="00986082"/>
    <w:rsid w:val="009865E2"/>
    <w:rsid w:val="00987320"/>
    <w:rsid w:val="00992B09"/>
    <w:rsid w:val="00996A3D"/>
    <w:rsid w:val="009A0793"/>
    <w:rsid w:val="009A15C7"/>
    <w:rsid w:val="009A4703"/>
    <w:rsid w:val="009A687E"/>
    <w:rsid w:val="009B2BFF"/>
    <w:rsid w:val="009B40AA"/>
    <w:rsid w:val="009B49CA"/>
    <w:rsid w:val="009B5E5A"/>
    <w:rsid w:val="009B78CF"/>
    <w:rsid w:val="009B7E03"/>
    <w:rsid w:val="009C4634"/>
    <w:rsid w:val="009C4D5F"/>
    <w:rsid w:val="009C69B0"/>
    <w:rsid w:val="009D0C79"/>
    <w:rsid w:val="009D23A0"/>
    <w:rsid w:val="009D6743"/>
    <w:rsid w:val="009E1193"/>
    <w:rsid w:val="009F3611"/>
    <w:rsid w:val="009F5BA6"/>
    <w:rsid w:val="00A006B1"/>
    <w:rsid w:val="00A047CE"/>
    <w:rsid w:val="00A1030D"/>
    <w:rsid w:val="00A11B1F"/>
    <w:rsid w:val="00A12B59"/>
    <w:rsid w:val="00A1477F"/>
    <w:rsid w:val="00A20C0B"/>
    <w:rsid w:val="00A234B5"/>
    <w:rsid w:val="00A3042F"/>
    <w:rsid w:val="00A31556"/>
    <w:rsid w:val="00A34DCA"/>
    <w:rsid w:val="00A36FE6"/>
    <w:rsid w:val="00A41528"/>
    <w:rsid w:val="00A41BFD"/>
    <w:rsid w:val="00A41D2D"/>
    <w:rsid w:val="00A5481F"/>
    <w:rsid w:val="00A61007"/>
    <w:rsid w:val="00A7055E"/>
    <w:rsid w:val="00A718FE"/>
    <w:rsid w:val="00A745AD"/>
    <w:rsid w:val="00A77257"/>
    <w:rsid w:val="00A82BA2"/>
    <w:rsid w:val="00A862F6"/>
    <w:rsid w:val="00A874A6"/>
    <w:rsid w:val="00A87D7D"/>
    <w:rsid w:val="00A9348A"/>
    <w:rsid w:val="00A942E5"/>
    <w:rsid w:val="00A96BC9"/>
    <w:rsid w:val="00A97079"/>
    <w:rsid w:val="00A97138"/>
    <w:rsid w:val="00AA261A"/>
    <w:rsid w:val="00AB0279"/>
    <w:rsid w:val="00AB17E6"/>
    <w:rsid w:val="00AB48CB"/>
    <w:rsid w:val="00AB4E07"/>
    <w:rsid w:val="00AB6EA2"/>
    <w:rsid w:val="00AC0A63"/>
    <w:rsid w:val="00AC2E9B"/>
    <w:rsid w:val="00AD1022"/>
    <w:rsid w:val="00AD5A39"/>
    <w:rsid w:val="00AD5ABF"/>
    <w:rsid w:val="00AE16C7"/>
    <w:rsid w:val="00AF1761"/>
    <w:rsid w:val="00AF2C1B"/>
    <w:rsid w:val="00AF771C"/>
    <w:rsid w:val="00AF7DE5"/>
    <w:rsid w:val="00B03B33"/>
    <w:rsid w:val="00B0775B"/>
    <w:rsid w:val="00B11926"/>
    <w:rsid w:val="00B11FC2"/>
    <w:rsid w:val="00B1460F"/>
    <w:rsid w:val="00B16AB8"/>
    <w:rsid w:val="00B16B73"/>
    <w:rsid w:val="00B17AF8"/>
    <w:rsid w:val="00B20BF2"/>
    <w:rsid w:val="00B21339"/>
    <w:rsid w:val="00B4160E"/>
    <w:rsid w:val="00B56408"/>
    <w:rsid w:val="00B60E4E"/>
    <w:rsid w:val="00B63973"/>
    <w:rsid w:val="00B65ADE"/>
    <w:rsid w:val="00B723BA"/>
    <w:rsid w:val="00B75220"/>
    <w:rsid w:val="00B75C78"/>
    <w:rsid w:val="00B802CF"/>
    <w:rsid w:val="00B9224A"/>
    <w:rsid w:val="00B95B3E"/>
    <w:rsid w:val="00B96389"/>
    <w:rsid w:val="00B969B3"/>
    <w:rsid w:val="00BA33BA"/>
    <w:rsid w:val="00BA4BBF"/>
    <w:rsid w:val="00BB2035"/>
    <w:rsid w:val="00BB38AD"/>
    <w:rsid w:val="00BB5774"/>
    <w:rsid w:val="00BC2E54"/>
    <w:rsid w:val="00BC3132"/>
    <w:rsid w:val="00BC3210"/>
    <w:rsid w:val="00BC37A5"/>
    <w:rsid w:val="00BE5652"/>
    <w:rsid w:val="00BF27F3"/>
    <w:rsid w:val="00BF40BF"/>
    <w:rsid w:val="00BF74B4"/>
    <w:rsid w:val="00C03ADD"/>
    <w:rsid w:val="00C068AC"/>
    <w:rsid w:val="00C10513"/>
    <w:rsid w:val="00C10B6F"/>
    <w:rsid w:val="00C1175A"/>
    <w:rsid w:val="00C129CB"/>
    <w:rsid w:val="00C14EB3"/>
    <w:rsid w:val="00C20918"/>
    <w:rsid w:val="00C21E36"/>
    <w:rsid w:val="00C24592"/>
    <w:rsid w:val="00C24A3D"/>
    <w:rsid w:val="00C25E43"/>
    <w:rsid w:val="00C32476"/>
    <w:rsid w:val="00C35EA8"/>
    <w:rsid w:val="00C40B1C"/>
    <w:rsid w:val="00C41C98"/>
    <w:rsid w:val="00C43663"/>
    <w:rsid w:val="00C43950"/>
    <w:rsid w:val="00C45200"/>
    <w:rsid w:val="00C50652"/>
    <w:rsid w:val="00C5289B"/>
    <w:rsid w:val="00C534FC"/>
    <w:rsid w:val="00C54BFC"/>
    <w:rsid w:val="00C6196F"/>
    <w:rsid w:val="00C62419"/>
    <w:rsid w:val="00C62907"/>
    <w:rsid w:val="00C62D3F"/>
    <w:rsid w:val="00C6565F"/>
    <w:rsid w:val="00C66A1F"/>
    <w:rsid w:val="00C76C6F"/>
    <w:rsid w:val="00C820D1"/>
    <w:rsid w:val="00C836FB"/>
    <w:rsid w:val="00C84B7A"/>
    <w:rsid w:val="00C84D3E"/>
    <w:rsid w:val="00C85730"/>
    <w:rsid w:val="00C8597A"/>
    <w:rsid w:val="00C94862"/>
    <w:rsid w:val="00C96123"/>
    <w:rsid w:val="00CA41EB"/>
    <w:rsid w:val="00CB039B"/>
    <w:rsid w:val="00CB3A7D"/>
    <w:rsid w:val="00CB4838"/>
    <w:rsid w:val="00CC095C"/>
    <w:rsid w:val="00CC66D1"/>
    <w:rsid w:val="00CD27FF"/>
    <w:rsid w:val="00CE03E4"/>
    <w:rsid w:val="00CE407C"/>
    <w:rsid w:val="00CE6042"/>
    <w:rsid w:val="00D007B2"/>
    <w:rsid w:val="00D04626"/>
    <w:rsid w:val="00D06FAF"/>
    <w:rsid w:val="00D123E3"/>
    <w:rsid w:val="00D37485"/>
    <w:rsid w:val="00D406ED"/>
    <w:rsid w:val="00D50D6F"/>
    <w:rsid w:val="00D622F8"/>
    <w:rsid w:val="00D62DA7"/>
    <w:rsid w:val="00D67E31"/>
    <w:rsid w:val="00D70CD3"/>
    <w:rsid w:val="00D72076"/>
    <w:rsid w:val="00D72A20"/>
    <w:rsid w:val="00D74B87"/>
    <w:rsid w:val="00D7513F"/>
    <w:rsid w:val="00D80DA9"/>
    <w:rsid w:val="00D825CB"/>
    <w:rsid w:val="00D85833"/>
    <w:rsid w:val="00DA1F79"/>
    <w:rsid w:val="00DA2812"/>
    <w:rsid w:val="00DA2B55"/>
    <w:rsid w:val="00DA3667"/>
    <w:rsid w:val="00DB7C3B"/>
    <w:rsid w:val="00DB7E59"/>
    <w:rsid w:val="00DD087E"/>
    <w:rsid w:val="00DD0E02"/>
    <w:rsid w:val="00DD2431"/>
    <w:rsid w:val="00DD5E25"/>
    <w:rsid w:val="00DE1522"/>
    <w:rsid w:val="00DE1B8D"/>
    <w:rsid w:val="00DE593F"/>
    <w:rsid w:val="00DE69E7"/>
    <w:rsid w:val="00DE759E"/>
    <w:rsid w:val="00DF0511"/>
    <w:rsid w:val="00DF08EE"/>
    <w:rsid w:val="00DF4287"/>
    <w:rsid w:val="00DF6720"/>
    <w:rsid w:val="00E00454"/>
    <w:rsid w:val="00E07BDE"/>
    <w:rsid w:val="00E104E3"/>
    <w:rsid w:val="00E10CFD"/>
    <w:rsid w:val="00E14BF1"/>
    <w:rsid w:val="00E15799"/>
    <w:rsid w:val="00E1671B"/>
    <w:rsid w:val="00E16985"/>
    <w:rsid w:val="00E2262D"/>
    <w:rsid w:val="00E302EB"/>
    <w:rsid w:val="00E31985"/>
    <w:rsid w:val="00E32689"/>
    <w:rsid w:val="00E37228"/>
    <w:rsid w:val="00E4323C"/>
    <w:rsid w:val="00E5033D"/>
    <w:rsid w:val="00E50701"/>
    <w:rsid w:val="00E5232B"/>
    <w:rsid w:val="00E526AA"/>
    <w:rsid w:val="00E52F6B"/>
    <w:rsid w:val="00E57215"/>
    <w:rsid w:val="00E65207"/>
    <w:rsid w:val="00E65A3D"/>
    <w:rsid w:val="00E67F04"/>
    <w:rsid w:val="00E730EB"/>
    <w:rsid w:val="00E74CEF"/>
    <w:rsid w:val="00E75F25"/>
    <w:rsid w:val="00E827E8"/>
    <w:rsid w:val="00E83600"/>
    <w:rsid w:val="00E9790B"/>
    <w:rsid w:val="00E979AF"/>
    <w:rsid w:val="00EA0C0C"/>
    <w:rsid w:val="00EA5F17"/>
    <w:rsid w:val="00EB002E"/>
    <w:rsid w:val="00EB50C9"/>
    <w:rsid w:val="00EC4987"/>
    <w:rsid w:val="00EC753F"/>
    <w:rsid w:val="00ED2500"/>
    <w:rsid w:val="00ED385B"/>
    <w:rsid w:val="00ED583D"/>
    <w:rsid w:val="00ED6771"/>
    <w:rsid w:val="00ED7883"/>
    <w:rsid w:val="00EE2318"/>
    <w:rsid w:val="00EE2C94"/>
    <w:rsid w:val="00EE7114"/>
    <w:rsid w:val="00EF0FA9"/>
    <w:rsid w:val="00EF1023"/>
    <w:rsid w:val="00EF2321"/>
    <w:rsid w:val="00EF2644"/>
    <w:rsid w:val="00EF2C07"/>
    <w:rsid w:val="00EF48A6"/>
    <w:rsid w:val="00EF5724"/>
    <w:rsid w:val="00EF7ADD"/>
    <w:rsid w:val="00EF7D59"/>
    <w:rsid w:val="00F003CA"/>
    <w:rsid w:val="00F00A76"/>
    <w:rsid w:val="00F00D68"/>
    <w:rsid w:val="00F170F7"/>
    <w:rsid w:val="00F2382F"/>
    <w:rsid w:val="00F23E3C"/>
    <w:rsid w:val="00F25BD7"/>
    <w:rsid w:val="00F2635F"/>
    <w:rsid w:val="00F26979"/>
    <w:rsid w:val="00F273C4"/>
    <w:rsid w:val="00F2777A"/>
    <w:rsid w:val="00F3663D"/>
    <w:rsid w:val="00F36A98"/>
    <w:rsid w:val="00F4111D"/>
    <w:rsid w:val="00F43061"/>
    <w:rsid w:val="00F43789"/>
    <w:rsid w:val="00F43BFE"/>
    <w:rsid w:val="00F448DE"/>
    <w:rsid w:val="00F47284"/>
    <w:rsid w:val="00F47EBE"/>
    <w:rsid w:val="00F60BDC"/>
    <w:rsid w:val="00F61968"/>
    <w:rsid w:val="00F620E9"/>
    <w:rsid w:val="00F6465D"/>
    <w:rsid w:val="00F649ED"/>
    <w:rsid w:val="00F65E96"/>
    <w:rsid w:val="00F67893"/>
    <w:rsid w:val="00F764A6"/>
    <w:rsid w:val="00F920D6"/>
    <w:rsid w:val="00F93FF7"/>
    <w:rsid w:val="00F949D5"/>
    <w:rsid w:val="00F959AE"/>
    <w:rsid w:val="00FA0449"/>
    <w:rsid w:val="00FA0AA2"/>
    <w:rsid w:val="00FB24EB"/>
    <w:rsid w:val="00FB3AD0"/>
    <w:rsid w:val="00FB78AF"/>
    <w:rsid w:val="00FB7953"/>
    <w:rsid w:val="00FB7F75"/>
    <w:rsid w:val="00FC1B99"/>
    <w:rsid w:val="00FC6997"/>
    <w:rsid w:val="00FD0846"/>
    <w:rsid w:val="00FD16DD"/>
    <w:rsid w:val="00FD3B3E"/>
    <w:rsid w:val="00FD4752"/>
    <w:rsid w:val="00FD6F4A"/>
    <w:rsid w:val="00FE0607"/>
    <w:rsid w:val="00FE10D7"/>
    <w:rsid w:val="00FE1B0C"/>
    <w:rsid w:val="00FE31EC"/>
    <w:rsid w:val="00FE4D90"/>
    <w:rsid w:val="00FE5320"/>
    <w:rsid w:val="00FE71D2"/>
    <w:rsid w:val="00FF4C20"/>
  </w:rsids>
  <m:mathPr>
    <m:mathFont m:val="Cambria Math"/>
    <m:brkBin m:val="before"/>
    <m:brkBinSub m:val="--"/>
    <m:smallFrac/>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54"/>
  <w15:docId w15:val="{EA929048-BA04-43B1-9289-A9F303D9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aliases w:val="List Paragraph2"/>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uiPriority w:val="10"/>
    <w:locked/>
    <w:rsid w:val="00C129CB"/>
    <w:rPr>
      <w:b/>
      <w:bCs/>
      <w:sz w:val="24"/>
      <w:szCs w:val="24"/>
    </w:rPr>
  </w:style>
  <w:style w:type="paragraph" w:styleId="Title">
    <w:name w:val="Title"/>
    <w:aliases w:val="Char, Char"/>
    <w:basedOn w:val="Normal"/>
    <w:link w:val="TitleChar"/>
    <w:uiPriority w:val="10"/>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List Paragraph2 Char"/>
    <w:link w:val="ListParagraph"/>
    <w:uiPriority w:val="34"/>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 w:type="paragraph" w:styleId="FootnoteText">
    <w:name w:val="footnote text"/>
    <w:basedOn w:val="Normal"/>
    <w:link w:val="FootnoteTextChar"/>
    <w:semiHidden/>
    <w:unhideWhenUsed/>
    <w:rsid w:val="00232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F87"/>
    <w:rPr>
      <w:sz w:val="20"/>
      <w:szCs w:val="20"/>
    </w:rPr>
  </w:style>
  <w:style w:type="character" w:styleId="FootnoteReference">
    <w:name w:val="footnote reference"/>
    <w:basedOn w:val="DefaultParagraphFont"/>
    <w:semiHidden/>
    <w:unhideWhenUsed/>
    <w:rsid w:val="00232F87"/>
    <w:rPr>
      <w:vertAlign w:val="superscript"/>
    </w:rPr>
  </w:style>
  <w:style w:type="character" w:customStyle="1" w:styleId="Bodytext3">
    <w:name w:val="Body text (3)_"/>
    <w:link w:val="Bodytext31"/>
    <w:uiPriority w:val="99"/>
    <w:rsid w:val="00057724"/>
    <w:rPr>
      <w:i/>
      <w:iCs/>
      <w:sz w:val="16"/>
      <w:szCs w:val="16"/>
      <w:shd w:val="clear" w:color="auto" w:fill="FFFFFF"/>
    </w:rPr>
  </w:style>
  <w:style w:type="paragraph" w:customStyle="1" w:styleId="Bodytext31">
    <w:name w:val="Body text (3)1"/>
    <w:basedOn w:val="Normal"/>
    <w:link w:val="Bodytext3"/>
    <w:uiPriority w:val="99"/>
    <w:rsid w:val="00057724"/>
    <w:pPr>
      <w:widowControl w:val="0"/>
      <w:shd w:val="clear" w:color="auto" w:fill="FFFFFF"/>
      <w:spacing w:before="180" w:after="0" w:line="202" w:lineRule="exact"/>
      <w:ind w:hanging="480"/>
      <w:jc w:val="both"/>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6165">
      <w:bodyDiv w:val="1"/>
      <w:marLeft w:val="0"/>
      <w:marRight w:val="0"/>
      <w:marTop w:val="0"/>
      <w:marBottom w:val="0"/>
      <w:divBdr>
        <w:top w:val="none" w:sz="0" w:space="0" w:color="auto"/>
        <w:left w:val="none" w:sz="0" w:space="0" w:color="auto"/>
        <w:bottom w:val="none" w:sz="0" w:space="0" w:color="auto"/>
        <w:right w:val="none" w:sz="0" w:space="0" w:color="auto"/>
      </w:divBdr>
    </w:div>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30CF-B08C-4559-8ECC-6F3577ED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Dt.14.01.22</dc:subject>
  <dc:description/>
  <cp:lastModifiedBy>dritantelhaj@gmail.com</cp:lastModifiedBy>
  <cp:revision>4</cp:revision>
  <cp:lastPrinted>2022-01-31T08:23:00Z</cp:lastPrinted>
  <dcterms:created xsi:type="dcterms:W3CDTF">2022-01-31T08:23:00Z</dcterms:created>
  <dcterms:modified xsi:type="dcterms:W3CDTF">2022-01-31T17:01:00Z</dcterms:modified>
</cp:coreProperties>
</file>