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D0" w:rsidRPr="00EC2A85" w:rsidRDefault="00E427FA" w:rsidP="00E427FA">
      <w:pPr>
        <w:spacing w:after="0" w:line="360" w:lineRule="auto"/>
        <w:jc w:val="center"/>
        <w:rPr>
          <w:rFonts w:ascii="Times New Roman" w:eastAsia="Times New Roman" w:hAnsi="Times New Roman"/>
          <w:b/>
          <w:bCs/>
          <w:sz w:val="24"/>
          <w:szCs w:val="24"/>
          <w:lang w:val="sq-AL"/>
        </w:rPr>
      </w:pPr>
      <w:r>
        <w:rPr>
          <w:rFonts w:ascii="Times New Roman" w:eastAsia="Times New Roman" w:hAnsi="Times New Roman"/>
          <w:b/>
          <w:bCs/>
          <w:sz w:val="24"/>
          <w:szCs w:val="24"/>
          <w:lang w:val="sq-AL"/>
        </w:rPr>
        <w:t>Vendim nr. 53 dat</w:t>
      </w:r>
      <w:r w:rsidRPr="00E427FA">
        <w:rPr>
          <w:rFonts w:ascii="Times New Roman" w:eastAsia="Times New Roman" w:hAnsi="Times New Roman"/>
          <w:b/>
          <w:sz w:val="24"/>
          <w:szCs w:val="24"/>
          <w:lang w:val="sq-AL"/>
        </w:rPr>
        <w:t>ë</w:t>
      </w:r>
      <w:r w:rsidRPr="00E427FA">
        <w:rPr>
          <w:rFonts w:ascii="Times New Roman" w:eastAsia="Times New Roman" w:hAnsi="Times New Roman"/>
          <w:b/>
          <w:sz w:val="24"/>
          <w:szCs w:val="24"/>
          <w:lang w:val="sq-AL"/>
        </w:rPr>
        <w:t xml:space="preserve"> </w:t>
      </w:r>
      <w:r w:rsidRPr="00E427FA">
        <w:rPr>
          <w:rFonts w:ascii="Times New Roman" w:eastAsia="Times New Roman" w:hAnsi="Times New Roman"/>
          <w:b/>
          <w:sz w:val="24"/>
          <w:szCs w:val="24"/>
          <w:lang w:val="sq-AL"/>
        </w:rPr>
        <w:t>11.05.2022</w:t>
      </w:r>
    </w:p>
    <w:p w:rsidR="00AE00D0" w:rsidRPr="00EC2A85" w:rsidRDefault="00AE00D0" w:rsidP="00AE00D0">
      <w:pPr>
        <w:spacing w:after="0" w:line="360" w:lineRule="auto"/>
        <w:ind w:firstLine="567"/>
        <w:jc w:val="both"/>
        <w:rPr>
          <w:rFonts w:ascii="Times New Roman" w:eastAsia="Times New Roman" w:hAnsi="Times New Roman"/>
          <w:b/>
          <w:bCs/>
          <w:sz w:val="24"/>
          <w:szCs w:val="24"/>
          <w:lang w:val="sq-AL"/>
        </w:rPr>
      </w:pPr>
    </w:p>
    <w:p w:rsidR="00AE00D0" w:rsidRPr="00EC2A85" w:rsidRDefault="00AE00D0" w:rsidP="00AE00D0">
      <w:pPr>
        <w:spacing w:after="0" w:line="360" w:lineRule="auto"/>
        <w:ind w:firstLine="567"/>
        <w:jc w:val="both"/>
        <w:rPr>
          <w:rFonts w:ascii="Times New Roman" w:eastAsia="Times New Roman" w:hAnsi="Times New Roman"/>
          <w:sz w:val="24"/>
          <w:szCs w:val="24"/>
          <w:lang w:val="sq-AL"/>
        </w:rPr>
      </w:pPr>
      <w:r w:rsidRPr="00EC2A85">
        <w:rPr>
          <w:rFonts w:ascii="Times New Roman" w:eastAsia="Times New Roman" w:hAnsi="Times New Roman"/>
          <w:sz w:val="24"/>
          <w:szCs w:val="24"/>
          <w:lang w:val="sq-AL"/>
        </w:rPr>
        <w:t>Kolegji i Gjykatës Kushtetuese të Republikës së Shqipërisë, i përbërë nga:</w:t>
      </w:r>
    </w:p>
    <w:p w:rsidR="00AE00D0" w:rsidRPr="00EC2A85" w:rsidRDefault="00AE00D0" w:rsidP="00AE00D0">
      <w:pPr>
        <w:spacing w:after="0" w:line="360" w:lineRule="auto"/>
        <w:ind w:firstLine="720"/>
        <w:jc w:val="both"/>
        <w:rPr>
          <w:rFonts w:ascii="Times New Roman" w:eastAsia="Times New Roman" w:hAnsi="Times New Roman"/>
          <w:bCs/>
          <w:sz w:val="24"/>
          <w:szCs w:val="24"/>
          <w:lang w:val="sq-AL"/>
        </w:rPr>
      </w:pPr>
    </w:p>
    <w:p w:rsidR="009E11E5" w:rsidRPr="00EC2A85" w:rsidRDefault="009E11E5" w:rsidP="00740CD2">
      <w:pPr>
        <w:spacing w:after="0" w:line="360" w:lineRule="auto"/>
        <w:ind w:firstLine="2835"/>
        <w:jc w:val="both"/>
        <w:rPr>
          <w:rFonts w:ascii="Times New Roman" w:eastAsia="Times New Roman" w:hAnsi="Times New Roman"/>
          <w:bCs/>
          <w:sz w:val="24"/>
          <w:szCs w:val="24"/>
          <w:lang w:val="sq-AL"/>
        </w:rPr>
      </w:pPr>
      <w:proofErr w:type="spellStart"/>
      <w:r w:rsidRPr="00EC2A85">
        <w:rPr>
          <w:rFonts w:ascii="Times New Roman" w:eastAsia="Times New Roman" w:hAnsi="Times New Roman"/>
          <w:bCs/>
          <w:sz w:val="24"/>
          <w:szCs w:val="24"/>
          <w:lang w:val="sq-AL"/>
        </w:rPr>
        <w:t>Marsida</w:t>
      </w:r>
      <w:proofErr w:type="spellEnd"/>
      <w:r w:rsidRPr="00EC2A85">
        <w:rPr>
          <w:rFonts w:ascii="Times New Roman" w:eastAsia="Times New Roman" w:hAnsi="Times New Roman"/>
          <w:bCs/>
          <w:sz w:val="24"/>
          <w:szCs w:val="24"/>
          <w:lang w:val="sq-AL"/>
        </w:rPr>
        <w:t xml:space="preserve"> </w:t>
      </w:r>
      <w:proofErr w:type="spellStart"/>
      <w:r w:rsidRPr="00EC2A85">
        <w:rPr>
          <w:rFonts w:ascii="Times New Roman" w:eastAsia="Times New Roman" w:hAnsi="Times New Roman"/>
          <w:bCs/>
          <w:sz w:val="24"/>
          <w:szCs w:val="24"/>
          <w:lang w:val="sq-AL"/>
        </w:rPr>
        <w:t>Xhaferllari</w:t>
      </w:r>
      <w:proofErr w:type="spellEnd"/>
      <w:r w:rsidRPr="00EC2A85">
        <w:rPr>
          <w:rFonts w:ascii="Times New Roman" w:eastAsia="Times New Roman" w:hAnsi="Times New Roman"/>
          <w:bCs/>
          <w:sz w:val="24"/>
          <w:szCs w:val="24"/>
          <w:lang w:val="sq-AL"/>
        </w:rPr>
        <w:t>,</w:t>
      </w:r>
      <w:r w:rsidRPr="00EC2A85">
        <w:rPr>
          <w:rFonts w:ascii="Times New Roman" w:eastAsia="Times New Roman" w:hAnsi="Times New Roman"/>
          <w:bCs/>
          <w:sz w:val="24"/>
          <w:szCs w:val="24"/>
          <w:lang w:val="sq-AL"/>
        </w:rPr>
        <w:tab/>
        <w:t>Anëtare</w:t>
      </w:r>
      <w:r w:rsidR="00500D94">
        <w:rPr>
          <w:rFonts w:ascii="Times New Roman" w:eastAsia="Times New Roman" w:hAnsi="Times New Roman"/>
          <w:bCs/>
          <w:sz w:val="24"/>
          <w:szCs w:val="24"/>
          <w:lang w:val="sq-AL"/>
        </w:rPr>
        <w:t>,</w:t>
      </w:r>
    </w:p>
    <w:p w:rsidR="009E11E5" w:rsidRPr="00EC2A85" w:rsidRDefault="009E11E5" w:rsidP="00740CD2">
      <w:pPr>
        <w:spacing w:after="0" w:line="360" w:lineRule="auto"/>
        <w:ind w:firstLine="2835"/>
        <w:jc w:val="both"/>
        <w:rPr>
          <w:rFonts w:ascii="Times New Roman" w:eastAsia="Times New Roman" w:hAnsi="Times New Roman"/>
          <w:bCs/>
          <w:sz w:val="24"/>
          <w:szCs w:val="24"/>
          <w:lang w:val="sq-AL"/>
        </w:rPr>
      </w:pPr>
      <w:proofErr w:type="spellStart"/>
      <w:r w:rsidRPr="00EC2A85">
        <w:rPr>
          <w:rFonts w:ascii="Times New Roman" w:eastAsia="Times New Roman" w:hAnsi="Times New Roman"/>
          <w:bCs/>
          <w:sz w:val="24"/>
          <w:szCs w:val="24"/>
          <w:lang w:val="sq-AL"/>
        </w:rPr>
        <w:t>Elsa</w:t>
      </w:r>
      <w:proofErr w:type="spellEnd"/>
      <w:r w:rsidRPr="00EC2A85">
        <w:rPr>
          <w:rFonts w:ascii="Times New Roman" w:eastAsia="Times New Roman" w:hAnsi="Times New Roman"/>
          <w:bCs/>
          <w:sz w:val="24"/>
          <w:szCs w:val="24"/>
          <w:lang w:val="sq-AL"/>
        </w:rPr>
        <w:t xml:space="preserve"> Toska, </w:t>
      </w:r>
      <w:r w:rsidRPr="00EC2A85">
        <w:rPr>
          <w:rFonts w:ascii="Times New Roman" w:eastAsia="Times New Roman" w:hAnsi="Times New Roman"/>
          <w:bCs/>
          <w:sz w:val="24"/>
          <w:szCs w:val="24"/>
          <w:lang w:val="sq-AL"/>
        </w:rPr>
        <w:tab/>
      </w:r>
      <w:r w:rsidRPr="00EC2A85">
        <w:rPr>
          <w:rFonts w:ascii="Times New Roman" w:eastAsia="Times New Roman" w:hAnsi="Times New Roman"/>
          <w:bCs/>
          <w:sz w:val="24"/>
          <w:szCs w:val="24"/>
          <w:lang w:val="sq-AL"/>
        </w:rPr>
        <w:tab/>
        <w:t>Anëtare</w:t>
      </w:r>
      <w:r w:rsidR="00500D94">
        <w:rPr>
          <w:rFonts w:ascii="Times New Roman" w:eastAsia="Times New Roman" w:hAnsi="Times New Roman"/>
          <w:bCs/>
          <w:sz w:val="24"/>
          <w:szCs w:val="24"/>
          <w:lang w:val="sq-AL"/>
        </w:rPr>
        <w:t>,</w:t>
      </w:r>
    </w:p>
    <w:p w:rsidR="00AE00D0" w:rsidRPr="00EC2A85" w:rsidRDefault="009E11E5" w:rsidP="00740CD2">
      <w:pPr>
        <w:tabs>
          <w:tab w:val="left" w:pos="3960"/>
        </w:tabs>
        <w:spacing w:after="0" w:line="360" w:lineRule="auto"/>
        <w:ind w:firstLine="2127"/>
        <w:rPr>
          <w:rFonts w:ascii="Times New Roman" w:eastAsia="Times New Roman" w:hAnsi="Times New Roman"/>
          <w:bCs/>
          <w:sz w:val="24"/>
          <w:szCs w:val="24"/>
          <w:lang w:val="sq-AL"/>
        </w:rPr>
      </w:pPr>
      <w:r w:rsidRPr="00EC2A85">
        <w:rPr>
          <w:rFonts w:ascii="Times New Roman" w:eastAsia="Times New Roman" w:hAnsi="Times New Roman"/>
          <w:bCs/>
          <w:sz w:val="24"/>
          <w:szCs w:val="24"/>
          <w:lang w:val="sq-AL"/>
        </w:rPr>
        <w:t xml:space="preserve">            </w:t>
      </w:r>
      <w:proofErr w:type="spellStart"/>
      <w:r w:rsidR="00A07136" w:rsidRPr="00EC2A85">
        <w:rPr>
          <w:rFonts w:ascii="Times New Roman" w:eastAsia="Times New Roman" w:hAnsi="Times New Roman"/>
          <w:bCs/>
          <w:sz w:val="24"/>
          <w:szCs w:val="24"/>
          <w:lang w:val="sq-AL"/>
        </w:rPr>
        <w:t>Sandër</w:t>
      </w:r>
      <w:proofErr w:type="spellEnd"/>
      <w:r w:rsidR="00A07136" w:rsidRPr="00EC2A85">
        <w:rPr>
          <w:rFonts w:ascii="Times New Roman" w:eastAsia="Times New Roman" w:hAnsi="Times New Roman"/>
          <w:bCs/>
          <w:sz w:val="24"/>
          <w:szCs w:val="24"/>
          <w:lang w:val="sq-AL"/>
        </w:rPr>
        <w:t xml:space="preserve"> Beci</w:t>
      </w:r>
      <w:r w:rsidR="00AE00D0" w:rsidRPr="00EC2A85">
        <w:rPr>
          <w:rFonts w:ascii="Times New Roman" w:eastAsia="Times New Roman" w:hAnsi="Times New Roman"/>
          <w:bCs/>
          <w:sz w:val="24"/>
          <w:szCs w:val="24"/>
          <w:lang w:val="sq-AL"/>
        </w:rPr>
        <w:t>,</w:t>
      </w:r>
      <w:r w:rsidRPr="00EC2A85">
        <w:rPr>
          <w:rFonts w:ascii="Times New Roman" w:eastAsia="Times New Roman" w:hAnsi="Times New Roman"/>
          <w:bCs/>
          <w:sz w:val="24"/>
          <w:szCs w:val="24"/>
          <w:lang w:val="sq-AL"/>
        </w:rPr>
        <w:t xml:space="preserve">                Anëtar</w:t>
      </w:r>
      <w:r w:rsidR="00500D94">
        <w:rPr>
          <w:rFonts w:ascii="Times New Roman" w:eastAsia="Times New Roman" w:hAnsi="Times New Roman"/>
          <w:bCs/>
          <w:sz w:val="24"/>
          <w:szCs w:val="24"/>
          <w:lang w:val="sq-AL"/>
        </w:rPr>
        <w:t>,</w:t>
      </w:r>
      <w:r w:rsidRPr="00EC2A85">
        <w:rPr>
          <w:rFonts w:ascii="Times New Roman" w:eastAsia="Times New Roman" w:hAnsi="Times New Roman"/>
          <w:bCs/>
          <w:sz w:val="24"/>
          <w:szCs w:val="24"/>
          <w:lang w:val="sq-AL"/>
        </w:rPr>
        <w:tab/>
      </w:r>
      <w:r w:rsidR="00AE00D0" w:rsidRPr="00EC2A85">
        <w:rPr>
          <w:rFonts w:ascii="Times New Roman" w:eastAsia="Times New Roman" w:hAnsi="Times New Roman"/>
          <w:bCs/>
          <w:sz w:val="24"/>
          <w:szCs w:val="24"/>
          <w:lang w:val="sq-AL"/>
        </w:rPr>
        <w:tab/>
      </w:r>
      <w:r w:rsidR="00AE00D0" w:rsidRPr="00EC2A85">
        <w:rPr>
          <w:rFonts w:ascii="Times New Roman" w:eastAsia="Times New Roman" w:hAnsi="Times New Roman"/>
          <w:bCs/>
          <w:sz w:val="24"/>
          <w:szCs w:val="24"/>
          <w:lang w:val="sq-AL"/>
        </w:rPr>
        <w:tab/>
      </w:r>
    </w:p>
    <w:p w:rsidR="00AE00D0" w:rsidRPr="00EC2A85" w:rsidRDefault="00AE00D0" w:rsidP="00AE00D0">
      <w:pPr>
        <w:spacing w:after="0" w:line="360" w:lineRule="auto"/>
        <w:jc w:val="both"/>
        <w:rPr>
          <w:rFonts w:ascii="Times New Roman" w:eastAsia="Times New Roman" w:hAnsi="Times New Roman"/>
          <w:sz w:val="24"/>
          <w:szCs w:val="24"/>
          <w:lang w:val="sq-AL"/>
        </w:rPr>
      </w:pPr>
    </w:p>
    <w:p w:rsidR="00AE00D0" w:rsidRPr="00EC2A85" w:rsidRDefault="00AE00D0" w:rsidP="00740CD2">
      <w:pPr>
        <w:spacing w:after="0" w:line="360" w:lineRule="auto"/>
        <w:ind w:firstLine="720"/>
        <w:jc w:val="both"/>
        <w:rPr>
          <w:rFonts w:ascii="Times New Roman" w:eastAsia="Times New Roman" w:hAnsi="Times New Roman"/>
          <w:b/>
          <w:color w:val="FF0000"/>
          <w:sz w:val="24"/>
          <w:szCs w:val="24"/>
          <w:lang w:val="sq-AL"/>
        </w:rPr>
      </w:pPr>
      <w:r w:rsidRPr="00EC2A85">
        <w:rPr>
          <w:rFonts w:ascii="Times New Roman" w:eastAsia="Times New Roman" w:hAnsi="Times New Roman"/>
          <w:sz w:val="24"/>
          <w:szCs w:val="24"/>
          <w:lang w:val="sq-AL"/>
        </w:rPr>
        <w:t xml:space="preserve">në datën </w:t>
      </w:r>
      <w:r w:rsidR="00A07136" w:rsidRPr="00EC2A85">
        <w:rPr>
          <w:rFonts w:ascii="Times New Roman" w:eastAsia="Times New Roman" w:hAnsi="Times New Roman"/>
          <w:sz w:val="24"/>
          <w:szCs w:val="24"/>
          <w:lang w:val="sq-AL"/>
        </w:rPr>
        <w:t>1</w:t>
      </w:r>
      <w:r w:rsidRPr="00EC2A85">
        <w:rPr>
          <w:rFonts w:ascii="Times New Roman" w:eastAsia="Times New Roman" w:hAnsi="Times New Roman"/>
          <w:sz w:val="24"/>
          <w:szCs w:val="24"/>
          <w:lang w:val="sq-AL"/>
        </w:rPr>
        <w:t>1.0</w:t>
      </w:r>
      <w:r w:rsidR="00A07136" w:rsidRPr="00EC2A85">
        <w:rPr>
          <w:rFonts w:ascii="Times New Roman" w:eastAsia="Times New Roman" w:hAnsi="Times New Roman"/>
          <w:sz w:val="24"/>
          <w:szCs w:val="24"/>
          <w:lang w:val="sq-AL"/>
        </w:rPr>
        <w:t>5</w:t>
      </w:r>
      <w:r w:rsidRPr="00EC2A85">
        <w:rPr>
          <w:rFonts w:ascii="Times New Roman" w:eastAsia="Times New Roman" w:hAnsi="Times New Roman"/>
          <w:sz w:val="24"/>
          <w:szCs w:val="24"/>
          <w:lang w:val="sq-AL"/>
        </w:rPr>
        <w:t>.2022 mori në shqyrtim paraprak kërkesën nr.</w:t>
      </w:r>
      <w:r w:rsidRPr="00EC2A85">
        <w:rPr>
          <w:rFonts w:ascii="Times New Roman" w:eastAsia="Times New Roman" w:hAnsi="Times New Roman"/>
          <w:bCs/>
          <w:sz w:val="24"/>
          <w:szCs w:val="24"/>
          <w:lang w:val="sq-AL"/>
        </w:rPr>
        <w:t xml:space="preserve"> 2 (V) 2022 të</w:t>
      </w:r>
      <w:r w:rsidRPr="00EC2A85">
        <w:rPr>
          <w:rFonts w:ascii="Times New Roman" w:eastAsia="Times New Roman" w:hAnsi="Times New Roman"/>
          <w:sz w:val="24"/>
          <w:szCs w:val="24"/>
          <w:lang w:val="sq-AL"/>
        </w:rPr>
        <w:t xml:space="preserve"> Regjistrit Themeltar, që i përket:</w:t>
      </w:r>
      <w:r w:rsidR="00740CD2">
        <w:rPr>
          <w:rFonts w:ascii="Times New Roman" w:eastAsia="Times New Roman" w:hAnsi="Times New Roman"/>
          <w:sz w:val="24"/>
          <w:szCs w:val="24"/>
          <w:lang w:val="sq-AL"/>
        </w:rPr>
        <w:t xml:space="preserve"> </w:t>
      </w:r>
    </w:p>
    <w:p w:rsidR="00AE00D0" w:rsidRPr="00EC2A85" w:rsidRDefault="00AE00D0" w:rsidP="00AE00D0">
      <w:pPr>
        <w:spacing w:after="0" w:line="360" w:lineRule="auto"/>
        <w:rPr>
          <w:rFonts w:ascii="Times New Roman" w:hAnsi="Times New Roman"/>
          <w:b/>
          <w:sz w:val="24"/>
          <w:szCs w:val="24"/>
          <w:lang w:val="sq-AL"/>
        </w:rPr>
      </w:pPr>
    </w:p>
    <w:p w:rsidR="00AE00D0" w:rsidRPr="00EC2A85" w:rsidRDefault="00AE00D0" w:rsidP="00AE00D0">
      <w:pPr>
        <w:spacing w:after="0" w:line="360" w:lineRule="auto"/>
        <w:ind w:left="2880" w:hanging="2160"/>
        <w:jc w:val="both"/>
        <w:rPr>
          <w:rFonts w:ascii="Times New Roman" w:hAnsi="Times New Roman"/>
          <w:b/>
          <w:sz w:val="24"/>
          <w:szCs w:val="24"/>
          <w:lang w:val="sq-AL"/>
        </w:rPr>
      </w:pPr>
      <w:r w:rsidRPr="00EC2A85">
        <w:rPr>
          <w:rFonts w:ascii="Times New Roman" w:hAnsi="Times New Roman"/>
          <w:b/>
          <w:sz w:val="24"/>
          <w:szCs w:val="24"/>
          <w:lang w:val="sq-AL"/>
        </w:rPr>
        <w:t>KËRKUES:</w:t>
      </w:r>
      <w:r w:rsidRPr="00EC2A85">
        <w:rPr>
          <w:rFonts w:ascii="Times New Roman" w:hAnsi="Times New Roman"/>
          <w:b/>
          <w:sz w:val="24"/>
          <w:szCs w:val="24"/>
          <w:lang w:val="sq-AL"/>
        </w:rPr>
        <w:tab/>
        <w:t>VIKTOR ELEZI</w:t>
      </w:r>
    </w:p>
    <w:p w:rsidR="00AE00D0" w:rsidRPr="00EC2A85" w:rsidRDefault="00AE00D0" w:rsidP="00AE00D0">
      <w:pPr>
        <w:spacing w:after="0" w:line="360" w:lineRule="auto"/>
        <w:ind w:left="2880" w:hanging="2160"/>
        <w:jc w:val="both"/>
        <w:rPr>
          <w:rFonts w:ascii="Times New Roman" w:hAnsi="Times New Roman"/>
          <w:b/>
          <w:sz w:val="24"/>
          <w:szCs w:val="24"/>
          <w:lang w:val="sq-AL"/>
        </w:rPr>
      </w:pPr>
    </w:p>
    <w:p w:rsidR="00AE00D0" w:rsidRPr="00EC2A85" w:rsidRDefault="00AE00D0" w:rsidP="00AE00D0">
      <w:pPr>
        <w:spacing w:after="0" w:line="360" w:lineRule="auto"/>
        <w:ind w:left="2880" w:hanging="2160"/>
        <w:jc w:val="both"/>
        <w:rPr>
          <w:rFonts w:ascii="Times New Roman" w:hAnsi="Times New Roman"/>
          <w:b/>
          <w:sz w:val="24"/>
          <w:szCs w:val="24"/>
          <w:lang w:val="sq-AL"/>
        </w:rPr>
      </w:pPr>
      <w:r w:rsidRPr="00EC2A85">
        <w:rPr>
          <w:rFonts w:ascii="Times New Roman" w:hAnsi="Times New Roman"/>
          <w:b/>
          <w:sz w:val="24"/>
          <w:szCs w:val="24"/>
          <w:lang w:val="sq-AL"/>
        </w:rPr>
        <w:t>OBJEKTI:</w:t>
      </w:r>
      <w:r w:rsidRPr="00EC2A85">
        <w:rPr>
          <w:rFonts w:ascii="Times New Roman" w:hAnsi="Times New Roman"/>
          <w:b/>
          <w:sz w:val="24"/>
          <w:szCs w:val="24"/>
          <w:lang w:val="sq-AL"/>
        </w:rPr>
        <w:tab/>
        <w:t>Shfuqizimi i vendimeve nr. 1494, datë 30.05.2018 të Gjykatës së Apelit Tiranë dhe nr. 00-2022-20, datë 25.01.2022 të Kolegjit Civil të Gjykatës së Lartë</w:t>
      </w:r>
      <w:r w:rsidR="00500D94">
        <w:rPr>
          <w:rFonts w:ascii="Times New Roman" w:hAnsi="Times New Roman"/>
          <w:b/>
          <w:sz w:val="24"/>
          <w:szCs w:val="24"/>
          <w:lang w:val="sq-AL"/>
        </w:rPr>
        <w:t>,</w:t>
      </w:r>
      <w:r w:rsidRPr="00EC2A85">
        <w:rPr>
          <w:rFonts w:ascii="Times New Roman" w:hAnsi="Times New Roman"/>
          <w:b/>
          <w:sz w:val="24"/>
          <w:szCs w:val="24"/>
          <w:lang w:val="sq-AL"/>
        </w:rPr>
        <w:t xml:space="preserve"> si të papajtueshm</w:t>
      </w:r>
      <w:r w:rsidR="00500D94">
        <w:rPr>
          <w:rFonts w:ascii="Times New Roman" w:hAnsi="Times New Roman"/>
          <w:b/>
          <w:sz w:val="24"/>
          <w:szCs w:val="24"/>
          <w:lang w:val="sq-AL"/>
        </w:rPr>
        <w:t>e</w:t>
      </w:r>
      <w:r w:rsidRPr="00EC2A85">
        <w:rPr>
          <w:rFonts w:ascii="Times New Roman" w:hAnsi="Times New Roman"/>
          <w:b/>
          <w:sz w:val="24"/>
          <w:szCs w:val="24"/>
          <w:lang w:val="sq-AL"/>
        </w:rPr>
        <w:t xml:space="preserve"> me Kushtetutën</w:t>
      </w:r>
      <w:r w:rsidR="00500D94">
        <w:rPr>
          <w:rFonts w:ascii="Times New Roman" w:hAnsi="Times New Roman"/>
          <w:b/>
          <w:sz w:val="24"/>
          <w:szCs w:val="24"/>
          <w:lang w:val="sq-AL"/>
        </w:rPr>
        <w:t xml:space="preserve"> e Republikës së Shqipërisë</w:t>
      </w:r>
      <w:r w:rsidRPr="00EC2A85">
        <w:rPr>
          <w:rFonts w:ascii="Times New Roman" w:hAnsi="Times New Roman"/>
          <w:b/>
          <w:sz w:val="24"/>
          <w:szCs w:val="24"/>
          <w:lang w:val="sq-AL"/>
        </w:rPr>
        <w:t>.</w:t>
      </w:r>
    </w:p>
    <w:p w:rsidR="00AE00D0" w:rsidRPr="00EC2A85" w:rsidRDefault="00AE00D0" w:rsidP="00AE00D0">
      <w:pPr>
        <w:spacing w:after="0" w:line="360" w:lineRule="auto"/>
        <w:ind w:left="2880" w:hanging="2160"/>
        <w:jc w:val="both"/>
        <w:rPr>
          <w:rFonts w:ascii="Times New Roman" w:hAnsi="Times New Roman"/>
          <w:b/>
          <w:bCs/>
          <w:sz w:val="24"/>
          <w:szCs w:val="24"/>
          <w:lang w:val="sq-AL"/>
        </w:rPr>
      </w:pPr>
      <w:r w:rsidRPr="00EC2A85">
        <w:rPr>
          <w:rFonts w:ascii="Times New Roman" w:hAnsi="Times New Roman"/>
          <w:b/>
          <w:sz w:val="24"/>
          <w:szCs w:val="24"/>
          <w:lang w:val="sq-AL"/>
        </w:rPr>
        <w:tab/>
        <w:t xml:space="preserve"> </w:t>
      </w:r>
    </w:p>
    <w:p w:rsidR="00AE00D0" w:rsidRPr="00EC2A85" w:rsidRDefault="00AE00D0" w:rsidP="00AE00D0">
      <w:pPr>
        <w:spacing w:after="0" w:line="360" w:lineRule="auto"/>
        <w:ind w:left="2880" w:hanging="2171"/>
        <w:jc w:val="both"/>
        <w:rPr>
          <w:rFonts w:ascii="Times New Roman" w:hAnsi="Times New Roman"/>
          <w:sz w:val="24"/>
          <w:szCs w:val="24"/>
          <w:lang w:val="sq-AL"/>
        </w:rPr>
      </w:pPr>
      <w:r w:rsidRPr="00EC2A85">
        <w:rPr>
          <w:rFonts w:ascii="Times New Roman" w:hAnsi="Times New Roman"/>
          <w:b/>
          <w:sz w:val="24"/>
          <w:szCs w:val="24"/>
          <w:lang w:val="sq-AL"/>
        </w:rPr>
        <w:t>BAZA LIGJORE:</w:t>
      </w:r>
      <w:r w:rsidRPr="00EC2A85">
        <w:rPr>
          <w:rFonts w:ascii="Times New Roman" w:hAnsi="Times New Roman"/>
          <w:b/>
          <w:sz w:val="24"/>
          <w:szCs w:val="24"/>
          <w:lang w:val="sq-AL"/>
        </w:rPr>
        <w:tab/>
      </w:r>
      <w:r w:rsidRPr="00EC2A85">
        <w:rPr>
          <w:rFonts w:ascii="Times New Roman" w:hAnsi="Times New Roman"/>
          <w:sz w:val="24"/>
          <w:szCs w:val="24"/>
          <w:lang w:val="sq-AL"/>
        </w:rPr>
        <w:t xml:space="preserve">Nenet 42, pikat 1 dhe 2, </w:t>
      </w:r>
      <w:r w:rsidRPr="00EC2A85">
        <w:rPr>
          <w:rFonts w:ascii="Times New Roman" w:eastAsia="MS Mincho" w:hAnsi="Times New Roman"/>
          <w:sz w:val="24"/>
          <w:szCs w:val="24"/>
          <w:lang w:val="sq-AL"/>
        </w:rPr>
        <w:t>131, pika 1, shkronja “f” dhe 134, pika 1, shkronja “i”</w:t>
      </w:r>
      <w:r w:rsidR="00500D94">
        <w:rPr>
          <w:rFonts w:ascii="Times New Roman" w:eastAsia="MS Mincho" w:hAnsi="Times New Roman"/>
          <w:sz w:val="24"/>
          <w:szCs w:val="24"/>
          <w:lang w:val="sq-AL"/>
        </w:rPr>
        <w:t>,</w:t>
      </w:r>
      <w:r w:rsidRPr="00EC2A85">
        <w:rPr>
          <w:rFonts w:ascii="Times New Roman" w:eastAsia="MS Mincho" w:hAnsi="Times New Roman"/>
          <w:sz w:val="24"/>
          <w:szCs w:val="24"/>
          <w:lang w:val="sq-AL"/>
        </w:rPr>
        <w:t xml:space="preserve"> të Kushtetutës së Republikës së Shqipërisë; neni 6 i Konventës Evropiane për të Drejtat e Njeriut (</w:t>
      </w:r>
      <w:r w:rsidRPr="00EC2A85">
        <w:rPr>
          <w:rFonts w:ascii="Times New Roman" w:eastAsia="MS Mincho" w:hAnsi="Times New Roman"/>
          <w:i/>
          <w:sz w:val="24"/>
          <w:szCs w:val="24"/>
          <w:lang w:val="sq-AL"/>
        </w:rPr>
        <w:t>KEDNJ</w:t>
      </w:r>
      <w:r w:rsidRPr="00EC2A85">
        <w:rPr>
          <w:rFonts w:ascii="Times New Roman" w:eastAsia="MS Mincho" w:hAnsi="Times New Roman"/>
          <w:sz w:val="24"/>
          <w:szCs w:val="24"/>
          <w:lang w:val="sq-AL"/>
        </w:rPr>
        <w:t xml:space="preserve">); </w:t>
      </w:r>
      <w:r w:rsidRPr="00EC2A85">
        <w:rPr>
          <w:rFonts w:ascii="Times New Roman" w:hAnsi="Times New Roman"/>
          <w:sz w:val="24"/>
          <w:szCs w:val="24"/>
          <w:lang w:val="sq-AL" w:eastAsia="sq-AL"/>
        </w:rPr>
        <w:t>ligji nr. 8577, datë 10.02.2000 “</w:t>
      </w:r>
      <w:r w:rsidRPr="00EC2A85">
        <w:rPr>
          <w:rFonts w:ascii="Times New Roman" w:hAnsi="Times New Roman"/>
          <w:iCs/>
          <w:sz w:val="24"/>
          <w:szCs w:val="24"/>
          <w:lang w:val="sq-AL" w:eastAsia="sq-AL"/>
        </w:rPr>
        <w:t>Për organizimin dhe funksionimin e Gjykatës Kushtetuese të Republikës së Shqipërisë</w:t>
      </w:r>
      <w:r w:rsidRPr="00EC2A85">
        <w:rPr>
          <w:rFonts w:ascii="Times New Roman" w:hAnsi="Times New Roman"/>
          <w:sz w:val="24"/>
          <w:szCs w:val="24"/>
          <w:lang w:val="sq-AL" w:eastAsia="sq-AL"/>
        </w:rPr>
        <w:t>”, i ndryshuar (</w:t>
      </w:r>
      <w:r w:rsidRPr="00EC2A85">
        <w:rPr>
          <w:rFonts w:ascii="Times New Roman" w:hAnsi="Times New Roman"/>
          <w:i/>
          <w:sz w:val="24"/>
          <w:szCs w:val="24"/>
          <w:lang w:val="sq-AL" w:eastAsia="sq-AL"/>
        </w:rPr>
        <w:t>ligji nr. 8577/2000</w:t>
      </w:r>
      <w:r w:rsidRPr="00EC2A85">
        <w:rPr>
          <w:rFonts w:ascii="Times New Roman" w:hAnsi="Times New Roman"/>
          <w:sz w:val="24"/>
          <w:szCs w:val="24"/>
          <w:lang w:val="sq-AL" w:eastAsia="sq-AL"/>
        </w:rPr>
        <w:t>)</w:t>
      </w:r>
      <w:r w:rsidRPr="00EC2A85">
        <w:rPr>
          <w:rFonts w:ascii="Times New Roman" w:hAnsi="Times New Roman"/>
          <w:sz w:val="24"/>
          <w:szCs w:val="24"/>
          <w:lang w:val="sq-AL"/>
        </w:rPr>
        <w:t>.</w:t>
      </w:r>
    </w:p>
    <w:p w:rsidR="00AE00D0" w:rsidRPr="00500D94" w:rsidRDefault="00500D94" w:rsidP="00500D94">
      <w:pPr>
        <w:tabs>
          <w:tab w:val="left" w:pos="851"/>
        </w:tabs>
        <w:spacing w:after="0" w:line="360" w:lineRule="auto"/>
        <w:jc w:val="center"/>
        <w:rPr>
          <w:rFonts w:ascii="Times New Roman" w:eastAsia="Times New Roman" w:hAnsi="Times New Roman"/>
          <w:b/>
          <w:sz w:val="24"/>
          <w:szCs w:val="24"/>
          <w:lang w:val="sq-AL"/>
        </w:rPr>
      </w:pPr>
      <w:r>
        <w:rPr>
          <w:rFonts w:ascii="Times New Roman" w:eastAsia="Times New Roman" w:hAnsi="Times New Roman"/>
          <w:b/>
          <w:bCs/>
          <w:sz w:val="24"/>
          <w:szCs w:val="24"/>
          <w:lang w:val="sq-AL"/>
        </w:rPr>
        <w:t>VËREN:</w:t>
      </w:r>
    </w:p>
    <w:p w:rsidR="00AE00D0" w:rsidRPr="00EC2A85" w:rsidRDefault="00AE00D0" w:rsidP="00AE00D0">
      <w:pPr>
        <w:spacing w:after="0" w:line="360" w:lineRule="auto"/>
        <w:jc w:val="center"/>
        <w:rPr>
          <w:rFonts w:ascii="Times New Roman" w:hAnsi="Times New Roman"/>
          <w:b/>
          <w:sz w:val="24"/>
          <w:szCs w:val="24"/>
          <w:lang w:val="sq-AL"/>
        </w:rPr>
      </w:pPr>
      <w:r w:rsidRPr="00EC2A85">
        <w:rPr>
          <w:rFonts w:ascii="Times New Roman" w:hAnsi="Times New Roman"/>
          <w:b/>
          <w:sz w:val="24"/>
          <w:szCs w:val="24"/>
          <w:lang w:val="sq-AL"/>
        </w:rPr>
        <w:t>I</w:t>
      </w:r>
    </w:p>
    <w:p w:rsidR="00AE00D0" w:rsidRPr="00EC2A85" w:rsidRDefault="00AE00D0" w:rsidP="00AE00D0">
      <w:pPr>
        <w:spacing w:after="0" w:line="360" w:lineRule="auto"/>
        <w:jc w:val="center"/>
        <w:rPr>
          <w:rFonts w:ascii="Times New Roman" w:hAnsi="Times New Roman"/>
          <w:b/>
          <w:sz w:val="24"/>
          <w:szCs w:val="24"/>
          <w:lang w:val="sq-AL"/>
        </w:rPr>
      </w:pPr>
      <w:r w:rsidRPr="00EC2A85">
        <w:rPr>
          <w:rFonts w:ascii="Times New Roman" w:hAnsi="Times New Roman"/>
          <w:b/>
          <w:sz w:val="24"/>
          <w:szCs w:val="24"/>
          <w:lang w:val="sq-AL"/>
        </w:rPr>
        <w:t>Rrethanat e çështjes</w:t>
      </w:r>
    </w:p>
    <w:p w:rsidR="00AE00D0" w:rsidRPr="00EC2A85" w:rsidRDefault="00AE00D0" w:rsidP="00AE00D0">
      <w:pPr>
        <w:spacing w:after="0" w:line="360" w:lineRule="auto"/>
        <w:rPr>
          <w:rFonts w:ascii="Times New Roman" w:hAnsi="Times New Roman"/>
          <w:sz w:val="24"/>
          <w:szCs w:val="24"/>
          <w:lang w:val="sq-AL"/>
        </w:rPr>
      </w:pPr>
    </w:p>
    <w:p w:rsidR="00AE00D0" w:rsidRPr="00EC2A85"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Prokuroria pranë Gjykatës së Rrethit Gjyqësor Dibër ka regji</w:t>
      </w:r>
      <w:r w:rsidR="00500D94">
        <w:rPr>
          <w:rFonts w:ascii="Times New Roman" w:hAnsi="Times New Roman"/>
          <w:sz w:val="24"/>
          <w:szCs w:val="24"/>
          <w:lang w:val="sq-AL"/>
        </w:rPr>
        <w:t>struar procedimin penal nr. 441</w:t>
      </w:r>
      <w:r w:rsidRPr="00EC2A85">
        <w:rPr>
          <w:rFonts w:ascii="Times New Roman" w:hAnsi="Times New Roman"/>
          <w:sz w:val="24"/>
          <w:szCs w:val="24"/>
          <w:lang w:val="sq-AL"/>
        </w:rPr>
        <w:t xml:space="preserve"> të vitit 2017, në ngarkim të shtetasit </w:t>
      </w:r>
      <w:proofErr w:type="spellStart"/>
      <w:r w:rsidRPr="00EC2A85">
        <w:rPr>
          <w:rFonts w:ascii="Times New Roman" w:hAnsi="Times New Roman"/>
          <w:sz w:val="24"/>
          <w:szCs w:val="24"/>
          <w:lang w:val="sq-AL"/>
        </w:rPr>
        <w:t>Viktor</w:t>
      </w:r>
      <w:proofErr w:type="spellEnd"/>
      <w:r w:rsidRPr="00EC2A85">
        <w:rPr>
          <w:rFonts w:ascii="Times New Roman" w:hAnsi="Times New Roman"/>
          <w:sz w:val="24"/>
          <w:szCs w:val="24"/>
          <w:lang w:val="sq-AL"/>
        </w:rPr>
        <w:t xml:space="preserve"> (</w:t>
      </w:r>
      <w:proofErr w:type="spellStart"/>
      <w:r w:rsidRPr="00EC2A85">
        <w:rPr>
          <w:rFonts w:ascii="Times New Roman" w:hAnsi="Times New Roman"/>
          <w:sz w:val="24"/>
          <w:szCs w:val="24"/>
          <w:lang w:val="sq-AL"/>
        </w:rPr>
        <w:t>Xhevair</w:t>
      </w:r>
      <w:proofErr w:type="spellEnd"/>
      <w:r w:rsidRPr="00EC2A85">
        <w:rPr>
          <w:rFonts w:ascii="Times New Roman" w:hAnsi="Times New Roman"/>
          <w:sz w:val="24"/>
          <w:szCs w:val="24"/>
          <w:lang w:val="sq-AL"/>
        </w:rPr>
        <w:t xml:space="preserve">) </w:t>
      </w:r>
      <w:proofErr w:type="spellStart"/>
      <w:r w:rsidRPr="00EC2A85">
        <w:rPr>
          <w:rFonts w:ascii="Times New Roman" w:hAnsi="Times New Roman"/>
          <w:sz w:val="24"/>
          <w:szCs w:val="24"/>
          <w:lang w:val="sq-AL"/>
        </w:rPr>
        <w:t>Elezi</w:t>
      </w:r>
      <w:proofErr w:type="spellEnd"/>
      <w:r w:rsidRPr="00EC2A85">
        <w:rPr>
          <w:rFonts w:ascii="Times New Roman" w:hAnsi="Times New Roman"/>
          <w:sz w:val="24"/>
          <w:szCs w:val="24"/>
          <w:lang w:val="sq-AL"/>
        </w:rPr>
        <w:t xml:space="preserve"> (</w:t>
      </w:r>
      <w:r w:rsidRPr="00EC2A85">
        <w:rPr>
          <w:rFonts w:ascii="Times New Roman" w:hAnsi="Times New Roman"/>
          <w:i/>
          <w:sz w:val="24"/>
          <w:szCs w:val="24"/>
          <w:lang w:val="sq-AL"/>
        </w:rPr>
        <w:t>kërkuesi</w:t>
      </w:r>
      <w:r w:rsidRPr="00EC2A85">
        <w:rPr>
          <w:rFonts w:ascii="Times New Roman" w:hAnsi="Times New Roman"/>
          <w:sz w:val="24"/>
          <w:szCs w:val="24"/>
          <w:lang w:val="sq-AL"/>
        </w:rPr>
        <w:t>), i dyshuar për veprat penale “Vrasja me dashje” dhe “Mbajtja pa leje dhe prodhimi i armëve shpërthyese dhe i municionit”, të parashikuara nga nenet 76 dhe 278, pika 1, të Kodit Penal</w:t>
      </w:r>
      <w:r w:rsidR="00500D94">
        <w:rPr>
          <w:rFonts w:ascii="Times New Roman" w:hAnsi="Times New Roman"/>
          <w:sz w:val="24"/>
          <w:szCs w:val="24"/>
          <w:lang w:val="sq-AL"/>
        </w:rPr>
        <w:t xml:space="preserve"> </w:t>
      </w:r>
      <w:r w:rsidR="00500D94" w:rsidRPr="00500D94">
        <w:rPr>
          <w:rFonts w:ascii="Times New Roman" w:hAnsi="Times New Roman"/>
          <w:i/>
          <w:sz w:val="24"/>
          <w:szCs w:val="24"/>
          <w:lang w:val="sq-AL"/>
        </w:rPr>
        <w:t>(KP)</w:t>
      </w:r>
      <w:r w:rsidRPr="00EC2A85">
        <w:rPr>
          <w:rFonts w:ascii="Times New Roman" w:hAnsi="Times New Roman"/>
          <w:sz w:val="24"/>
          <w:szCs w:val="24"/>
          <w:lang w:val="sq-AL"/>
        </w:rPr>
        <w:t>, si dhe shtetasit V. T., i dyshuar për veprën penale “Përkrahja e autorit të krimit”, e parashikuar nga neni 302 i K</w:t>
      </w:r>
      <w:r w:rsidR="00500D94">
        <w:rPr>
          <w:rFonts w:ascii="Times New Roman" w:hAnsi="Times New Roman"/>
          <w:sz w:val="24"/>
          <w:szCs w:val="24"/>
          <w:lang w:val="sq-AL"/>
        </w:rPr>
        <w:t>P-së</w:t>
      </w:r>
      <w:r w:rsidRPr="00EC2A85">
        <w:rPr>
          <w:rFonts w:ascii="Times New Roman" w:hAnsi="Times New Roman"/>
          <w:sz w:val="24"/>
          <w:szCs w:val="24"/>
          <w:lang w:val="sq-AL"/>
        </w:rPr>
        <w:t xml:space="preserve">. </w:t>
      </w:r>
    </w:p>
    <w:p w:rsidR="00AE00D0" w:rsidRPr="00EC2A85"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Në përfundim të hetimeve, Prokuroria pranë Gjykatës së Rrethit Gjyqësor Dibër ka depozituar në gjykatë kërkesë</w:t>
      </w:r>
      <w:r w:rsidR="00500D94">
        <w:rPr>
          <w:rFonts w:ascii="Times New Roman" w:hAnsi="Times New Roman"/>
          <w:sz w:val="24"/>
          <w:szCs w:val="24"/>
          <w:lang w:val="sq-AL"/>
        </w:rPr>
        <w:t>n</w:t>
      </w:r>
      <w:r w:rsidRPr="00EC2A85">
        <w:rPr>
          <w:rFonts w:ascii="Times New Roman" w:hAnsi="Times New Roman"/>
          <w:sz w:val="24"/>
          <w:szCs w:val="24"/>
          <w:lang w:val="sq-AL"/>
        </w:rPr>
        <w:t xml:space="preserve"> për dërgimin në </w:t>
      </w:r>
      <w:r w:rsidR="00500D94">
        <w:rPr>
          <w:rFonts w:ascii="Times New Roman" w:hAnsi="Times New Roman"/>
          <w:sz w:val="24"/>
          <w:szCs w:val="24"/>
          <w:lang w:val="sq-AL"/>
        </w:rPr>
        <w:t>gjyq të çështjes penale nr. 441</w:t>
      </w:r>
      <w:r w:rsidRPr="00EC2A85">
        <w:rPr>
          <w:rFonts w:ascii="Times New Roman" w:hAnsi="Times New Roman"/>
          <w:sz w:val="24"/>
          <w:szCs w:val="24"/>
          <w:lang w:val="sq-AL"/>
        </w:rPr>
        <w:t xml:space="preserve"> të vitit 2017, me të pandehur </w:t>
      </w:r>
      <w:proofErr w:type="spellStart"/>
      <w:r w:rsidRPr="00EC2A85">
        <w:rPr>
          <w:rFonts w:ascii="Times New Roman" w:hAnsi="Times New Roman"/>
          <w:sz w:val="24"/>
          <w:szCs w:val="24"/>
          <w:lang w:val="sq-AL"/>
        </w:rPr>
        <w:t>Viktor</w:t>
      </w:r>
      <w:proofErr w:type="spellEnd"/>
      <w:r w:rsidRPr="00EC2A85">
        <w:rPr>
          <w:rFonts w:ascii="Times New Roman" w:hAnsi="Times New Roman"/>
          <w:sz w:val="24"/>
          <w:szCs w:val="24"/>
          <w:lang w:val="sq-AL"/>
        </w:rPr>
        <w:t xml:space="preserve"> </w:t>
      </w:r>
      <w:proofErr w:type="spellStart"/>
      <w:r w:rsidRPr="00EC2A85">
        <w:rPr>
          <w:rFonts w:ascii="Times New Roman" w:hAnsi="Times New Roman"/>
          <w:sz w:val="24"/>
          <w:szCs w:val="24"/>
          <w:lang w:val="sq-AL"/>
        </w:rPr>
        <w:t>Elezi</w:t>
      </w:r>
      <w:proofErr w:type="spellEnd"/>
      <w:r w:rsidRPr="00EC2A85">
        <w:rPr>
          <w:rFonts w:ascii="Times New Roman" w:hAnsi="Times New Roman"/>
          <w:sz w:val="24"/>
          <w:szCs w:val="24"/>
          <w:lang w:val="sq-AL"/>
        </w:rPr>
        <w:t>, i akuzuar për veprat penale “Vrasja nga pakujdesia” dhe “Mbajtja pa leje dhe prodhimi i armëve shpërthyese dhe i municionit”, të parashikuara nga nen</w:t>
      </w:r>
      <w:r w:rsidR="00500D94">
        <w:rPr>
          <w:rFonts w:ascii="Times New Roman" w:hAnsi="Times New Roman"/>
          <w:sz w:val="24"/>
          <w:szCs w:val="24"/>
          <w:lang w:val="sq-AL"/>
        </w:rPr>
        <w:t>et 85 dhe 278, pika 1, të K</w:t>
      </w:r>
      <w:r w:rsidRPr="00EC2A85">
        <w:rPr>
          <w:rFonts w:ascii="Times New Roman" w:hAnsi="Times New Roman"/>
          <w:sz w:val="24"/>
          <w:szCs w:val="24"/>
          <w:lang w:val="sq-AL"/>
        </w:rPr>
        <w:t>P</w:t>
      </w:r>
      <w:r w:rsidR="00500D94">
        <w:rPr>
          <w:rFonts w:ascii="Times New Roman" w:hAnsi="Times New Roman"/>
          <w:sz w:val="24"/>
          <w:szCs w:val="24"/>
          <w:lang w:val="sq-AL"/>
        </w:rPr>
        <w:t>-së</w:t>
      </w:r>
      <w:r w:rsidRPr="00EC2A85">
        <w:rPr>
          <w:rFonts w:ascii="Times New Roman" w:hAnsi="Times New Roman"/>
          <w:sz w:val="24"/>
          <w:szCs w:val="24"/>
          <w:lang w:val="sq-AL"/>
        </w:rPr>
        <w:t>, si dhe shtetasin V. T., i dyshuar për veprën penale “Veprime që pengojnë zbulimin e së vërtetës”, e parashikuar nga neni 301 i KP</w:t>
      </w:r>
      <w:r w:rsidR="00500D94">
        <w:rPr>
          <w:rFonts w:ascii="Times New Roman" w:hAnsi="Times New Roman"/>
          <w:sz w:val="24"/>
          <w:szCs w:val="24"/>
          <w:lang w:val="sq-AL"/>
        </w:rPr>
        <w:t>-së</w:t>
      </w:r>
      <w:r w:rsidRPr="00EC2A85">
        <w:rPr>
          <w:rFonts w:ascii="Times New Roman" w:hAnsi="Times New Roman"/>
          <w:sz w:val="24"/>
          <w:szCs w:val="24"/>
          <w:lang w:val="sq-AL"/>
        </w:rPr>
        <w:t>.</w:t>
      </w:r>
    </w:p>
    <w:p w:rsidR="00AE00D0" w:rsidRPr="00EC2A85"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 xml:space="preserve">Gjykata e Rrethit Gjyqësor Dibër, me vendimin nr. 105 (33-2018-307), datë 04.04.2018, ka vendosur rrëzimin e kërkesës së Prokurorisë së Rrethit Gjyqësor Dibër, duke vlerësuar se cilësimi juridik i faktit nga prokuroria është i gabuar, dhe kthimin asaj të akteve që i përkasin procedimit penal nr. 441 të vitit 2017. Kundër këtij vendimi kanë paraqitur ankim kërkuesi dhe prokuroria. </w:t>
      </w:r>
    </w:p>
    <w:p w:rsidR="00AE00D0"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Gjykata e Apelit Tiranë, me vendimin nr. 1494, datë 30.05.2018 ka vendosur mospranimin e ankimeve</w:t>
      </w:r>
      <w:r w:rsidR="008B5664" w:rsidRPr="00EC2A85">
        <w:rPr>
          <w:rFonts w:ascii="Times New Roman" w:hAnsi="Times New Roman"/>
          <w:sz w:val="24"/>
          <w:szCs w:val="24"/>
          <w:lang w:val="sq-AL"/>
        </w:rPr>
        <w:t xml:space="preserve"> ndaj vendimit 105, datë 04.04.2018 të Gjykatës së Rrethit Gjyqësor Dibër</w:t>
      </w:r>
      <w:r w:rsidRPr="00EC2A85">
        <w:rPr>
          <w:rFonts w:ascii="Times New Roman" w:hAnsi="Times New Roman"/>
          <w:sz w:val="24"/>
          <w:szCs w:val="24"/>
          <w:lang w:val="sq-AL"/>
        </w:rPr>
        <w:t xml:space="preserve">, duke arsyetuar se sipas ligjit procedural ky vendim i gjyqtarit të seancës paraprake është i </w:t>
      </w:r>
      <w:proofErr w:type="spellStart"/>
      <w:r w:rsidRPr="00EC2A85">
        <w:rPr>
          <w:rFonts w:ascii="Times New Roman" w:hAnsi="Times New Roman"/>
          <w:sz w:val="24"/>
          <w:szCs w:val="24"/>
          <w:lang w:val="sq-AL"/>
        </w:rPr>
        <w:t>paankimueshëm</w:t>
      </w:r>
      <w:proofErr w:type="spellEnd"/>
      <w:r w:rsidRPr="00EC2A85">
        <w:rPr>
          <w:rFonts w:ascii="Times New Roman" w:hAnsi="Times New Roman"/>
          <w:sz w:val="24"/>
          <w:szCs w:val="24"/>
          <w:lang w:val="sq-AL"/>
        </w:rPr>
        <w:t xml:space="preserve">. </w:t>
      </w:r>
      <w:r w:rsidR="005A32DB" w:rsidRPr="00EC2A85">
        <w:rPr>
          <w:rFonts w:ascii="Times New Roman" w:hAnsi="Times New Roman"/>
          <w:sz w:val="24"/>
          <w:szCs w:val="24"/>
          <w:lang w:val="sq-AL"/>
        </w:rPr>
        <w:t xml:space="preserve">Ligji procedural penal nuk ka parashikuar që çdo vendim që merret gjatë fazës së hetimit nga gjyqtari i hetimeve paraprake është i </w:t>
      </w:r>
      <w:proofErr w:type="spellStart"/>
      <w:r w:rsidR="005A32DB" w:rsidRPr="00EC2A85">
        <w:rPr>
          <w:rFonts w:ascii="Times New Roman" w:hAnsi="Times New Roman"/>
          <w:sz w:val="24"/>
          <w:szCs w:val="24"/>
          <w:lang w:val="sq-AL"/>
        </w:rPr>
        <w:t>ankimueshëm</w:t>
      </w:r>
      <w:proofErr w:type="spellEnd"/>
      <w:r w:rsidR="005A32DB" w:rsidRPr="00EC2A85">
        <w:rPr>
          <w:rFonts w:ascii="Times New Roman" w:hAnsi="Times New Roman"/>
          <w:sz w:val="24"/>
          <w:szCs w:val="24"/>
          <w:lang w:val="sq-AL"/>
        </w:rPr>
        <w:t xml:space="preserve"> në gjykata më të larta. </w:t>
      </w:r>
      <w:r w:rsidRPr="00EC2A85">
        <w:rPr>
          <w:rFonts w:ascii="Times New Roman" w:hAnsi="Times New Roman"/>
          <w:sz w:val="24"/>
          <w:szCs w:val="24"/>
          <w:lang w:val="sq-AL"/>
        </w:rPr>
        <w:t xml:space="preserve">Kundër këtij vendimi kanë paraqitur rekurs kërkuesi dhe prokuroria. </w:t>
      </w:r>
    </w:p>
    <w:p w:rsidR="00915C12" w:rsidRPr="00915C12" w:rsidRDefault="00915C12" w:rsidP="00915C12">
      <w:pPr>
        <w:numPr>
          <w:ilvl w:val="0"/>
          <w:numId w:val="2"/>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Në lidhje me rekursin kundër vendimit </w:t>
      </w:r>
      <w:r w:rsidRPr="00EC2A85">
        <w:rPr>
          <w:rFonts w:ascii="Times New Roman" w:hAnsi="Times New Roman"/>
          <w:sz w:val="24"/>
          <w:szCs w:val="24"/>
          <w:lang w:val="sq-AL"/>
        </w:rPr>
        <w:t>nr. 1494, datë 30.05.2018</w:t>
      </w:r>
      <w:r w:rsidR="00500D94">
        <w:rPr>
          <w:rFonts w:ascii="Times New Roman" w:hAnsi="Times New Roman"/>
          <w:sz w:val="24"/>
          <w:szCs w:val="24"/>
          <w:lang w:val="sq-AL"/>
        </w:rPr>
        <w:t>,</w:t>
      </w:r>
      <w:r>
        <w:rPr>
          <w:rFonts w:ascii="Times New Roman" w:hAnsi="Times New Roman"/>
          <w:sz w:val="24"/>
          <w:szCs w:val="24"/>
          <w:lang w:val="sq-AL"/>
        </w:rPr>
        <w:t xml:space="preserve"> të Gjykatës së</w:t>
      </w:r>
      <w:r w:rsidRPr="00EC2A85">
        <w:rPr>
          <w:rFonts w:ascii="Times New Roman" w:hAnsi="Times New Roman"/>
          <w:sz w:val="24"/>
          <w:szCs w:val="24"/>
          <w:lang w:val="sq-AL"/>
        </w:rPr>
        <w:t xml:space="preserve"> Apelit Tiranë, Kolegji Penal i Gjykatës së Lartë, me vendimin nr. 00-2021-20, datë 25.01.2022, ka vendosur mospranimin e rekurseve të paraqitura me arsyetimin se rekursi nuk ka më objekt, pasi “</w:t>
      </w:r>
      <w:r w:rsidRPr="00EC2A85">
        <w:rPr>
          <w:rFonts w:ascii="Times New Roman" w:hAnsi="Times New Roman"/>
          <w:i/>
          <w:sz w:val="24"/>
          <w:szCs w:val="24"/>
          <w:lang w:val="sq-AL"/>
        </w:rPr>
        <w:t>kërkuesi është dënuar fajtor me vendimin nr. 53, datë 21.02.2019 të Gjykatës së Rrethit Gjyqësor Dibër. Gjithashtu, gjykata e themelit ka zgjidhur çështjen e cilësimit juridik të akuzës nga prokuroria, duke e ndryshuar atë sërish në veprën penale “Vrasje nga pakujdesia”, parash</w:t>
      </w:r>
      <w:r w:rsidR="00500D94">
        <w:rPr>
          <w:rFonts w:ascii="Times New Roman" w:hAnsi="Times New Roman"/>
          <w:i/>
          <w:sz w:val="24"/>
          <w:szCs w:val="24"/>
          <w:lang w:val="sq-AL"/>
        </w:rPr>
        <w:t>ikuar nga neni 85 i Kodit Penal</w:t>
      </w:r>
      <w:r>
        <w:rPr>
          <w:rFonts w:ascii="Times New Roman" w:hAnsi="Times New Roman"/>
          <w:sz w:val="24"/>
          <w:szCs w:val="24"/>
          <w:lang w:val="sq-AL"/>
        </w:rPr>
        <w:t>”.</w:t>
      </w:r>
    </w:p>
    <w:p w:rsidR="00357861"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 xml:space="preserve"> </w:t>
      </w:r>
      <w:r w:rsidR="008B5664" w:rsidRPr="00EC2A85">
        <w:rPr>
          <w:rFonts w:ascii="Times New Roman" w:hAnsi="Times New Roman"/>
          <w:sz w:val="24"/>
          <w:szCs w:val="24"/>
          <w:lang w:val="sq-AL"/>
        </w:rPr>
        <w:t>Gjatë kohës që rekursi ka qenë në pritje për t</w:t>
      </w:r>
      <w:r w:rsidR="00500D94">
        <w:rPr>
          <w:rFonts w:ascii="Times New Roman" w:hAnsi="Times New Roman"/>
          <w:sz w:val="24"/>
          <w:szCs w:val="24"/>
          <w:lang w:val="sq-AL"/>
        </w:rPr>
        <w:t>’</w:t>
      </w:r>
      <w:r w:rsidR="008B5664" w:rsidRPr="00EC2A85">
        <w:rPr>
          <w:rFonts w:ascii="Times New Roman" w:hAnsi="Times New Roman"/>
          <w:sz w:val="24"/>
          <w:szCs w:val="24"/>
          <w:lang w:val="sq-AL"/>
        </w:rPr>
        <w:t>u shqyrtuar në Gjykatën e Lartë</w:t>
      </w:r>
      <w:r w:rsidR="00500D94">
        <w:rPr>
          <w:rFonts w:ascii="Times New Roman" w:hAnsi="Times New Roman"/>
          <w:sz w:val="24"/>
          <w:szCs w:val="24"/>
          <w:lang w:val="sq-AL"/>
        </w:rPr>
        <w:t>,</w:t>
      </w:r>
      <w:r w:rsidR="008B5664" w:rsidRPr="00EC2A85">
        <w:rPr>
          <w:rFonts w:ascii="Times New Roman" w:hAnsi="Times New Roman"/>
          <w:sz w:val="24"/>
          <w:szCs w:val="24"/>
          <w:lang w:val="sq-AL"/>
        </w:rPr>
        <w:t xml:space="preserve"> kërkuesi është deklaruar fajtor </w:t>
      </w:r>
      <w:r w:rsidR="00390B3C">
        <w:rPr>
          <w:rFonts w:ascii="Times New Roman" w:hAnsi="Times New Roman"/>
          <w:sz w:val="24"/>
          <w:szCs w:val="24"/>
          <w:lang w:val="sq-AL"/>
        </w:rPr>
        <w:t xml:space="preserve"> </w:t>
      </w:r>
      <w:r w:rsidR="008B5664" w:rsidRPr="00EC2A85">
        <w:rPr>
          <w:rFonts w:ascii="Times New Roman" w:hAnsi="Times New Roman"/>
          <w:sz w:val="24"/>
          <w:szCs w:val="24"/>
          <w:lang w:val="sq-AL"/>
        </w:rPr>
        <w:t>me vendimin nr. 53, datë 21.02.</w:t>
      </w:r>
      <w:r w:rsidR="001138F0" w:rsidRPr="00EC2A85">
        <w:rPr>
          <w:rFonts w:ascii="Times New Roman" w:hAnsi="Times New Roman"/>
          <w:sz w:val="24"/>
          <w:szCs w:val="24"/>
          <w:lang w:val="sq-AL"/>
        </w:rPr>
        <w:t>2019 nga Gj</w:t>
      </w:r>
      <w:r w:rsidR="00357861">
        <w:rPr>
          <w:rFonts w:ascii="Times New Roman" w:hAnsi="Times New Roman"/>
          <w:sz w:val="24"/>
          <w:szCs w:val="24"/>
          <w:lang w:val="sq-AL"/>
        </w:rPr>
        <w:t>ykata e Rrethit Gjyqësor Dibër</w:t>
      </w:r>
      <w:r w:rsidR="00500D94">
        <w:rPr>
          <w:rFonts w:ascii="Times New Roman" w:hAnsi="Times New Roman"/>
          <w:sz w:val="24"/>
          <w:szCs w:val="24"/>
          <w:lang w:val="sq-AL"/>
        </w:rPr>
        <w:t>,</w:t>
      </w:r>
      <w:r w:rsidR="00390B3C">
        <w:rPr>
          <w:rFonts w:ascii="Times New Roman" w:hAnsi="Times New Roman"/>
          <w:sz w:val="24"/>
          <w:szCs w:val="24"/>
          <w:lang w:val="sq-AL"/>
        </w:rPr>
        <w:t xml:space="preserve"> e cila ka vendosur</w:t>
      </w:r>
      <w:r w:rsidR="00500D94">
        <w:rPr>
          <w:rFonts w:ascii="Times New Roman" w:hAnsi="Times New Roman"/>
          <w:sz w:val="24"/>
          <w:szCs w:val="24"/>
          <w:lang w:val="sq-AL"/>
        </w:rPr>
        <w:t>:</w:t>
      </w:r>
      <w:r w:rsidR="00D3293F">
        <w:rPr>
          <w:rFonts w:ascii="Times New Roman" w:hAnsi="Times New Roman"/>
          <w:sz w:val="24"/>
          <w:szCs w:val="24"/>
          <w:lang w:val="sq-AL"/>
        </w:rPr>
        <w:t xml:space="preserve"> “Ndryshimin e kualifikimit të veprës penale për të pandehurin </w:t>
      </w:r>
      <w:proofErr w:type="spellStart"/>
      <w:r w:rsidR="00D3293F">
        <w:rPr>
          <w:rFonts w:ascii="Times New Roman" w:hAnsi="Times New Roman"/>
          <w:sz w:val="24"/>
          <w:szCs w:val="24"/>
          <w:lang w:val="sq-AL"/>
        </w:rPr>
        <w:t>Viktor</w:t>
      </w:r>
      <w:proofErr w:type="spellEnd"/>
      <w:r w:rsidR="00D3293F">
        <w:rPr>
          <w:rFonts w:ascii="Times New Roman" w:hAnsi="Times New Roman"/>
          <w:sz w:val="24"/>
          <w:szCs w:val="24"/>
          <w:lang w:val="sq-AL"/>
        </w:rPr>
        <w:t xml:space="preserve"> </w:t>
      </w:r>
      <w:proofErr w:type="spellStart"/>
      <w:r w:rsidR="00D3293F">
        <w:rPr>
          <w:rFonts w:ascii="Times New Roman" w:hAnsi="Times New Roman"/>
          <w:sz w:val="24"/>
          <w:szCs w:val="24"/>
          <w:lang w:val="sq-AL"/>
        </w:rPr>
        <w:t>Elezi</w:t>
      </w:r>
      <w:proofErr w:type="spellEnd"/>
      <w:r w:rsidR="00D3293F">
        <w:rPr>
          <w:rFonts w:ascii="Times New Roman" w:hAnsi="Times New Roman"/>
          <w:sz w:val="24"/>
          <w:szCs w:val="24"/>
          <w:lang w:val="sq-AL"/>
        </w:rPr>
        <w:t xml:space="preserve"> nga “Vrasje me dashje”</w:t>
      </w:r>
      <w:r w:rsidR="00040938">
        <w:rPr>
          <w:rFonts w:ascii="Times New Roman" w:hAnsi="Times New Roman"/>
          <w:sz w:val="24"/>
          <w:szCs w:val="24"/>
          <w:lang w:val="sq-AL"/>
        </w:rPr>
        <w:t>,</w:t>
      </w:r>
      <w:r w:rsidR="00D3293F">
        <w:rPr>
          <w:rFonts w:ascii="Times New Roman" w:hAnsi="Times New Roman"/>
          <w:sz w:val="24"/>
          <w:szCs w:val="24"/>
          <w:lang w:val="sq-AL"/>
        </w:rPr>
        <w:t xml:space="preserve"> </w:t>
      </w:r>
      <w:r w:rsidR="00500D94">
        <w:rPr>
          <w:rFonts w:ascii="Times New Roman" w:hAnsi="Times New Roman"/>
          <w:sz w:val="24"/>
          <w:szCs w:val="24"/>
          <w:lang w:val="sq-AL"/>
        </w:rPr>
        <w:t xml:space="preserve">të </w:t>
      </w:r>
      <w:r w:rsidR="00D3293F">
        <w:rPr>
          <w:rFonts w:ascii="Times New Roman" w:hAnsi="Times New Roman"/>
          <w:sz w:val="24"/>
          <w:szCs w:val="24"/>
          <w:lang w:val="sq-AL"/>
        </w:rPr>
        <w:t xml:space="preserve">parashikuar nga neni 76 i KP-së në “Vrasje nga pakujdesia” </w:t>
      </w:r>
      <w:r w:rsidR="00500D94">
        <w:rPr>
          <w:rFonts w:ascii="Times New Roman" w:hAnsi="Times New Roman"/>
          <w:sz w:val="24"/>
          <w:szCs w:val="24"/>
          <w:lang w:val="sq-AL"/>
        </w:rPr>
        <w:t xml:space="preserve">të </w:t>
      </w:r>
      <w:r w:rsidR="00D3293F">
        <w:rPr>
          <w:rFonts w:ascii="Times New Roman" w:hAnsi="Times New Roman"/>
          <w:sz w:val="24"/>
          <w:szCs w:val="24"/>
          <w:lang w:val="sq-AL"/>
        </w:rPr>
        <w:t>parashikuar nga neni 85 i KP-së</w:t>
      </w:r>
      <w:r w:rsidR="00357861">
        <w:rPr>
          <w:rFonts w:ascii="Times New Roman" w:hAnsi="Times New Roman"/>
          <w:sz w:val="24"/>
          <w:szCs w:val="24"/>
          <w:lang w:val="sq-AL"/>
        </w:rPr>
        <w:t>.</w:t>
      </w:r>
      <w:r w:rsidR="00D3293F">
        <w:rPr>
          <w:rFonts w:ascii="Times New Roman" w:hAnsi="Times New Roman"/>
          <w:sz w:val="24"/>
          <w:szCs w:val="24"/>
          <w:lang w:val="sq-AL"/>
        </w:rPr>
        <w:t xml:space="preserve"> Deklarimin fajtor të </w:t>
      </w:r>
      <w:proofErr w:type="spellStart"/>
      <w:r w:rsidR="00D3293F">
        <w:rPr>
          <w:rFonts w:ascii="Times New Roman" w:hAnsi="Times New Roman"/>
          <w:sz w:val="24"/>
          <w:szCs w:val="24"/>
          <w:lang w:val="sq-AL"/>
        </w:rPr>
        <w:t>të</w:t>
      </w:r>
      <w:proofErr w:type="spellEnd"/>
      <w:r w:rsidR="00D3293F">
        <w:rPr>
          <w:rFonts w:ascii="Times New Roman" w:hAnsi="Times New Roman"/>
          <w:sz w:val="24"/>
          <w:szCs w:val="24"/>
          <w:lang w:val="sq-AL"/>
        </w:rPr>
        <w:t xml:space="preserve"> pandehurit për veprën penale “Mbajtje pa leje dhe prodhimi i armëve shpërthyese dhe municionit”</w:t>
      </w:r>
      <w:r w:rsidR="00040938">
        <w:rPr>
          <w:rFonts w:ascii="Times New Roman" w:hAnsi="Times New Roman"/>
          <w:sz w:val="24"/>
          <w:szCs w:val="24"/>
          <w:lang w:val="sq-AL"/>
        </w:rPr>
        <w:t>, të</w:t>
      </w:r>
      <w:r w:rsidR="00D3293F">
        <w:rPr>
          <w:rFonts w:ascii="Times New Roman" w:hAnsi="Times New Roman"/>
          <w:sz w:val="24"/>
          <w:szCs w:val="24"/>
          <w:lang w:val="sq-AL"/>
        </w:rPr>
        <w:t xml:space="preserve"> parashikuar nga neni 278/1 i K</w:t>
      </w:r>
      <w:r w:rsidR="00040938">
        <w:rPr>
          <w:rFonts w:ascii="Times New Roman" w:hAnsi="Times New Roman"/>
          <w:sz w:val="24"/>
          <w:szCs w:val="24"/>
          <w:lang w:val="sq-AL"/>
        </w:rPr>
        <w:t>P-së dhe dënimin e tij me 4 vjet</w:t>
      </w:r>
      <w:r w:rsidR="00D3293F">
        <w:rPr>
          <w:rFonts w:ascii="Times New Roman" w:hAnsi="Times New Roman"/>
          <w:sz w:val="24"/>
          <w:szCs w:val="24"/>
          <w:lang w:val="sq-AL"/>
        </w:rPr>
        <w:t xml:space="preserve"> burgim. Në bashkim të dënimeve sipas nenit 55 të KP-së gjykata e dënon të pandehurin me </w:t>
      </w:r>
      <w:r w:rsidR="00040938">
        <w:rPr>
          <w:rFonts w:ascii="Times New Roman" w:hAnsi="Times New Roman"/>
          <w:sz w:val="24"/>
          <w:szCs w:val="24"/>
          <w:lang w:val="sq-AL"/>
        </w:rPr>
        <w:t>një dënim të vetëm prej 7 vjetësh</w:t>
      </w:r>
      <w:r w:rsidR="00D3293F">
        <w:rPr>
          <w:rFonts w:ascii="Times New Roman" w:hAnsi="Times New Roman"/>
          <w:sz w:val="24"/>
          <w:szCs w:val="24"/>
          <w:lang w:val="sq-AL"/>
        </w:rPr>
        <w:t xml:space="preserve"> </w:t>
      </w:r>
      <w:r w:rsidR="008A59FC">
        <w:rPr>
          <w:rFonts w:ascii="Times New Roman" w:hAnsi="Times New Roman"/>
          <w:sz w:val="24"/>
          <w:szCs w:val="24"/>
          <w:lang w:val="sq-AL"/>
        </w:rPr>
        <w:t>burgim</w:t>
      </w:r>
      <w:r w:rsidR="00D3293F">
        <w:rPr>
          <w:rFonts w:ascii="Times New Roman" w:hAnsi="Times New Roman"/>
          <w:sz w:val="24"/>
          <w:szCs w:val="24"/>
          <w:lang w:val="sq-AL"/>
        </w:rPr>
        <w:t>.</w:t>
      </w:r>
    </w:p>
    <w:p w:rsidR="00EC2A85" w:rsidRPr="00EC2A85" w:rsidRDefault="00EC2A85"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 xml:space="preserve">Në datën 24.03.2022 kërkuesi i është drejtuar Gjykatës Kushtetuese </w:t>
      </w:r>
      <w:r w:rsidRPr="00EC2A85">
        <w:rPr>
          <w:rFonts w:ascii="Times New Roman" w:hAnsi="Times New Roman"/>
          <w:i/>
          <w:sz w:val="24"/>
          <w:szCs w:val="24"/>
          <w:lang w:val="sq-AL"/>
        </w:rPr>
        <w:t>(Gjykata)</w:t>
      </w:r>
      <w:r>
        <w:rPr>
          <w:rFonts w:ascii="Times New Roman" w:hAnsi="Times New Roman"/>
          <w:sz w:val="24"/>
          <w:szCs w:val="24"/>
          <w:lang w:val="sq-AL"/>
        </w:rPr>
        <w:t xml:space="preserve"> me kërkesë sipas objektit.</w:t>
      </w:r>
    </w:p>
    <w:p w:rsidR="00AE00D0" w:rsidRPr="00EC2A85" w:rsidRDefault="00AE00D0" w:rsidP="00AE00D0">
      <w:pPr>
        <w:tabs>
          <w:tab w:val="left" w:pos="1080"/>
        </w:tabs>
        <w:spacing w:after="0" w:line="360" w:lineRule="auto"/>
        <w:ind w:left="720"/>
        <w:jc w:val="both"/>
        <w:rPr>
          <w:rFonts w:ascii="Times New Roman" w:hAnsi="Times New Roman"/>
          <w:sz w:val="24"/>
          <w:szCs w:val="24"/>
          <w:lang w:val="sq-AL"/>
        </w:rPr>
      </w:pPr>
    </w:p>
    <w:p w:rsidR="00AE00D0" w:rsidRPr="00EC2A85" w:rsidRDefault="00AE00D0" w:rsidP="00AE00D0">
      <w:pPr>
        <w:tabs>
          <w:tab w:val="left" w:pos="1080"/>
        </w:tabs>
        <w:spacing w:after="0" w:line="360" w:lineRule="auto"/>
        <w:jc w:val="center"/>
        <w:rPr>
          <w:rFonts w:ascii="Times New Roman" w:hAnsi="Times New Roman"/>
          <w:b/>
          <w:sz w:val="24"/>
          <w:szCs w:val="24"/>
          <w:lang w:val="sq-AL"/>
        </w:rPr>
      </w:pPr>
      <w:r w:rsidRPr="00EC2A85">
        <w:rPr>
          <w:rFonts w:ascii="Times New Roman" w:hAnsi="Times New Roman"/>
          <w:b/>
          <w:sz w:val="24"/>
          <w:szCs w:val="24"/>
          <w:lang w:val="sq-AL"/>
        </w:rPr>
        <w:t>II</w:t>
      </w:r>
    </w:p>
    <w:p w:rsidR="00AE00D0" w:rsidRPr="00EC2A85" w:rsidRDefault="00AE00D0" w:rsidP="00AE00D0">
      <w:pPr>
        <w:tabs>
          <w:tab w:val="left" w:pos="1080"/>
        </w:tabs>
        <w:spacing w:after="0" w:line="360" w:lineRule="auto"/>
        <w:jc w:val="center"/>
        <w:rPr>
          <w:rFonts w:ascii="Times New Roman" w:hAnsi="Times New Roman"/>
          <w:sz w:val="24"/>
          <w:szCs w:val="24"/>
          <w:lang w:val="sq-AL"/>
        </w:rPr>
      </w:pPr>
      <w:r w:rsidRPr="00EC2A85">
        <w:rPr>
          <w:rFonts w:ascii="Times New Roman" w:hAnsi="Times New Roman"/>
          <w:b/>
          <w:sz w:val="24"/>
          <w:szCs w:val="24"/>
          <w:lang w:val="sq-AL"/>
        </w:rPr>
        <w:t xml:space="preserve">Pretendimet </w:t>
      </w:r>
      <w:r w:rsidR="00040938">
        <w:rPr>
          <w:rFonts w:ascii="Times New Roman" w:hAnsi="Times New Roman"/>
          <w:b/>
          <w:sz w:val="24"/>
          <w:szCs w:val="24"/>
          <w:lang w:val="sq-AL"/>
        </w:rPr>
        <w:t>e kërkuesit</w:t>
      </w:r>
    </w:p>
    <w:p w:rsidR="00AE00D0" w:rsidRPr="00EC2A85" w:rsidRDefault="00AE00D0" w:rsidP="00AE00D0">
      <w:pPr>
        <w:numPr>
          <w:ilvl w:val="0"/>
          <w:numId w:val="2"/>
        </w:numPr>
        <w:tabs>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b/>
          <w:i/>
          <w:sz w:val="24"/>
          <w:szCs w:val="24"/>
          <w:lang w:val="sq-AL"/>
        </w:rPr>
        <w:t xml:space="preserve">Kërkuesi </w:t>
      </w:r>
      <w:r w:rsidRPr="00EC2A85">
        <w:rPr>
          <w:rFonts w:ascii="Times New Roman" w:hAnsi="Times New Roman"/>
          <w:sz w:val="24"/>
          <w:szCs w:val="24"/>
          <w:lang w:val="sq-AL"/>
        </w:rPr>
        <w:t>ka pretenduar cenimin e së drejtës për një proces të rregullt ligjor, në  drejtim të:</w:t>
      </w:r>
    </w:p>
    <w:p w:rsidR="00AE00D0" w:rsidRPr="00EC2A85" w:rsidRDefault="00040938" w:rsidP="00AE00D0">
      <w:pPr>
        <w:numPr>
          <w:ilvl w:val="1"/>
          <w:numId w:val="2"/>
        </w:numPr>
        <w:tabs>
          <w:tab w:val="left" w:pos="1530"/>
        </w:tabs>
        <w:spacing w:after="0" w:line="360" w:lineRule="auto"/>
        <w:ind w:left="1530" w:hanging="810"/>
        <w:jc w:val="both"/>
        <w:rPr>
          <w:rFonts w:ascii="Times New Roman" w:hAnsi="Times New Roman"/>
          <w:sz w:val="24"/>
          <w:szCs w:val="24"/>
          <w:lang w:val="sq-AL"/>
        </w:rPr>
      </w:pPr>
      <w:r>
        <w:rPr>
          <w:rFonts w:ascii="Times New Roman" w:hAnsi="Times New Roman"/>
          <w:i/>
          <w:sz w:val="24"/>
          <w:szCs w:val="24"/>
          <w:lang w:val="sq-AL"/>
        </w:rPr>
        <w:t>E drejta</w:t>
      </w:r>
      <w:r w:rsidR="00AE00D0" w:rsidRPr="00EC2A85">
        <w:rPr>
          <w:rFonts w:ascii="Times New Roman" w:hAnsi="Times New Roman"/>
          <w:i/>
          <w:sz w:val="24"/>
          <w:szCs w:val="24"/>
          <w:lang w:val="sq-AL"/>
        </w:rPr>
        <w:t xml:space="preserve"> </w:t>
      </w:r>
      <w:r>
        <w:rPr>
          <w:rFonts w:ascii="Times New Roman" w:hAnsi="Times New Roman"/>
          <w:i/>
          <w:sz w:val="24"/>
          <w:szCs w:val="24"/>
          <w:lang w:val="sq-AL"/>
        </w:rPr>
        <w:t>e</w:t>
      </w:r>
      <w:r w:rsidR="00AE00D0" w:rsidRPr="00EC2A85">
        <w:rPr>
          <w:rFonts w:ascii="Times New Roman" w:hAnsi="Times New Roman"/>
          <w:i/>
          <w:sz w:val="24"/>
          <w:szCs w:val="24"/>
          <w:lang w:val="sq-AL"/>
        </w:rPr>
        <w:t xml:space="preserve"> </w:t>
      </w:r>
      <w:proofErr w:type="spellStart"/>
      <w:r w:rsidR="00AE00D0" w:rsidRPr="00EC2A85">
        <w:rPr>
          <w:rFonts w:ascii="Times New Roman" w:hAnsi="Times New Roman"/>
          <w:i/>
          <w:sz w:val="24"/>
          <w:szCs w:val="24"/>
          <w:lang w:val="sq-AL"/>
        </w:rPr>
        <w:t>aksesit</w:t>
      </w:r>
      <w:proofErr w:type="spellEnd"/>
      <w:r w:rsidR="00AE00D0" w:rsidRPr="00EC2A85">
        <w:rPr>
          <w:rFonts w:ascii="Times New Roman" w:hAnsi="Times New Roman"/>
          <w:i/>
          <w:sz w:val="24"/>
          <w:szCs w:val="24"/>
          <w:lang w:val="sq-AL"/>
        </w:rPr>
        <w:t xml:space="preserve"> në gjykatë, </w:t>
      </w:r>
      <w:r w:rsidR="00AE00D0" w:rsidRPr="00EC2A85">
        <w:rPr>
          <w:rFonts w:ascii="Times New Roman" w:hAnsi="Times New Roman"/>
          <w:sz w:val="24"/>
          <w:szCs w:val="24"/>
          <w:lang w:val="sq-AL"/>
        </w:rPr>
        <w:t xml:space="preserve">pasi gjykata e apelit nuk e </w:t>
      </w:r>
      <w:r w:rsidR="00357861">
        <w:rPr>
          <w:rFonts w:ascii="Times New Roman" w:hAnsi="Times New Roman"/>
          <w:sz w:val="24"/>
          <w:szCs w:val="24"/>
          <w:lang w:val="sq-AL"/>
        </w:rPr>
        <w:t>ka pranuar</w:t>
      </w:r>
      <w:r w:rsidR="00AE00D0" w:rsidRPr="00EC2A85">
        <w:rPr>
          <w:rFonts w:ascii="Times New Roman" w:hAnsi="Times New Roman"/>
          <w:sz w:val="24"/>
          <w:szCs w:val="24"/>
          <w:lang w:val="sq-AL"/>
        </w:rPr>
        <w:t xml:space="preserve"> ankimin, duke mos i hyrë fare thelbit të tij dhe shkaqeve të ngritura kundër vendimit të gjyqtarit të seancës paraprake. Gjykata e apelit ka vepruar në kundërshtim me dispozitat procedurale</w:t>
      </w:r>
      <w:r>
        <w:rPr>
          <w:rFonts w:ascii="Times New Roman" w:hAnsi="Times New Roman"/>
          <w:sz w:val="24"/>
          <w:szCs w:val="24"/>
          <w:lang w:val="sq-AL"/>
        </w:rPr>
        <w:t>,</w:t>
      </w:r>
      <w:r w:rsidR="00AE00D0" w:rsidRPr="00EC2A85">
        <w:rPr>
          <w:rFonts w:ascii="Times New Roman" w:hAnsi="Times New Roman"/>
          <w:sz w:val="24"/>
          <w:szCs w:val="24"/>
          <w:lang w:val="sq-AL"/>
        </w:rPr>
        <w:t xml:space="preserve"> pasi ato nuk parashikojnë ndalimin e së drejtës për të bërë ankim. Këto dispozita janë interpretuar nga gjykata tej kufijve që ato vetë kanë parashikuar.</w:t>
      </w:r>
    </w:p>
    <w:p w:rsidR="00AE00D0" w:rsidRPr="00EC2A85" w:rsidRDefault="00AE00D0" w:rsidP="00AE00D0">
      <w:pPr>
        <w:numPr>
          <w:ilvl w:val="1"/>
          <w:numId w:val="2"/>
        </w:numPr>
        <w:tabs>
          <w:tab w:val="left" w:pos="1530"/>
        </w:tabs>
        <w:spacing w:after="0" w:line="360" w:lineRule="auto"/>
        <w:ind w:left="1530" w:hanging="810"/>
        <w:jc w:val="both"/>
        <w:rPr>
          <w:rFonts w:ascii="Times New Roman" w:hAnsi="Times New Roman"/>
          <w:sz w:val="24"/>
          <w:szCs w:val="24"/>
          <w:lang w:val="sq-AL"/>
        </w:rPr>
      </w:pPr>
      <w:r w:rsidRPr="00EC2A85">
        <w:rPr>
          <w:rFonts w:ascii="Times New Roman" w:hAnsi="Times New Roman"/>
          <w:i/>
          <w:sz w:val="24"/>
          <w:szCs w:val="24"/>
          <w:lang w:val="sq-AL"/>
        </w:rPr>
        <w:t xml:space="preserve">Standardi i arsyetimit të vendimit, </w:t>
      </w:r>
      <w:r w:rsidRPr="00EC2A85">
        <w:rPr>
          <w:rFonts w:ascii="Times New Roman" w:hAnsi="Times New Roman"/>
          <w:sz w:val="24"/>
          <w:szCs w:val="24"/>
          <w:lang w:val="sq-AL"/>
        </w:rPr>
        <w:t>pasi vendimi i Gjykatës së Lartë është alogjik dhe i paarsyetuar. Ajo gjykatë nuk u ka dhënë përgjigje dhe nuk ka argumentuar se përse nuk ka shkaqe nga ato që parashikon ligji, ndërkohë që shkeljet e procesit të rregullt ishin evidente dhe të pakontestueshme. Ky vendim është kontradiktor, pasi</w:t>
      </w:r>
      <w:r w:rsidR="00040938">
        <w:rPr>
          <w:rFonts w:ascii="Times New Roman" w:hAnsi="Times New Roman"/>
          <w:sz w:val="24"/>
          <w:szCs w:val="24"/>
          <w:lang w:val="sq-AL"/>
        </w:rPr>
        <w:t>,</w:t>
      </w:r>
      <w:r w:rsidRPr="00EC2A85">
        <w:rPr>
          <w:rFonts w:ascii="Times New Roman" w:hAnsi="Times New Roman"/>
          <w:sz w:val="24"/>
          <w:szCs w:val="24"/>
          <w:lang w:val="sq-AL"/>
        </w:rPr>
        <w:t xml:space="preserve"> nga njëra </w:t>
      </w:r>
      <w:r w:rsidR="00040938">
        <w:rPr>
          <w:rFonts w:ascii="Times New Roman" w:hAnsi="Times New Roman"/>
          <w:sz w:val="24"/>
          <w:szCs w:val="24"/>
          <w:lang w:val="sq-AL"/>
        </w:rPr>
        <w:t xml:space="preserve">anë </w:t>
      </w:r>
      <w:r w:rsidRPr="00EC2A85">
        <w:rPr>
          <w:rFonts w:ascii="Times New Roman" w:hAnsi="Times New Roman"/>
          <w:sz w:val="24"/>
          <w:szCs w:val="24"/>
          <w:lang w:val="sq-AL"/>
        </w:rPr>
        <w:t>shprehet se nuk ka shkaqe rekursi dhe</w:t>
      </w:r>
      <w:r w:rsidR="00040938">
        <w:rPr>
          <w:rFonts w:ascii="Times New Roman" w:hAnsi="Times New Roman"/>
          <w:sz w:val="24"/>
          <w:szCs w:val="24"/>
          <w:lang w:val="sq-AL"/>
        </w:rPr>
        <w:t>,</w:t>
      </w:r>
      <w:r w:rsidRPr="00EC2A85">
        <w:rPr>
          <w:rFonts w:ascii="Times New Roman" w:hAnsi="Times New Roman"/>
          <w:sz w:val="24"/>
          <w:szCs w:val="24"/>
          <w:lang w:val="sq-AL"/>
        </w:rPr>
        <w:t xml:space="preserve"> nga ana tjetër</w:t>
      </w:r>
      <w:r w:rsidR="00040938">
        <w:rPr>
          <w:rFonts w:ascii="Times New Roman" w:hAnsi="Times New Roman"/>
          <w:sz w:val="24"/>
          <w:szCs w:val="24"/>
          <w:lang w:val="sq-AL"/>
        </w:rPr>
        <w:t>,</w:t>
      </w:r>
      <w:r w:rsidRPr="00EC2A85">
        <w:rPr>
          <w:rFonts w:ascii="Times New Roman" w:hAnsi="Times New Roman"/>
          <w:sz w:val="24"/>
          <w:szCs w:val="24"/>
          <w:lang w:val="sq-AL"/>
        </w:rPr>
        <w:t xml:space="preserve"> se ai nuk ka objekt. </w:t>
      </w:r>
      <w:r w:rsidRPr="00EC2A85">
        <w:rPr>
          <w:rFonts w:ascii="Times New Roman" w:hAnsi="Times New Roman"/>
          <w:i/>
          <w:sz w:val="24"/>
          <w:szCs w:val="24"/>
          <w:lang w:val="sq-AL"/>
        </w:rPr>
        <w:t xml:space="preserve">   </w:t>
      </w:r>
      <w:r w:rsidRPr="00EC2A85">
        <w:rPr>
          <w:rFonts w:ascii="Times New Roman" w:hAnsi="Times New Roman"/>
          <w:sz w:val="24"/>
          <w:szCs w:val="24"/>
          <w:lang w:val="sq-AL"/>
        </w:rPr>
        <w:t xml:space="preserve"> </w:t>
      </w:r>
    </w:p>
    <w:p w:rsidR="00AE00D0" w:rsidRPr="00EC2A85" w:rsidRDefault="00AE00D0" w:rsidP="00AE00D0">
      <w:pPr>
        <w:tabs>
          <w:tab w:val="left" w:pos="1080"/>
        </w:tabs>
        <w:spacing w:after="0" w:line="360" w:lineRule="auto"/>
        <w:jc w:val="center"/>
        <w:rPr>
          <w:rFonts w:ascii="Times New Roman" w:hAnsi="Times New Roman"/>
          <w:b/>
          <w:sz w:val="24"/>
          <w:szCs w:val="24"/>
          <w:lang w:val="sq-AL"/>
        </w:rPr>
      </w:pPr>
    </w:p>
    <w:p w:rsidR="00AE00D0" w:rsidRPr="00EC2A85" w:rsidRDefault="00AE00D0" w:rsidP="00AE00D0">
      <w:pPr>
        <w:tabs>
          <w:tab w:val="left" w:pos="1080"/>
        </w:tabs>
        <w:spacing w:after="0" w:line="360" w:lineRule="auto"/>
        <w:jc w:val="center"/>
        <w:rPr>
          <w:rFonts w:ascii="Times New Roman" w:hAnsi="Times New Roman"/>
          <w:b/>
          <w:sz w:val="24"/>
          <w:szCs w:val="24"/>
          <w:lang w:val="sq-AL"/>
        </w:rPr>
      </w:pPr>
      <w:r w:rsidRPr="00EC2A85">
        <w:rPr>
          <w:rFonts w:ascii="Times New Roman" w:hAnsi="Times New Roman"/>
          <w:b/>
          <w:sz w:val="24"/>
          <w:szCs w:val="24"/>
          <w:lang w:val="sq-AL"/>
        </w:rPr>
        <w:t>III</w:t>
      </w:r>
    </w:p>
    <w:p w:rsidR="00AE00D0" w:rsidRPr="00EC2A85" w:rsidRDefault="00357861" w:rsidP="00740CD2">
      <w:pPr>
        <w:tabs>
          <w:tab w:val="left" w:pos="1080"/>
        </w:tabs>
        <w:spacing w:after="0" w:line="360" w:lineRule="auto"/>
        <w:jc w:val="center"/>
        <w:rPr>
          <w:rFonts w:ascii="Times New Roman" w:hAnsi="Times New Roman"/>
          <w:b/>
          <w:sz w:val="24"/>
          <w:szCs w:val="24"/>
          <w:lang w:val="sq-AL"/>
        </w:rPr>
      </w:pPr>
      <w:r w:rsidRPr="00357861">
        <w:rPr>
          <w:rFonts w:ascii="Times New Roman" w:eastAsiaTheme="minorHAnsi" w:hAnsi="Times New Roman"/>
          <w:b/>
          <w:sz w:val="24"/>
          <w:szCs w:val="24"/>
          <w:lang w:val="sq-AL"/>
        </w:rPr>
        <w:t>Vlerësimi i Kolegjit</w:t>
      </w:r>
    </w:p>
    <w:p w:rsidR="00AE00D0" w:rsidRPr="00EC2A85" w:rsidRDefault="00AE00D0" w:rsidP="00AE00D0">
      <w:pPr>
        <w:numPr>
          <w:ilvl w:val="0"/>
          <w:numId w:val="3"/>
        </w:numPr>
        <w:tabs>
          <w:tab w:val="left" w:pos="1080"/>
        </w:tabs>
        <w:spacing w:after="0" w:line="360" w:lineRule="auto"/>
        <w:jc w:val="both"/>
        <w:rPr>
          <w:rFonts w:ascii="Times New Roman" w:hAnsi="Times New Roman"/>
          <w:b/>
          <w:sz w:val="24"/>
          <w:szCs w:val="24"/>
          <w:lang w:val="sq-AL"/>
        </w:rPr>
      </w:pPr>
      <w:r w:rsidRPr="00EC2A85">
        <w:rPr>
          <w:rFonts w:ascii="Times New Roman" w:eastAsia="MS Mincho" w:hAnsi="Times New Roman"/>
          <w:i/>
          <w:sz w:val="24"/>
          <w:szCs w:val="24"/>
          <w:lang w:val="sq-AL"/>
        </w:rPr>
        <w:t>Për legjitimimin e kërkuesit</w:t>
      </w:r>
    </w:p>
    <w:p w:rsidR="00AE00D0" w:rsidRPr="00EC2A85" w:rsidRDefault="00AE00D0"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Çështja</w:t>
      </w:r>
      <w:r w:rsidRPr="00EC2A85">
        <w:rPr>
          <w:rFonts w:ascii="Times New Roman" w:eastAsia="Times New Roman" w:hAnsi="Times New Roman"/>
          <w:sz w:val="24"/>
          <w:szCs w:val="24"/>
          <w:lang w:val="sq-AL"/>
        </w:rPr>
        <w:t xml:space="preserve"> e legjitimimit (</w:t>
      </w:r>
      <w:proofErr w:type="spellStart"/>
      <w:r w:rsidRPr="00EC2A85">
        <w:rPr>
          <w:rFonts w:ascii="Times New Roman" w:eastAsia="Times New Roman" w:hAnsi="Times New Roman"/>
          <w:i/>
          <w:iCs/>
          <w:sz w:val="24"/>
          <w:szCs w:val="24"/>
          <w:lang w:val="sq-AL"/>
        </w:rPr>
        <w:t>locus</w:t>
      </w:r>
      <w:proofErr w:type="spellEnd"/>
      <w:r w:rsidRPr="00EC2A85">
        <w:rPr>
          <w:rFonts w:ascii="Times New Roman" w:eastAsia="Times New Roman" w:hAnsi="Times New Roman"/>
          <w:i/>
          <w:iCs/>
          <w:sz w:val="24"/>
          <w:szCs w:val="24"/>
          <w:lang w:val="sq-AL"/>
        </w:rPr>
        <w:t xml:space="preserve"> </w:t>
      </w:r>
      <w:proofErr w:type="spellStart"/>
      <w:r w:rsidRPr="00EC2A85">
        <w:rPr>
          <w:rFonts w:ascii="Times New Roman" w:eastAsia="Times New Roman" w:hAnsi="Times New Roman"/>
          <w:i/>
          <w:iCs/>
          <w:sz w:val="24"/>
          <w:szCs w:val="24"/>
          <w:lang w:val="sq-AL"/>
        </w:rPr>
        <w:t>standi</w:t>
      </w:r>
      <w:proofErr w:type="spellEnd"/>
      <w:r w:rsidRPr="00EC2A85">
        <w:rPr>
          <w:rFonts w:ascii="Times New Roman" w:eastAsia="Times New Roman" w:hAnsi="Times New Roman"/>
          <w:sz w:val="24"/>
          <w:szCs w:val="24"/>
          <w:lang w:val="sq-AL"/>
        </w:rPr>
        <w:t>) është vlerësuar nga Gjykata Kushtetuese si një ndër aspektet kryesore që lidhet me inicimin e një procesi kushtetues. Bazuar në nenin 131, pika 1, shkronja “f”, të Kushtetutës, si dhe nenin 71, pika 1, të ligjit nr.8577/2000, Gjykata Kushtetuese vendos për gjykimin përfundimtar të ankesave të individëve kundër çdo akti të pushtetit publik ose vendimi gjyqësor që cenon të drejtat dhe liritë themelore të garantuara në Kushtetutë.</w:t>
      </w:r>
    </w:p>
    <w:p w:rsidR="00AE00D0" w:rsidRPr="00EC2A85" w:rsidRDefault="00AE00D0"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w:t>
      </w:r>
      <w:r w:rsidRPr="00EC2A85">
        <w:rPr>
          <w:rFonts w:ascii="Times New Roman" w:eastAsia="Times New Roman" w:hAnsi="Times New Roman"/>
          <w:sz w:val="24"/>
          <w:szCs w:val="24"/>
          <w:lang w:val="sq-AL"/>
        </w:rPr>
        <w:t xml:space="preserve">. </w:t>
      </w:r>
    </w:p>
    <w:p w:rsidR="00AE00D0" w:rsidRPr="00EC2A85" w:rsidRDefault="00AE00D0"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eastAsia="Times New Roman" w:hAnsi="Times New Roman"/>
          <w:sz w:val="24"/>
          <w:szCs w:val="24"/>
          <w:lang w:val="sq-AL"/>
        </w:rPr>
        <w:t xml:space="preserve">Kriteret për </w:t>
      </w:r>
      <w:proofErr w:type="spellStart"/>
      <w:r w:rsidRPr="00EC2A85">
        <w:rPr>
          <w:rFonts w:ascii="Times New Roman" w:eastAsia="Times New Roman" w:hAnsi="Times New Roman"/>
          <w:sz w:val="24"/>
          <w:szCs w:val="24"/>
          <w:lang w:val="sq-AL"/>
        </w:rPr>
        <w:t>pranueshmërinë</w:t>
      </w:r>
      <w:proofErr w:type="spellEnd"/>
      <w:r w:rsidRPr="00EC2A85">
        <w:rPr>
          <w:rFonts w:ascii="Times New Roman" w:eastAsia="Times New Roman" w:hAnsi="Times New Roman"/>
          <w:sz w:val="24"/>
          <w:szCs w:val="24"/>
          <w:lang w:val="sq-AL"/>
        </w:rPr>
        <w:t xml:space="preserve"> e ankimit kushtetues individual janë të natyrës </w:t>
      </w:r>
      <w:proofErr w:type="spellStart"/>
      <w:r w:rsidRPr="00EC2A85">
        <w:rPr>
          <w:rFonts w:ascii="Times New Roman" w:eastAsia="Times New Roman" w:hAnsi="Times New Roman"/>
          <w:sz w:val="24"/>
          <w:szCs w:val="24"/>
          <w:lang w:val="sq-AL"/>
        </w:rPr>
        <w:t>kumulative</w:t>
      </w:r>
      <w:proofErr w:type="spellEnd"/>
      <w:r w:rsidRPr="00EC2A85">
        <w:rPr>
          <w:rFonts w:ascii="Times New Roman" w:eastAsia="Times New Roman" w:hAnsi="Times New Roman"/>
          <w:sz w:val="24"/>
          <w:szCs w:val="24"/>
          <w:lang w:val="sq-AL"/>
        </w:rPr>
        <w:t>, në kuptimin që ato duhet të plotësohen njëkohësisht. Në këtë vështrim, mjafton mosplotësimi i njërit prej tyre që kërkuesi të mos legjitimohet për vënien në lëvizje të gjykimit kushtetues.</w:t>
      </w:r>
    </w:p>
    <w:p w:rsidR="00B635D2" w:rsidRPr="00EC2A85" w:rsidRDefault="00AE00D0" w:rsidP="00B635D2">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Kërkuesi, si bartës i së drejtës kushtetuese për një proces të rregullt ligjor, të parashikuar nga neni 42 i Kushtetutës, ka kundërshtuar vendimet e Gjykatës së Apelit Tiranë dhe të Gjykatës së Lartë, të vëna në lëvizje edhe me ankimin e paraqitur nga mbrojtësi i tij, të cilat i referohen procedimit penal ku ai ka pasur cilësinë e të pandehurit. Për rrjedhojë</w:t>
      </w:r>
      <w:r w:rsidR="00040938">
        <w:rPr>
          <w:rFonts w:ascii="Times New Roman" w:hAnsi="Times New Roman"/>
          <w:sz w:val="24"/>
          <w:szCs w:val="24"/>
          <w:lang w:val="sq-AL"/>
        </w:rPr>
        <w:t>,</w:t>
      </w:r>
      <w:r w:rsidRPr="00EC2A85">
        <w:rPr>
          <w:rFonts w:ascii="Times New Roman" w:hAnsi="Times New Roman"/>
          <w:sz w:val="24"/>
          <w:szCs w:val="24"/>
          <w:lang w:val="sq-AL"/>
        </w:rPr>
        <w:t xml:space="preserve"> kërkuesi legjitimohet </w:t>
      </w:r>
      <w:proofErr w:type="spellStart"/>
      <w:r w:rsidRPr="00EC2A85">
        <w:rPr>
          <w:rFonts w:ascii="Times New Roman" w:hAnsi="Times New Roman"/>
          <w:i/>
          <w:sz w:val="24"/>
          <w:szCs w:val="24"/>
          <w:lang w:val="sq-AL"/>
        </w:rPr>
        <w:t>ratione</w:t>
      </w:r>
      <w:proofErr w:type="spellEnd"/>
      <w:r w:rsidRPr="00EC2A85">
        <w:rPr>
          <w:rFonts w:ascii="Times New Roman" w:hAnsi="Times New Roman"/>
          <w:i/>
          <w:sz w:val="24"/>
          <w:szCs w:val="24"/>
          <w:lang w:val="sq-AL"/>
        </w:rPr>
        <w:t xml:space="preserve"> </w:t>
      </w:r>
      <w:proofErr w:type="spellStart"/>
      <w:r w:rsidRPr="00EC2A85">
        <w:rPr>
          <w:rFonts w:ascii="Times New Roman" w:hAnsi="Times New Roman"/>
          <w:i/>
          <w:sz w:val="24"/>
          <w:szCs w:val="24"/>
          <w:lang w:val="sq-AL"/>
        </w:rPr>
        <w:t>personae</w:t>
      </w:r>
      <w:proofErr w:type="spellEnd"/>
      <w:r w:rsidRPr="00EC2A85">
        <w:rPr>
          <w:rFonts w:ascii="Times New Roman" w:hAnsi="Times New Roman"/>
          <w:sz w:val="24"/>
          <w:szCs w:val="24"/>
          <w:lang w:val="sq-AL"/>
        </w:rPr>
        <w:t>, në kuptim të neneve 131, pika 1, shkronja “f” dhe 134, pika 1, shkronja “i” dhe pika 2, të Kushtetutës.</w:t>
      </w:r>
    </w:p>
    <w:p w:rsidR="00B635D2" w:rsidRPr="00EC2A85" w:rsidRDefault="00B635D2" w:rsidP="00B635D2">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 xml:space="preserve">Një tjetër kriter paraprak, që duhet të përmbushet nga individi përpara se t’i drejtohet kësaj Gjykate, lidhet me </w:t>
      </w:r>
      <w:r w:rsidRPr="00EC2A85">
        <w:rPr>
          <w:rFonts w:ascii="Times New Roman" w:hAnsi="Times New Roman"/>
          <w:bCs/>
          <w:i/>
          <w:sz w:val="24"/>
          <w:szCs w:val="24"/>
          <w:lang w:val="sq-AL"/>
        </w:rPr>
        <w:t>shterimin e mjeteve juridike</w:t>
      </w:r>
      <w:r w:rsidRPr="00EC2A85">
        <w:rPr>
          <w:rFonts w:ascii="Times New Roman" w:hAnsi="Times New Roman"/>
          <w:bCs/>
          <w:sz w:val="24"/>
          <w:szCs w:val="24"/>
          <w:lang w:val="sq-AL"/>
        </w:rPr>
        <w:t xml:space="preserve">. </w:t>
      </w:r>
      <w:r w:rsidRPr="00EC2A85">
        <w:rPr>
          <w:rFonts w:ascii="Times New Roman" w:hAnsi="Times New Roman"/>
          <w:sz w:val="24"/>
          <w:szCs w:val="24"/>
          <w:lang w:val="sq-AL"/>
        </w:rPr>
        <w:t xml:space="preserve">Sipas nenit 131, pika 1, shkronja “f”, të Kushtetutës, Gjykata Kushtetuese vendos për gjykimin përfundimtar të ankesave të individëve, pasi të jenë shteruar të gjitha mjetet juridike efektive për mbrojtjen e të drejtave kushtetuese, që individi pretendon se i janë cenuar nga akti i pushtetit publik. Shterimi i mjeteve përbën parakusht që duhet përmbushur nga kërkuesi, i cili para se t’i drejtohet Gjykatës Kushtetuese duhet të vërtetojë se </w:t>
      </w:r>
      <w:r w:rsidR="00040938">
        <w:rPr>
          <w:rFonts w:ascii="Times New Roman" w:hAnsi="Times New Roman"/>
          <w:sz w:val="24"/>
          <w:szCs w:val="24"/>
          <w:lang w:val="sq-AL"/>
        </w:rPr>
        <w:t xml:space="preserve">i </w:t>
      </w:r>
      <w:r w:rsidRPr="00EC2A85">
        <w:rPr>
          <w:rFonts w:ascii="Times New Roman" w:hAnsi="Times New Roman"/>
          <w:sz w:val="24"/>
          <w:szCs w:val="24"/>
          <w:lang w:val="sq-AL"/>
        </w:rPr>
        <w:t>ka përdorur të gjitha mjetet ligjore të njohura nga ligji dhe të mjaftueshme për të ri</w:t>
      </w:r>
      <w:r w:rsidR="00915C12">
        <w:rPr>
          <w:rFonts w:ascii="Times New Roman" w:hAnsi="Times New Roman"/>
          <w:sz w:val="24"/>
          <w:szCs w:val="24"/>
          <w:lang w:val="sq-AL"/>
        </w:rPr>
        <w:t xml:space="preserve">vendosur të drejtat e shkelura </w:t>
      </w:r>
      <w:r w:rsidRPr="00EC2A85">
        <w:rPr>
          <w:rFonts w:ascii="Times New Roman" w:hAnsi="Times New Roman"/>
          <w:i/>
          <w:sz w:val="24"/>
          <w:szCs w:val="24"/>
          <w:lang w:val="sq-AL"/>
        </w:rPr>
        <w:t xml:space="preserve">(shih </w:t>
      </w:r>
      <w:r w:rsidRPr="00EC2A85">
        <w:rPr>
          <w:rFonts w:ascii="Times New Roman" w:hAnsi="Times New Roman"/>
          <w:i/>
          <w:iCs/>
          <w:sz w:val="24"/>
          <w:szCs w:val="24"/>
          <w:lang w:val="sq-AL"/>
        </w:rPr>
        <w:t xml:space="preserve">vendimin </w:t>
      </w:r>
      <w:r w:rsidRPr="00EC2A85">
        <w:rPr>
          <w:rFonts w:ascii="Times New Roman" w:hAnsi="Times New Roman"/>
          <w:i/>
          <w:sz w:val="24"/>
          <w:szCs w:val="24"/>
          <w:lang w:val="sq-AL"/>
        </w:rPr>
        <w:t xml:space="preserve">nr. 10, datë 04.03.2021 </w:t>
      </w:r>
      <w:r w:rsidRPr="00EC2A85">
        <w:rPr>
          <w:rFonts w:ascii="Times New Roman" w:hAnsi="Times New Roman"/>
          <w:i/>
          <w:iCs/>
          <w:sz w:val="24"/>
          <w:szCs w:val="24"/>
          <w:lang w:val="sq-AL"/>
        </w:rPr>
        <w:t>të Gjykatës Kushtetuese)</w:t>
      </w:r>
      <w:r w:rsidRPr="00EC2A85">
        <w:rPr>
          <w:rFonts w:ascii="Times New Roman" w:hAnsi="Times New Roman"/>
          <w:iCs/>
          <w:sz w:val="24"/>
          <w:szCs w:val="24"/>
          <w:lang w:val="sq-AL"/>
        </w:rPr>
        <w:t>.</w:t>
      </w:r>
    </w:p>
    <w:p w:rsidR="00B635D2" w:rsidRPr="00EC2A85" w:rsidRDefault="00B635D2" w:rsidP="00B635D2">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 xml:space="preserve">Qëllimi i këtij neni të Kushtetutës është, ndër të tjera, të mundësojë, brenda sistemit gjyqësor të zakonshëm, parandalimin ose riparimin e shkeljeve të pretenduara, përpara se të tilla pretendime të paraqiten në Gjykatën Kushtetuese </w:t>
      </w:r>
      <w:r w:rsidRPr="00EC2A85">
        <w:rPr>
          <w:rFonts w:ascii="Times New Roman" w:hAnsi="Times New Roman"/>
          <w:i/>
          <w:color w:val="000000"/>
          <w:sz w:val="24"/>
          <w:szCs w:val="24"/>
          <w:lang w:val="sq-AL"/>
        </w:rPr>
        <w:t>(shih vendimin nr. 77, datë 19.12.2016 të Gjykatës Kushtetuese)</w:t>
      </w:r>
      <w:r w:rsidRPr="00EC2A85">
        <w:rPr>
          <w:rFonts w:ascii="Times New Roman" w:hAnsi="Times New Roman"/>
          <w:color w:val="000000"/>
          <w:sz w:val="24"/>
          <w:szCs w:val="24"/>
          <w:lang w:val="sq-AL"/>
        </w:rPr>
        <w:t>.</w:t>
      </w:r>
    </w:p>
    <w:p w:rsidR="00AE00D0" w:rsidRPr="00EC2A85" w:rsidRDefault="00AE00D0"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Rregulli i shterimit të mjeteve të ankimit në gjykatat e zakonshme përbën një aspekt të rëndësishëm të parimit se procedura e zgjidhjes së ankesave individuale përpara Gjykatës Kushtetuese është plotësuese e gjykimit në gjykatat e zakonshme lidhur me mbrojtjen e të drejtave kushtetuese (</w:t>
      </w:r>
      <w:r w:rsidRPr="00EC2A85">
        <w:rPr>
          <w:rFonts w:ascii="Times New Roman" w:hAnsi="Times New Roman"/>
          <w:i/>
          <w:sz w:val="24"/>
          <w:szCs w:val="24"/>
          <w:lang w:val="sq-AL"/>
        </w:rPr>
        <w:t xml:space="preserve">parimi i </w:t>
      </w:r>
      <w:proofErr w:type="spellStart"/>
      <w:r w:rsidRPr="00EC2A85">
        <w:rPr>
          <w:rFonts w:ascii="Times New Roman" w:hAnsi="Times New Roman"/>
          <w:i/>
          <w:sz w:val="24"/>
          <w:szCs w:val="24"/>
          <w:lang w:val="sq-AL"/>
        </w:rPr>
        <w:t>subsidiaritetit</w:t>
      </w:r>
      <w:proofErr w:type="spellEnd"/>
      <w:r w:rsidRPr="00EC2A85">
        <w:rPr>
          <w:rFonts w:ascii="Times New Roman" w:hAnsi="Times New Roman"/>
          <w:sz w:val="24"/>
          <w:szCs w:val="24"/>
          <w:lang w:val="sq-AL"/>
        </w:rPr>
        <w:t>).</w:t>
      </w:r>
      <w:r w:rsidRPr="00EC2A85">
        <w:rPr>
          <w:rFonts w:ascii="Times New Roman" w:hAnsi="Times New Roman"/>
          <w:color w:val="000000"/>
          <w:sz w:val="24"/>
          <w:szCs w:val="24"/>
          <w:lang w:val="sq-AL"/>
        </w:rPr>
        <w:t xml:space="preserve"> Ky rregull nënkupton jo vetëm që individi t’u jetë drejtuar të gjitha instancave të zakonshme, por edhe që të gjitha pretendimet që ngre në këtë Gjykatë t’i ketë paraqitur më parë në këto instanca, të paktën në substancë, duke respektuar kërkesat formale dhe afatet e parashikuara në ligjin procedural </w:t>
      </w:r>
      <w:r w:rsidRPr="00EC2A85">
        <w:rPr>
          <w:rFonts w:ascii="Times New Roman" w:hAnsi="Times New Roman"/>
          <w:i/>
          <w:color w:val="000000"/>
          <w:sz w:val="24"/>
          <w:szCs w:val="24"/>
          <w:lang w:val="sq-AL"/>
        </w:rPr>
        <w:t>(shih vendimin nr. 15, datë 07.05.2018 të Gjykatës Kushtetuese)</w:t>
      </w:r>
      <w:r w:rsidRPr="00EC2A85">
        <w:rPr>
          <w:rFonts w:ascii="Times New Roman" w:hAnsi="Times New Roman"/>
          <w:color w:val="000000"/>
          <w:sz w:val="24"/>
          <w:szCs w:val="24"/>
          <w:lang w:val="sq-AL"/>
        </w:rPr>
        <w:t xml:space="preserve">. </w:t>
      </w:r>
      <w:r w:rsidRPr="00EC2A85">
        <w:rPr>
          <w:rFonts w:ascii="Times New Roman" w:eastAsia="Times New Roman" w:hAnsi="Times New Roman"/>
          <w:sz w:val="24"/>
          <w:szCs w:val="24"/>
          <w:lang w:val="sq-AL"/>
        </w:rPr>
        <w:t xml:space="preserve">Duke qenë se mbrojtja kushtetuese ka një funksion </w:t>
      </w:r>
      <w:proofErr w:type="spellStart"/>
      <w:r w:rsidRPr="00EC2A85">
        <w:rPr>
          <w:rFonts w:ascii="Times New Roman" w:eastAsia="Times New Roman" w:hAnsi="Times New Roman"/>
          <w:sz w:val="24"/>
          <w:szCs w:val="24"/>
          <w:lang w:val="sq-AL"/>
        </w:rPr>
        <w:t>subsidiar</w:t>
      </w:r>
      <w:proofErr w:type="spellEnd"/>
      <w:r w:rsidRPr="00EC2A85">
        <w:rPr>
          <w:rFonts w:ascii="Times New Roman" w:eastAsia="Times New Roman" w:hAnsi="Times New Roman"/>
          <w:sz w:val="24"/>
          <w:szCs w:val="24"/>
          <w:lang w:val="sq-AL"/>
        </w:rPr>
        <w:t xml:space="preserve">, kjo do të thotë se mund të kërkohet vetëm për një vendim përfundimtar, që përmbyll procesin gjyqësor </w:t>
      </w:r>
      <w:r w:rsidRPr="00EC2A85">
        <w:rPr>
          <w:rFonts w:ascii="Times New Roman" w:eastAsia="Times New Roman" w:hAnsi="Times New Roman"/>
          <w:i/>
          <w:sz w:val="24"/>
          <w:szCs w:val="24"/>
          <w:lang w:val="sq-AL"/>
        </w:rPr>
        <w:t>(shih vendimin nr. 48, datë 06.07.2015 të Gjykatës Kushtetuese)</w:t>
      </w:r>
      <w:r w:rsidRPr="00EC2A85">
        <w:rPr>
          <w:rFonts w:ascii="Times New Roman" w:eastAsia="Times New Roman" w:hAnsi="Times New Roman"/>
          <w:sz w:val="24"/>
          <w:szCs w:val="24"/>
          <w:lang w:val="sq-AL"/>
        </w:rPr>
        <w:t xml:space="preserve">. Dhunimi i së drejtës për një proces të rregullt ligjor, e garantuar nga neni 42 i Kushtetutës, mund të pretendohet në këtë Gjykatë vetëm pasi të shterohen të gjitha mundësitë e ofruara nga sistemi i apeleve dhe kjo vlen edhe në rastet kur procedurat gjyqësore paraprake çojnë në një rëndim të mëtejshëm ose në </w:t>
      </w:r>
      <w:proofErr w:type="spellStart"/>
      <w:r w:rsidRPr="00EC2A85">
        <w:rPr>
          <w:rFonts w:ascii="Times New Roman" w:eastAsia="Times New Roman" w:hAnsi="Times New Roman"/>
          <w:sz w:val="24"/>
          <w:szCs w:val="24"/>
          <w:lang w:val="sq-AL"/>
        </w:rPr>
        <w:t>tejzgjatjen</w:t>
      </w:r>
      <w:proofErr w:type="spellEnd"/>
      <w:r w:rsidRPr="00EC2A85">
        <w:rPr>
          <w:rFonts w:ascii="Times New Roman" w:eastAsia="Times New Roman" w:hAnsi="Times New Roman"/>
          <w:sz w:val="24"/>
          <w:szCs w:val="24"/>
          <w:lang w:val="sq-AL"/>
        </w:rPr>
        <w:t xml:space="preserve"> e dhunimit të kësaj të drejte (</w:t>
      </w:r>
      <w:r w:rsidRPr="00EC2A85">
        <w:rPr>
          <w:rFonts w:ascii="Times New Roman" w:eastAsia="Times New Roman" w:hAnsi="Times New Roman"/>
          <w:i/>
          <w:sz w:val="24"/>
          <w:szCs w:val="24"/>
          <w:lang w:val="sq-AL"/>
        </w:rPr>
        <w:t>shih vendimet nr. 29, datë 30.03.2017; nr. 28, datë 23.06.2011 të Gjykatës Kushtetuese</w:t>
      </w:r>
      <w:r w:rsidRPr="00EC2A85">
        <w:rPr>
          <w:rFonts w:ascii="Times New Roman" w:eastAsia="Times New Roman" w:hAnsi="Times New Roman"/>
          <w:sz w:val="24"/>
          <w:szCs w:val="24"/>
          <w:lang w:val="sq-AL"/>
        </w:rPr>
        <w:t>).</w:t>
      </w:r>
    </w:p>
    <w:p w:rsidR="00B635D2" w:rsidRPr="00EC2A85" w:rsidRDefault="00AE00D0" w:rsidP="00B635D2">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Gjykata ka pohuar në jurisprudencën e saj se, si rregull, individi mund t’i drejtohet asaj për kontrollin e kushtetutshmërisë së një vendimi gjyqësor, i cili ka vendosur në mënyrë përfundimtare mbi të drejtën kushtetuese që pretendohet të jetë cenuar (</w:t>
      </w:r>
      <w:r w:rsidRPr="00EC2A85">
        <w:rPr>
          <w:rFonts w:ascii="Times New Roman" w:hAnsi="Times New Roman"/>
          <w:i/>
          <w:sz w:val="24"/>
          <w:szCs w:val="24"/>
          <w:lang w:val="sq-AL"/>
        </w:rPr>
        <w:t>shih vendimin nr. 14, datë 11.03.2021 të Gjykatës Kushtetuese</w:t>
      </w:r>
      <w:r w:rsidRPr="00EC2A85">
        <w:rPr>
          <w:rFonts w:ascii="Times New Roman" w:hAnsi="Times New Roman"/>
          <w:sz w:val="24"/>
          <w:szCs w:val="24"/>
          <w:lang w:val="sq-AL"/>
        </w:rPr>
        <w:t xml:space="preserve">). Në këtë situatë, për të vlerësuar përmbushjen e kriterit të shterimit të mjeteve juridike efektive, merr rëndësi të përcaktohet nëse vendimi i kundërshtuar nga kërkuesi në ankimin e tij ka formë përfundimtare, në kuptim të nenit 131, pika 1, shkronja “f”, të Kushtetutës. </w:t>
      </w:r>
    </w:p>
    <w:p w:rsidR="00AE00D0" w:rsidRPr="00EC2A85" w:rsidRDefault="00B635D2" w:rsidP="00FE77AA">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Duke iu rikthyer çështjes konkrete, Kolegji vëren se o</w:t>
      </w:r>
      <w:r w:rsidR="00AE00D0" w:rsidRPr="00EC2A85">
        <w:rPr>
          <w:rFonts w:ascii="Times New Roman" w:hAnsi="Times New Roman"/>
          <w:sz w:val="24"/>
          <w:szCs w:val="24"/>
          <w:lang w:val="sq-AL"/>
        </w:rPr>
        <w:t xml:space="preserve">bjekt i ankimit kushtetues individual në rastin në shqyrtim është procesi gjyqësor i zhvilluar në Gjykatën e Apelit Tiranë dhe Gjykatën e Lartë, i vënë në lëvizje me ankimin e kërkuesit për kundërshtimin e vendimit </w:t>
      </w:r>
      <w:r w:rsidRPr="00EC2A85">
        <w:rPr>
          <w:rFonts w:ascii="Times New Roman" w:hAnsi="Times New Roman"/>
          <w:sz w:val="24"/>
          <w:szCs w:val="24"/>
          <w:lang w:val="sq-AL"/>
        </w:rPr>
        <w:t xml:space="preserve">nr. 105, datë 04.04.2018 </w:t>
      </w:r>
      <w:r w:rsidR="00AE00D0" w:rsidRPr="00EC2A85">
        <w:rPr>
          <w:rFonts w:ascii="Times New Roman" w:hAnsi="Times New Roman"/>
          <w:sz w:val="24"/>
          <w:szCs w:val="24"/>
          <w:lang w:val="sq-AL"/>
        </w:rPr>
        <w:t xml:space="preserve">të Gjykatës së Rrethit Gjyqësor Dibër që nuk ka pranuar kërkesën e prokurorit për dërgimin e çështjes për gjyq dhe ka vendosur kthimin e akteve asaj në </w:t>
      </w:r>
      <w:r w:rsidR="00915C12">
        <w:rPr>
          <w:rFonts w:ascii="Times New Roman" w:hAnsi="Times New Roman"/>
          <w:sz w:val="24"/>
          <w:szCs w:val="24"/>
          <w:lang w:val="sq-AL"/>
        </w:rPr>
        <w:t>bazë</w:t>
      </w:r>
      <w:r w:rsidR="00AE00D0" w:rsidRPr="00EC2A85">
        <w:rPr>
          <w:rFonts w:ascii="Times New Roman" w:hAnsi="Times New Roman"/>
          <w:sz w:val="24"/>
          <w:szCs w:val="24"/>
          <w:lang w:val="sq-AL"/>
        </w:rPr>
        <w:t xml:space="preserve"> të nenit 332/d, pika 3, të Kodit të Procedurës Penale (</w:t>
      </w:r>
      <w:r w:rsidR="00AE00D0" w:rsidRPr="00EC2A85">
        <w:rPr>
          <w:rFonts w:ascii="Times New Roman" w:hAnsi="Times New Roman"/>
          <w:i/>
          <w:sz w:val="24"/>
          <w:szCs w:val="24"/>
          <w:lang w:val="sq-AL"/>
        </w:rPr>
        <w:t>KPP</w:t>
      </w:r>
      <w:r w:rsidR="00AE00D0" w:rsidRPr="00EC2A85">
        <w:rPr>
          <w:rFonts w:ascii="Times New Roman" w:hAnsi="Times New Roman"/>
          <w:sz w:val="24"/>
          <w:szCs w:val="24"/>
          <w:lang w:val="sq-AL"/>
        </w:rPr>
        <w:t>) për shkak se cilësimi i faktit penal në akuzën e ngritur nga organi i akuzës është i gabuar. Sipas n</w:t>
      </w:r>
      <w:r w:rsidR="00AE00D0" w:rsidRPr="00EC2A85">
        <w:rPr>
          <w:rFonts w:ascii="Times New Roman" w:eastAsia="Times New Roman" w:hAnsi="Times New Roman"/>
          <w:sz w:val="24"/>
          <w:szCs w:val="24"/>
          <w:lang w:val="sq-AL" w:eastAsia="sq-AL"/>
        </w:rPr>
        <w:t>enit 332/d, pika 3</w:t>
      </w:r>
      <w:r w:rsidR="0092048B">
        <w:rPr>
          <w:rFonts w:ascii="Times New Roman" w:eastAsia="Times New Roman" w:hAnsi="Times New Roman"/>
          <w:sz w:val="24"/>
          <w:szCs w:val="24"/>
          <w:lang w:val="sq-AL" w:eastAsia="sq-AL"/>
        </w:rPr>
        <w:t xml:space="preserve"> të KPP-së</w:t>
      </w:r>
      <w:r w:rsidR="00AE00D0" w:rsidRPr="00EC2A85">
        <w:rPr>
          <w:rFonts w:ascii="Times New Roman" w:eastAsia="Times New Roman" w:hAnsi="Times New Roman"/>
          <w:sz w:val="24"/>
          <w:szCs w:val="24"/>
          <w:lang w:val="sq-AL" w:eastAsia="sq-AL"/>
        </w:rPr>
        <w:t xml:space="preserve">, kur gjatë seancës paraprake del se cilësimi </w:t>
      </w:r>
      <w:r w:rsidR="0092048B">
        <w:rPr>
          <w:rFonts w:ascii="Times New Roman" w:eastAsia="Times New Roman" w:hAnsi="Times New Roman"/>
          <w:sz w:val="24"/>
          <w:szCs w:val="24"/>
          <w:lang w:val="sq-AL" w:eastAsia="sq-AL"/>
        </w:rPr>
        <w:t>juridik i faktit është i gabuar</w:t>
      </w:r>
      <w:r w:rsidR="00AE00D0" w:rsidRPr="00EC2A85">
        <w:rPr>
          <w:rFonts w:ascii="Times New Roman" w:eastAsia="Times New Roman" w:hAnsi="Times New Roman"/>
          <w:sz w:val="24"/>
          <w:szCs w:val="24"/>
          <w:lang w:val="sq-AL" w:eastAsia="sq-AL"/>
        </w:rPr>
        <w:t xml:space="preserve"> ose kur akuza nuk është formuluar në mënyrë të qartë dhe të saktë, gjykata fton prokurorin që të bëjë korrigjimet ose saktësimet e nevojshme. Në rast se prokurori nuk vepron, gjykata vendos t’i kthejë aktet dhe ky vendim i njoftohet drejtuesit të prokurorisë. </w:t>
      </w:r>
    </w:p>
    <w:p w:rsidR="00AE00D0" w:rsidRPr="00EC2A85" w:rsidRDefault="0092048B"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Për s</w:t>
      </w:r>
      <w:r w:rsidR="00915C12">
        <w:rPr>
          <w:rFonts w:ascii="Times New Roman" w:hAnsi="Times New Roman"/>
          <w:sz w:val="24"/>
          <w:szCs w:val="24"/>
          <w:lang w:val="sq-AL"/>
        </w:rPr>
        <w:t>a më lart</w:t>
      </w:r>
      <w:r>
        <w:rPr>
          <w:rFonts w:ascii="Times New Roman" w:hAnsi="Times New Roman"/>
          <w:sz w:val="24"/>
          <w:szCs w:val="24"/>
          <w:lang w:val="sq-AL"/>
        </w:rPr>
        <w:t>,</w:t>
      </w:r>
      <w:r w:rsidR="00915C12">
        <w:rPr>
          <w:rFonts w:ascii="Times New Roman" w:hAnsi="Times New Roman"/>
          <w:sz w:val="24"/>
          <w:szCs w:val="24"/>
          <w:lang w:val="sq-AL"/>
        </w:rPr>
        <w:t xml:space="preserve"> </w:t>
      </w:r>
      <w:r w:rsidR="00FE77AA" w:rsidRPr="00EC2A85">
        <w:rPr>
          <w:rFonts w:ascii="Times New Roman" w:hAnsi="Times New Roman"/>
          <w:sz w:val="24"/>
          <w:szCs w:val="24"/>
          <w:lang w:val="sq-AL"/>
        </w:rPr>
        <w:t>Kolegji</w:t>
      </w:r>
      <w:r w:rsidR="00357861">
        <w:rPr>
          <w:rFonts w:ascii="Times New Roman" w:hAnsi="Times New Roman"/>
          <w:sz w:val="24"/>
          <w:szCs w:val="24"/>
          <w:lang w:val="sq-AL"/>
        </w:rPr>
        <w:t xml:space="preserve">, </w:t>
      </w:r>
      <w:r w:rsidR="00FE77AA" w:rsidRPr="00EC2A85">
        <w:rPr>
          <w:rFonts w:ascii="Times New Roman" w:hAnsi="Times New Roman"/>
          <w:sz w:val="24"/>
          <w:szCs w:val="24"/>
          <w:lang w:val="sq-AL"/>
        </w:rPr>
        <w:t>b</w:t>
      </w:r>
      <w:r w:rsidR="00AE00D0" w:rsidRPr="00EC2A85">
        <w:rPr>
          <w:rFonts w:ascii="Times New Roman" w:hAnsi="Times New Roman"/>
          <w:sz w:val="24"/>
          <w:szCs w:val="24"/>
          <w:lang w:val="sq-AL"/>
        </w:rPr>
        <w:t xml:space="preserve">azuar në </w:t>
      </w:r>
      <w:r w:rsidR="00915C12">
        <w:rPr>
          <w:rFonts w:ascii="Times New Roman" w:hAnsi="Times New Roman"/>
          <w:sz w:val="24"/>
          <w:szCs w:val="24"/>
          <w:lang w:val="sq-AL"/>
        </w:rPr>
        <w:t>nenin 131, pika 1, shkronja “f”</w:t>
      </w:r>
      <w:r>
        <w:rPr>
          <w:rFonts w:ascii="Times New Roman" w:hAnsi="Times New Roman"/>
          <w:sz w:val="24"/>
          <w:szCs w:val="24"/>
          <w:lang w:val="sq-AL"/>
        </w:rPr>
        <w:t xml:space="preserve">, të Kushtetutës </w:t>
      </w:r>
      <w:r w:rsidR="00357861">
        <w:rPr>
          <w:rFonts w:ascii="Times New Roman" w:hAnsi="Times New Roman"/>
          <w:sz w:val="24"/>
          <w:szCs w:val="24"/>
          <w:lang w:val="sq-AL"/>
        </w:rPr>
        <w:t>vlerëson</w:t>
      </w:r>
      <w:r w:rsidR="00AE00D0" w:rsidRPr="00EC2A85">
        <w:rPr>
          <w:rFonts w:ascii="Times New Roman" w:hAnsi="Times New Roman"/>
          <w:sz w:val="24"/>
          <w:szCs w:val="24"/>
          <w:lang w:val="sq-AL"/>
        </w:rPr>
        <w:t xml:space="preserve"> se vendimet e kësaj natyre të gjyqtarit të seancës paraprake nuk mund të konsiderohen si përfundimtare për efekt të gjykimit kushtetues. Në </w:t>
      </w:r>
      <w:r w:rsidR="00273558">
        <w:rPr>
          <w:rFonts w:ascii="Times New Roman" w:hAnsi="Times New Roman"/>
          <w:sz w:val="24"/>
          <w:szCs w:val="24"/>
          <w:lang w:val="sq-AL"/>
        </w:rPr>
        <w:t xml:space="preserve">kushtet kur KPP-ja </w:t>
      </w:r>
      <w:r w:rsidR="002B4E57">
        <w:rPr>
          <w:rFonts w:ascii="Times New Roman" w:hAnsi="Times New Roman"/>
          <w:sz w:val="24"/>
          <w:szCs w:val="24"/>
          <w:lang w:val="sq-AL"/>
        </w:rPr>
        <w:t>e ka përcaktuar vendimin gjyqësor të seancës paraprake, si aktin që fillon gjykimin dhe ky i fundit ka në objektin e tij përcaktimin e saktë të akuzës me vendimin përfundimtar të themelit</w:t>
      </w:r>
      <w:r>
        <w:rPr>
          <w:rFonts w:ascii="Times New Roman" w:hAnsi="Times New Roman"/>
          <w:sz w:val="24"/>
          <w:szCs w:val="24"/>
          <w:lang w:val="sq-AL"/>
        </w:rPr>
        <w:t>,</w:t>
      </w:r>
      <w:r w:rsidR="00AE00D0" w:rsidRPr="00EC2A85">
        <w:rPr>
          <w:rFonts w:ascii="Times New Roman" w:hAnsi="Times New Roman"/>
          <w:sz w:val="24"/>
          <w:szCs w:val="24"/>
          <w:lang w:val="sq-AL"/>
        </w:rPr>
        <w:t xml:space="preserve"> kërkuesi i ka të gjitha mjetet e nevojshme juridike për mbrojtjen e interesave të tij gjatë shqyrtimit të çështjes në themel, ku mund të ngrejë pretendime në lidhje me ci</w:t>
      </w:r>
      <w:r>
        <w:rPr>
          <w:rFonts w:ascii="Times New Roman" w:hAnsi="Times New Roman"/>
          <w:sz w:val="24"/>
          <w:szCs w:val="24"/>
          <w:lang w:val="sq-AL"/>
        </w:rPr>
        <w:t xml:space="preserve">lësimin juridik të fakteve, si </w:t>
      </w:r>
      <w:r w:rsidR="00AE00D0" w:rsidRPr="00EC2A85">
        <w:rPr>
          <w:rFonts w:ascii="Times New Roman" w:hAnsi="Times New Roman"/>
          <w:sz w:val="24"/>
          <w:szCs w:val="24"/>
          <w:lang w:val="sq-AL"/>
        </w:rPr>
        <w:t xml:space="preserve">dhe të paraqesë të gjitha provat që i konsideron të nevojshme në mbështetje të pretendimeve të tij, përfshirë më pas edhe mbrojtjen kushtetuese </w:t>
      </w:r>
      <w:r>
        <w:rPr>
          <w:rFonts w:ascii="Times New Roman" w:hAnsi="Times New Roman"/>
          <w:sz w:val="24"/>
          <w:szCs w:val="24"/>
          <w:lang w:val="sq-AL"/>
        </w:rPr>
        <w:t>në këtë</w:t>
      </w:r>
      <w:r w:rsidR="00AE00D0" w:rsidRPr="00EC2A85">
        <w:rPr>
          <w:rFonts w:ascii="Times New Roman" w:hAnsi="Times New Roman"/>
          <w:sz w:val="24"/>
          <w:szCs w:val="24"/>
          <w:lang w:val="sq-AL"/>
        </w:rPr>
        <w:t xml:space="preserve"> </w:t>
      </w:r>
      <w:r>
        <w:rPr>
          <w:rFonts w:ascii="Times New Roman" w:hAnsi="Times New Roman"/>
          <w:sz w:val="24"/>
          <w:szCs w:val="24"/>
          <w:lang w:val="sq-AL"/>
        </w:rPr>
        <w:t>Gjykatë</w:t>
      </w:r>
      <w:r w:rsidR="00AE00D0" w:rsidRPr="00EC2A85">
        <w:rPr>
          <w:rFonts w:ascii="Times New Roman" w:hAnsi="Times New Roman"/>
          <w:sz w:val="24"/>
          <w:szCs w:val="24"/>
          <w:lang w:val="sq-AL"/>
        </w:rPr>
        <w:t xml:space="preserve">. </w:t>
      </w:r>
      <w:r w:rsidR="00AE00D0" w:rsidRPr="002B4E57">
        <w:rPr>
          <w:rFonts w:ascii="Times New Roman" w:hAnsi="Times New Roman"/>
          <w:sz w:val="24"/>
          <w:szCs w:val="24"/>
          <w:lang w:val="sq-AL"/>
        </w:rPr>
        <w:t>Për më tepër</w:t>
      </w:r>
      <w:r w:rsidR="00AE00D0" w:rsidRPr="00EC2A85">
        <w:rPr>
          <w:rFonts w:ascii="Times New Roman" w:hAnsi="Times New Roman"/>
          <w:sz w:val="24"/>
          <w:szCs w:val="24"/>
          <w:lang w:val="sq-AL"/>
        </w:rPr>
        <w:t xml:space="preserve"> që në rastin konkret jemi para një vendimi për kthimin e akteve prokurorit</w:t>
      </w:r>
      <w:r w:rsidR="002B4E57">
        <w:rPr>
          <w:rFonts w:ascii="Times New Roman" w:hAnsi="Times New Roman"/>
          <w:sz w:val="24"/>
          <w:szCs w:val="24"/>
          <w:lang w:val="sq-AL"/>
        </w:rPr>
        <w:t>,</w:t>
      </w:r>
      <w:r w:rsidR="00AE00D0" w:rsidRPr="00EC2A85">
        <w:rPr>
          <w:rFonts w:ascii="Times New Roman" w:hAnsi="Times New Roman"/>
          <w:sz w:val="24"/>
          <w:szCs w:val="24"/>
          <w:lang w:val="sq-AL"/>
        </w:rPr>
        <w:t xml:space="preserve"> </w:t>
      </w:r>
      <w:r w:rsidR="002B4E57">
        <w:rPr>
          <w:rFonts w:ascii="Times New Roman" w:hAnsi="Times New Roman"/>
          <w:sz w:val="24"/>
          <w:szCs w:val="24"/>
          <w:lang w:val="sq-AL"/>
        </w:rPr>
        <w:t xml:space="preserve">i cili </w:t>
      </w:r>
      <w:r w:rsidR="00AE00D0" w:rsidRPr="00EC2A85">
        <w:rPr>
          <w:rFonts w:ascii="Times New Roman" w:hAnsi="Times New Roman"/>
          <w:sz w:val="24"/>
          <w:szCs w:val="24"/>
          <w:lang w:val="sq-AL"/>
        </w:rPr>
        <w:t>është i detyruar që, pasi të zbatojë urdhërimet e gjyqtarit të seancës paraprake</w:t>
      </w:r>
      <w:r>
        <w:rPr>
          <w:rFonts w:ascii="Times New Roman" w:hAnsi="Times New Roman"/>
          <w:sz w:val="24"/>
          <w:szCs w:val="24"/>
          <w:lang w:val="sq-AL"/>
        </w:rPr>
        <w:t>,</w:t>
      </w:r>
      <w:r w:rsidR="00AE00D0" w:rsidRPr="00EC2A85">
        <w:rPr>
          <w:rFonts w:ascii="Times New Roman" w:hAnsi="Times New Roman"/>
          <w:sz w:val="24"/>
          <w:szCs w:val="24"/>
          <w:lang w:val="sq-AL"/>
        </w:rPr>
        <w:t xml:space="preserve"> t`i drejtohet sërish atij me kërkesë për dërgimin e çështjes në gjyq, duke paraqitur edhe provat në mbështetje të akuzës. </w:t>
      </w:r>
    </w:p>
    <w:p w:rsidR="00AE00D0" w:rsidRPr="00EC2A85" w:rsidRDefault="00EC2A85" w:rsidP="00AE00D0">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Pr>
          <w:rFonts w:ascii="Times New Roman" w:hAnsi="Times New Roman"/>
          <w:sz w:val="24"/>
          <w:szCs w:val="24"/>
          <w:lang w:val="sq-AL"/>
        </w:rPr>
        <w:t>K</w:t>
      </w:r>
      <w:r w:rsidR="007850C8" w:rsidRPr="00EC2A85">
        <w:rPr>
          <w:rFonts w:ascii="Times New Roman" w:hAnsi="Times New Roman"/>
          <w:sz w:val="24"/>
          <w:szCs w:val="24"/>
          <w:lang w:val="sq-AL"/>
        </w:rPr>
        <w:t xml:space="preserve">olegji </w:t>
      </w:r>
      <w:r w:rsidR="00357861">
        <w:rPr>
          <w:rFonts w:ascii="Times New Roman" w:hAnsi="Times New Roman"/>
          <w:sz w:val="24"/>
          <w:szCs w:val="24"/>
          <w:lang w:val="sq-AL"/>
        </w:rPr>
        <w:t>vëren</w:t>
      </w:r>
      <w:r w:rsidR="007850C8" w:rsidRPr="00EC2A85">
        <w:rPr>
          <w:rFonts w:ascii="Times New Roman" w:hAnsi="Times New Roman"/>
          <w:sz w:val="24"/>
          <w:szCs w:val="24"/>
          <w:lang w:val="sq-AL"/>
        </w:rPr>
        <w:t xml:space="preserve"> </w:t>
      </w:r>
      <w:r w:rsidR="009E11E5" w:rsidRPr="00EC2A85">
        <w:rPr>
          <w:rFonts w:ascii="Times New Roman" w:hAnsi="Times New Roman"/>
          <w:sz w:val="24"/>
          <w:szCs w:val="24"/>
          <w:lang w:val="sq-AL"/>
        </w:rPr>
        <w:t>se</w:t>
      </w:r>
      <w:r w:rsidR="0092048B">
        <w:rPr>
          <w:rFonts w:ascii="Times New Roman" w:hAnsi="Times New Roman"/>
          <w:sz w:val="24"/>
          <w:szCs w:val="24"/>
          <w:lang w:val="sq-AL"/>
        </w:rPr>
        <w:t>,</w:t>
      </w:r>
      <w:r w:rsidR="009E11E5" w:rsidRPr="00EC2A85">
        <w:rPr>
          <w:rFonts w:ascii="Times New Roman" w:hAnsi="Times New Roman"/>
          <w:sz w:val="24"/>
          <w:szCs w:val="24"/>
          <w:lang w:val="sq-AL"/>
        </w:rPr>
        <w:t xml:space="preserve"> </w:t>
      </w:r>
      <w:r w:rsidR="00AE00D0" w:rsidRPr="00EC2A85">
        <w:rPr>
          <w:rFonts w:ascii="Times New Roman" w:hAnsi="Times New Roman"/>
          <w:sz w:val="24"/>
          <w:szCs w:val="24"/>
          <w:lang w:val="sq-AL"/>
        </w:rPr>
        <w:t>siç rezulton edhe nga vendimi i Gjykatës së Lartë, çështja penale në ngarkim të kërkuesit në lidhje me themelin e akuzës është duke u gjykuar në gjykatat e zakonshme dhe me vendimin nr. 53, datë 21.02.2019 të Gjykatës së Rrethit Gjyqësor Dibër ai është deklaruar fajtor për veprën penale “Vrasje nga pakujdesia”, të paras</w:t>
      </w:r>
      <w:r w:rsidR="008A59FC">
        <w:rPr>
          <w:rFonts w:ascii="Times New Roman" w:hAnsi="Times New Roman"/>
          <w:sz w:val="24"/>
          <w:szCs w:val="24"/>
          <w:lang w:val="sq-AL"/>
        </w:rPr>
        <w:t>hikuar nga neni 85 i KP-së</w:t>
      </w:r>
      <w:r w:rsidR="00AE00D0" w:rsidRPr="00EC2A85">
        <w:rPr>
          <w:rFonts w:ascii="Times New Roman" w:hAnsi="Times New Roman"/>
          <w:sz w:val="24"/>
          <w:szCs w:val="24"/>
          <w:lang w:val="sq-AL"/>
        </w:rPr>
        <w:t xml:space="preserve">.  </w:t>
      </w:r>
    </w:p>
    <w:p w:rsidR="00AE00D0" w:rsidRPr="00EC2A85" w:rsidRDefault="00AE00D0" w:rsidP="009E11E5">
      <w:pPr>
        <w:numPr>
          <w:ilvl w:val="0"/>
          <w:numId w:val="2"/>
        </w:numPr>
        <w:tabs>
          <w:tab w:val="left" w:pos="720"/>
          <w:tab w:val="left" w:pos="1080"/>
        </w:tabs>
        <w:spacing w:after="0" w:line="360" w:lineRule="auto"/>
        <w:ind w:left="0" w:firstLine="720"/>
        <w:jc w:val="both"/>
        <w:rPr>
          <w:rFonts w:ascii="Times New Roman" w:hAnsi="Times New Roman"/>
          <w:sz w:val="24"/>
          <w:szCs w:val="24"/>
          <w:lang w:val="sq-AL"/>
        </w:rPr>
      </w:pPr>
      <w:r w:rsidRPr="00EC2A85">
        <w:rPr>
          <w:rFonts w:ascii="Times New Roman" w:hAnsi="Times New Roman"/>
          <w:sz w:val="24"/>
          <w:szCs w:val="24"/>
          <w:lang w:val="sq-AL"/>
        </w:rPr>
        <w:t xml:space="preserve">Për sa më sipër, </w:t>
      </w:r>
      <w:r w:rsidR="009E11E5" w:rsidRPr="00EC2A85">
        <w:rPr>
          <w:rFonts w:ascii="Times New Roman" w:hAnsi="Times New Roman"/>
          <w:sz w:val="24"/>
          <w:szCs w:val="24"/>
          <w:lang w:val="sq-AL"/>
        </w:rPr>
        <w:t>Kolegji vlerëson se kërkuesi</w:t>
      </w:r>
      <w:r w:rsidRPr="00EC2A85">
        <w:rPr>
          <w:rFonts w:ascii="Times New Roman" w:hAnsi="Times New Roman"/>
          <w:sz w:val="24"/>
          <w:szCs w:val="24"/>
          <w:lang w:val="sq-AL"/>
        </w:rPr>
        <w:t xml:space="preserve"> nuk plotëson kriterin e shterimit të mjeteve juridike </w:t>
      </w:r>
      <w:r w:rsidR="009E11E5" w:rsidRPr="00EC2A85">
        <w:rPr>
          <w:rFonts w:ascii="Times New Roman" w:hAnsi="Times New Roman"/>
          <w:sz w:val="24"/>
          <w:szCs w:val="24"/>
          <w:lang w:val="sq-AL"/>
        </w:rPr>
        <w:t xml:space="preserve">efektive </w:t>
      </w:r>
      <w:r w:rsidRPr="00EC2A85">
        <w:rPr>
          <w:rFonts w:ascii="Times New Roman" w:hAnsi="Times New Roman"/>
          <w:sz w:val="24"/>
          <w:szCs w:val="24"/>
          <w:lang w:val="sq-AL"/>
        </w:rPr>
        <w:t>në dispozicion në kërkesën e tij drejtuar Gjykatës Kushtetuese, në kuptim të nenit 131, pika 1, shkronja “f”, të Kushtetutës</w:t>
      </w:r>
      <w:r w:rsidR="009E11E5" w:rsidRPr="00EC2A85">
        <w:rPr>
          <w:rFonts w:ascii="Times New Roman" w:hAnsi="Times New Roman"/>
          <w:sz w:val="24"/>
          <w:szCs w:val="24"/>
          <w:lang w:val="sq-AL"/>
        </w:rPr>
        <w:t xml:space="preserve"> </w:t>
      </w:r>
      <w:r w:rsidRPr="00EC2A85">
        <w:rPr>
          <w:rFonts w:ascii="Times New Roman" w:hAnsi="Times New Roman"/>
          <w:bCs/>
          <w:sz w:val="24"/>
          <w:szCs w:val="24"/>
          <w:lang w:val="sq-AL"/>
        </w:rPr>
        <w:t>dhe nenit 71/a, pika 1, shkronja “a”, të ligjit nr. 8577/2000</w:t>
      </w:r>
      <w:r w:rsidR="0092048B">
        <w:rPr>
          <w:rFonts w:ascii="Times New Roman" w:hAnsi="Times New Roman"/>
          <w:bCs/>
          <w:sz w:val="24"/>
          <w:szCs w:val="24"/>
          <w:lang w:val="sq-AL"/>
        </w:rPr>
        <w:t>,</w:t>
      </w:r>
      <w:r w:rsidRPr="00EC2A85">
        <w:rPr>
          <w:rFonts w:ascii="Times New Roman" w:hAnsi="Times New Roman"/>
          <w:bCs/>
          <w:sz w:val="24"/>
          <w:szCs w:val="24"/>
          <w:lang w:val="sq-AL"/>
        </w:rPr>
        <w:t xml:space="preserve"> si një nga kriteret ligjore për paraqitjen e ankimit kushtetues individual.</w:t>
      </w:r>
      <w:r w:rsidRPr="00EC2A85">
        <w:rPr>
          <w:rFonts w:ascii="Times New Roman" w:eastAsia="MS Mincho" w:hAnsi="Times New Roman"/>
          <w:sz w:val="24"/>
          <w:szCs w:val="24"/>
          <w:lang w:val="sq-AL"/>
        </w:rPr>
        <w:t xml:space="preserve"> Për rrjedhojë</w:t>
      </w:r>
      <w:r w:rsidR="0092048B">
        <w:rPr>
          <w:rFonts w:ascii="Times New Roman" w:eastAsia="MS Mincho" w:hAnsi="Times New Roman"/>
          <w:sz w:val="24"/>
          <w:szCs w:val="24"/>
          <w:lang w:val="sq-AL"/>
        </w:rPr>
        <w:t>,</w:t>
      </w:r>
      <w:r w:rsidRPr="00EC2A85">
        <w:rPr>
          <w:rFonts w:ascii="Times New Roman" w:eastAsia="MS Mincho" w:hAnsi="Times New Roman"/>
          <w:sz w:val="24"/>
          <w:szCs w:val="24"/>
          <w:lang w:val="sq-AL"/>
        </w:rPr>
        <w:t xml:space="preserve"> kërkesa nuk mund të kalojë për shqyrtim në seancë plenare.</w:t>
      </w:r>
    </w:p>
    <w:p w:rsidR="00AE00D0" w:rsidRPr="00EC2A85" w:rsidRDefault="00AE00D0" w:rsidP="00AE00D0">
      <w:pPr>
        <w:spacing w:after="0" w:line="360" w:lineRule="auto"/>
        <w:ind w:firstLine="720"/>
        <w:jc w:val="both"/>
        <w:rPr>
          <w:rFonts w:ascii="Times New Roman" w:eastAsia="MS Mincho" w:hAnsi="Times New Roman"/>
          <w:sz w:val="24"/>
          <w:szCs w:val="24"/>
          <w:lang w:val="sq-AL"/>
        </w:rPr>
      </w:pPr>
    </w:p>
    <w:p w:rsidR="00AE00D0" w:rsidRPr="00EC2A85" w:rsidRDefault="00AE00D0" w:rsidP="00AE00D0">
      <w:pPr>
        <w:spacing w:after="0" w:line="360" w:lineRule="auto"/>
        <w:jc w:val="center"/>
        <w:rPr>
          <w:rFonts w:ascii="Times New Roman" w:eastAsia="Times New Roman" w:hAnsi="Times New Roman"/>
          <w:sz w:val="24"/>
          <w:szCs w:val="24"/>
          <w:lang w:val="sq-AL"/>
        </w:rPr>
      </w:pPr>
      <w:r w:rsidRPr="00EC2A85">
        <w:rPr>
          <w:rFonts w:ascii="Times New Roman" w:eastAsia="Times New Roman" w:hAnsi="Times New Roman"/>
          <w:b/>
          <w:sz w:val="24"/>
          <w:szCs w:val="24"/>
          <w:lang w:val="sq-AL"/>
        </w:rPr>
        <w:t>PËR KËTO ARSYE,</w:t>
      </w:r>
    </w:p>
    <w:p w:rsidR="00AE00D0" w:rsidRPr="00EC2A85" w:rsidRDefault="00AE00D0" w:rsidP="00AE00D0">
      <w:pPr>
        <w:tabs>
          <w:tab w:val="left" w:pos="851"/>
        </w:tabs>
        <w:spacing w:after="0" w:line="360" w:lineRule="auto"/>
        <w:ind w:firstLine="720"/>
        <w:jc w:val="both"/>
        <w:rPr>
          <w:rFonts w:ascii="Times New Roman" w:hAnsi="Times New Roman"/>
          <w:sz w:val="24"/>
          <w:szCs w:val="24"/>
          <w:lang w:val="sq-AL"/>
        </w:rPr>
      </w:pPr>
      <w:r w:rsidRPr="00EC2A85">
        <w:rPr>
          <w:rFonts w:ascii="Times New Roman" w:hAnsi="Times New Roman"/>
          <w:sz w:val="24"/>
          <w:szCs w:val="24"/>
          <w:lang w:val="sq-AL"/>
        </w:rPr>
        <w:t>Kolegji i Gjykatës Kushtetuese të Republikës së Shqipërisë, në bazë të neneve 31 dhe 31/a, pika 2, shkronja “d”, të ligjit nr. 8577, datë 10.02.2000 “Për organizimin dhe funksionimin e Gjykatës Kushtetuese të Republikës së Shqipërisë”, të ndryshuar,</w:t>
      </w:r>
    </w:p>
    <w:p w:rsidR="00AE00D0" w:rsidRPr="00EC2A85" w:rsidRDefault="00AE00D0" w:rsidP="00AE00D0">
      <w:pPr>
        <w:tabs>
          <w:tab w:val="left" w:pos="720"/>
          <w:tab w:val="left" w:pos="1080"/>
          <w:tab w:val="left" w:pos="1260"/>
        </w:tabs>
        <w:suppressAutoHyphens/>
        <w:spacing w:after="0" w:line="360" w:lineRule="auto"/>
        <w:jc w:val="both"/>
        <w:outlineLvl w:val="0"/>
        <w:rPr>
          <w:rFonts w:ascii="Times New Roman" w:hAnsi="Times New Roman"/>
          <w:sz w:val="24"/>
          <w:szCs w:val="24"/>
          <w:lang w:val="sq-AL"/>
        </w:rPr>
      </w:pPr>
    </w:p>
    <w:p w:rsidR="00AE00D0" w:rsidRPr="00EC2A85" w:rsidRDefault="00AE00D0" w:rsidP="00AE00D0">
      <w:pPr>
        <w:tabs>
          <w:tab w:val="left" w:pos="851"/>
        </w:tabs>
        <w:spacing w:after="0" w:line="360" w:lineRule="auto"/>
        <w:jc w:val="center"/>
        <w:rPr>
          <w:rFonts w:ascii="Times New Roman" w:hAnsi="Times New Roman"/>
          <w:b/>
          <w:sz w:val="24"/>
          <w:szCs w:val="24"/>
          <w:u w:val="single"/>
          <w:lang w:val="sq-AL"/>
        </w:rPr>
      </w:pPr>
      <w:r w:rsidRPr="00EC2A85">
        <w:rPr>
          <w:rFonts w:ascii="Times New Roman" w:hAnsi="Times New Roman"/>
          <w:b/>
          <w:sz w:val="24"/>
          <w:szCs w:val="24"/>
          <w:lang w:val="sq-AL"/>
        </w:rPr>
        <w:t>V E N D O S I:</w:t>
      </w:r>
    </w:p>
    <w:p w:rsidR="00AE00D0" w:rsidRPr="00EC2A85" w:rsidRDefault="00AE00D0" w:rsidP="00AE00D0">
      <w:pPr>
        <w:tabs>
          <w:tab w:val="left" w:pos="851"/>
        </w:tabs>
        <w:spacing w:after="0" w:line="360" w:lineRule="auto"/>
        <w:ind w:firstLine="567"/>
        <w:contextualSpacing/>
        <w:rPr>
          <w:rFonts w:ascii="Times New Roman" w:hAnsi="Times New Roman"/>
          <w:sz w:val="24"/>
          <w:szCs w:val="24"/>
          <w:lang w:val="sq-AL"/>
        </w:rPr>
      </w:pPr>
      <w:proofErr w:type="spellStart"/>
      <w:r w:rsidRPr="00EC2A85">
        <w:rPr>
          <w:rFonts w:ascii="Times New Roman" w:hAnsi="Times New Roman"/>
          <w:sz w:val="24"/>
          <w:szCs w:val="24"/>
          <w:lang w:val="sq-AL"/>
        </w:rPr>
        <w:t>Moskalimin</w:t>
      </w:r>
      <w:proofErr w:type="spellEnd"/>
      <w:r w:rsidRPr="00EC2A85">
        <w:rPr>
          <w:rFonts w:ascii="Times New Roman" w:hAnsi="Times New Roman"/>
          <w:sz w:val="24"/>
          <w:szCs w:val="24"/>
          <w:lang w:val="sq-AL"/>
        </w:rPr>
        <w:t xml:space="preserve"> e çështjes për shqyrtim në seancë plenare.</w:t>
      </w:r>
    </w:p>
    <w:p w:rsidR="00972DB9" w:rsidRPr="00EC2A85" w:rsidRDefault="00972DB9" w:rsidP="00972DB9">
      <w:pPr>
        <w:tabs>
          <w:tab w:val="left" w:pos="851"/>
        </w:tabs>
        <w:spacing w:after="0" w:line="360" w:lineRule="auto"/>
        <w:rPr>
          <w:lang w:val="sq-AL"/>
        </w:rPr>
      </w:pPr>
    </w:p>
    <w:sectPr w:rsidR="00972DB9" w:rsidRPr="00EC2A85" w:rsidSect="002B6570">
      <w:foot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FD7BB" w16cid:durableId="26323573"/>
  <w16cid:commentId w16cid:paraId="20A3FA53" w16cid:durableId="26323652"/>
  <w16cid:commentId w16cid:paraId="4DC71061" w16cid:durableId="263236FB"/>
  <w16cid:commentId w16cid:paraId="68CC24FD" w16cid:durableId="263235E4"/>
  <w16cid:commentId w16cid:paraId="6414A821" w16cid:durableId="263236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0D" w:rsidRDefault="003C1D0D" w:rsidP="00AE00D0">
      <w:pPr>
        <w:spacing w:after="0" w:line="240" w:lineRule="auto"/>
      </w:pPr>
      <w:r>
        <w:separator/>
      </w:r>
    </w:p>
  </w:endnote>
  <w:endnote w:type="continuationSeparator" w:id="0">
    <w:p w:rsidR="003C1D0D" w:rsidRDefault="003C1D0D" w:rsidP="00AE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E5" w:rsidRDefault="003C1D0D" w:rsidP="002B6570">
    <w:pPr>
      <w:pStyle w:val="Footer"/>
      <w:pBdr>
        <w:top w:val="thinThickSmallGap" w:sz="24" w:space="1" w:color="622423"/>
      </w:pBdr>
      <w:rPr>
        <w:rFonts w:ascii="Times New Roman" w:hAnsi="Times New Roman"/>
        <w:sz w:val="24"/>
        <w:szCs w:val="24"/>
        <w:lang w:val="it-IT"/>
      </w:rPr>
    </w:pPr>
  </w:p>
  <w:p w:rsidR="002B6570" w:rsidRPr="00FA54AF" w:rsidRDefault="002909AD" w:rsidP="002B6570">
    <w:pPr>
      <w:pStyle w:val="Footer"/>
      <w:pBdr>
        <w:top w:val="thinThickSmallGap" w:sz="24" w:space="1" w:color="622423"/>
      </w:pBdr>
      <w:rPr>
        <w:rFonts w:ascii="Times New Roman" w:hAnsi="Times New Roman"/>
        <w:sz w:val="24"/>
        <w:szCs w:val="24"/>
        <w:lang w:val="it-IT"/>
      </w:rPr>
    </w:pPr>
    <w:r w:rsidRPr="00FA54AF">
      <w:rPr>
        <w:rFonts w:ascii="Times New Roman" w:hAnsi="Times New Roman"/>
        <w:sz w:val="24"/>
        <w:szCs w:val="24"/>
        <w:lang w:val="it-IT"/>
      </w:rPr>
      <w:t>Vendim i Kolegjit</w:t>
    </w:r>
    <w:r w:rsidRPr="00FA54AF">
      <w:rPr>
        <w:rFonts w:ascii="Times New Roman" w:hAnsi="Times New Roman"/>
        <w:sz w:val="24"/>
        <w:szCs w:val="24"/>
        <w:lang w:val="it-IT"/>
      </w:rPr>
      <w:tab/>
    </w:r>
    <w:r w:rsidRPr="00FA54AF">
      <w:rPr>
        <w:rFonts w:ascii="Times New Roman" w:hAnsi="Times New Roman"/>
        <w:sz w:val="24"/>
        <w:szCs w:val="24"/>
        <w:lang w:val="it-IT"/>
      </w:rPr>
      <w:tab/>
      <w:t xml:space="preserve">Faqe </w:t>
    </w:r>
    <w:r w:rsidRPr="00301192">
      <w:rPr>
        <w:rFonts w:ascii="Times New Roman" w:hAnsi="Times New Roman"/>
        <w:sz w:val="24"/>
        <w:szCs w:val="24"/>
      </w:rPr>
      <w:fldChar w:fldCharType="begin"/>
    </w:r>
    <w:r w:rsidRPr="00FA54AF">
      <w:rPr>
        <w:rFonts w:ascii="Times New Roman" w:hAnsi="Times New Roman"/>
        <w:sz w:val="24"/>
        <w:szCs w:val="24"/>
        <w:lang w:val="it-IT"/>
      </w:rPr>
      <w:instrText xml:space="preserve"> PAGE   \* MERGEFORMAT </w:instrText>
    </w:r>
    <w:r w:rsidRPr="00301192">
      <w:rPr>
        <w:rFonts w:ascii="Times New Roman" w:hAnsi="Times New Roman"/>
        <w:sz w:val="24"/>
        <w:szCs w:val="24"/>
      </w:rPr>
      <w:fldChar w:fldCharType="separate"/>
    </w:r>
    <w:r w:rsidR="00E427FA">
      <w:rPr>
        <w:rFonts w:ascii="Times New Roman" w:hAnsi="Times New Roman"/>
        <w:noProof/>
        <w:sz w:val="24"/>
        <w:szCs w:val="24"/>
        <w:lang w:val="it-IT"/>
      </w:rPr>
      <w:t>7</w:t>
    </w:r>
    <w:r w:rsidRPr="00301192">
      <w:rPr>
        <w:rFonts w:ascii="Times New Roman" w:hAnsi="Times New Roman"/>
        <w:sz w:val="24"/>
        <w:szCs w:val="24"/>
      </w:rPr>
      <w:fldChar w:fldCharType="end"/>
    </w:r>
  </w:p>
  <w:p w:rsidR="002B6570" w:rsidRDefault="002909AD" w:rsidP="002B6570">
    <w:pPr>
      <w:pStyle w:val="Footer"/>
      <w:pBdr>
        <w:top w:val="thinThickSmallGap" w:sz="24" w:space="1" w:color="622423"/>
      </w:pBdr>
      <w:rPr>
        <w:rFonts w:ascii="Times New Roman" w:hAnsi="Times New Roman"/>
        <w:sz w:val="24"/>
        <w:szCs w:val="24"/>
        <w:lang w:val="it-IT"/>
      </w:rPr>
    </w:pPr>
    <w:r w:rsidRPr="00FA54AF">
      <w:rPr>
        <w:rFonts w:ascii="Times New Roman" w:hAnsi="Times New Roman"/>
        <w:sz w:val="24"/>
        <w:szCs w:val="24"/>
        <w:lang w:val="it-IT"/>
      </w:rPr>
      <w:t xml:space="preserve">Kërkues: </w:t>
    </w:r>
    <w:r w:rsidR="00AE00D0">
      <w:rPr>
        <w:rFonts w:ascii="Times New Roman" w:hAnsi="Times New Roman"/>
        <w:sz w:val="24"/>
        <w:szCs w:val="24"/>
        <w:lang w:val="it-IT"/>
      </w:rPr>
      <w:t>Viktor Elezi</w:t>
    </w:r>
  </w:p>
  <w:p w:rsidR="00AE00D0" w:rsidRDefault="00AE00D0" w:rsidP="002B6570">
    <w:pPr>
      <w:pStyle w:val="Footer"/>
      <w:pBdr>
        <w:top w:val="thinThickSmallGap" w:sz="24" w:space="1" w:color="622423"/>
      </w:pBdr>
      <w:rPr>
        <w:rFonts w:ascii="Times New Roman" w:hAnsi="Times New Roman"/>
        <w:sz w:val="24"/>
        <w:szCs w:val="24"/>
        <w:lang w:val="it-IT"/>
      </w:rPr>
    </w:pPr>
  </w:p>
  <w:p w:rsidR="006E6029" w:rsidRPr="00FA54AF" w:rsidRDefault="003C1D0D" w:rsidP="002B6570">
    <w:pPr>
      <w:pStyle w:val="Footer"/>
      <w:pBdr>
        <w:top w:val="thinThickSmallGap" w:sz="24" w:space="1" w:color="622423"/>
      </w:pBd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0D" w:rsidRDefault="003C1D0D" w:rsidP="00AE00D0">
      <w:pPr>
        <w:spacing w:after="0" w:line="240" w:lineRule="auto"/>
      </w:pPr>
      <w:r>
        <w:separator/>
      </w:r>
    </w:p>
  </w:footnote>
  <w:footnote w:type="continuationSeparator" w:id="0">
    <w:p w:rsidR="003C1D0D" w:rsidRDefault="003C1D0D" w:rsidP="00AE0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C6F"/>
    <w:multiLevelType w:val="hybridMultilevel"/>
    <w:tmpl w:val="0C464A6A"/>
    <w:lvl w:ilvl="0" w:tplc="52089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5804A4"/>
    <w:multiLevelType w:val="hybridMultilevel"/>
    <w:tmpl w:val="704699F0"/>
    <w:lvl w:ilvl="0" w:tplc="941224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27255"/>
    <w:multiLevelType w:val="hybridMultilevel"/>
    <w:tmpl w:val="F7063248"/>
    <w:lvl w:ilvl="0" w:tplc="525028CA">
      <w:start w:val="1"/>
      <w:numFmt w:val="upperLetter"/>
      <w:lvlText w:val="%1."/>
      <w:lvlJc w:val="left"/>
      <w:pPr>
        <w:ind w:left="1440" w:hanging="360"/>
      </w:pPr>
      <w:rPr>
        <w:rFonts w:hint="default"/>
        <w:b w:val="0"/>
        <w:i/>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
    <w:nsid w:val="7B5C39D5"/>
    <w:multiLevelType w:val="multilevel"/>
    <w:tmpl w:val="40FEA55C"/>
    <w:lvl w:ilvl="0">
      <w:start w:val="1"/>
      <w:numFmt w:val="decimal"/>
      <w:lvlText w:val="%1."/>
      <w:lvlJc w:val="left"/>
      <w:pPr>
        <w:ind w:left="3690" w:hanging="360"/>
      </w:pPr>
      <w:rPr>
        <w:rFonts w:hint="default"/>
      </w:rPr>
    </w:lvl>
    <w:lvl w:ilvl="1">
      <w:start w:val="1"/>
      <w:numFmt w:val="decimal"/>
      <w:isLgl/>
      <w:lvlText w:val="%1.%2."/>
      <w:lvlJc w:val="left"/>
      <w:pPr>
        <w:ind w:left="135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0"/>
    <w:rsid w:val="00027B87"/>
    <w:rsid w:val="00040938"/>
    <w:rsid w:val="001138F0"/>
    <w:rsid w:val="001847BF"/>
    <w:rsid w:val="00273558"/>
    <w:rsid w:val="002909AD"/>
    <w:rsid w:val="002B4E57"/>
    <w:rsid w:val="002C2B98"/>
    <w:rsid w:val="00357861"/>
    <w:rsid w:val="00390B3C"/>
    <w:rsid w:val="003C1D0D"/>
    <w:rsid w:val="00457E38"/>
    <w:rsid w:val="00500D94"/>
    <w:rsid w:val="0052046B"/>
    <w:rsid w:val="005618B6"/>
    <w:rsid w:val="005937A0"/>
    <w:rsid w:val="005A32DB"/>
    <w:rsid w:val="00711B27"/>
    <w:rsid w:val="00740CD2"/>
    <w:rsid w:val="007850C8"/>
    <w:rsid w:val="008A59FC"/>
    <w:rsid w:val="008B5664"/>
    <w:rsid w:val="00904AB1"/>
    <w:rsid w:val="00915C12"/>
    <w:rsid w:val="0092048B"/>
    <w:rsid w:val="00972DB9"/>
    <w:rsid w:val="009E11E5"/>
    <w:rsid w:val="009E7E8C"/>
    <w:rsid w:val="00A07136"/>
    <w:rsid w:val="00A46F7E"/>
    <w:rsid w:val="00AD49F7"/>
    <w:rsid w:val="00AE00D0"/>
    <w:rsid w:val="00B44D62"/>
    <w:rsid w:val="00B635D2"/>
    <w:rsid w:val="00BC0CC2"/>
    <w:rsid w:val="00D3293F"/>
    <w:rsid w:val="00D85D1C"/>
    <w:rsid w:val="00E427FA"/>
    <w:rsid w:val="00EC2A85"/>
    <w:rsid w:val="00F148D7"/>
    <w:rsid w:val="00FC2185"/>
    <w:rsid w:val="00FE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847E9-85A4-42D3-9E2B-E35E9D84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0D0"/>
    <w:rPr>
      <w:rFonts w:ascii="Calibri" w:eastAsia="Calibri" w:hAnsi="Calibri" w:cs="Times New Roman"/>
    </w:rPr>
  </w:style>
  <w:style w:type="paragraph" w:styleId="Header">
    <w:name w:val="header"/>
    <w:basedOn w:val="Normal"/>
    <w:link w:val="HeaderChar"/>
    <w:uiPriority w:val="99"/>
    <w:unhideWhenUsed/>
    <w:rsid w:val="00AE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D0"/>
    <w:rPr>
      <w:rFonts w:ascii="Calibri" w:eastAsia="Calibri" w:hAnsi="Calibri" w:cs="Times New Roman"/>
    </w:rPr>
  </w:style>
  <w:style w:type="paragraph" w:styleId="ListParagraph">
    <w:name w:val="List Paragraph"/>
    <w:aliases w:val="List Paragraph2"/>
    <w:basedOn w:val="Normal"/>
    <w:link w:val="ListParagraphChar"/>
    <w:uiPriority w:val="34"/>
    <w:qFormat/>
    <w:rsid w:val="00B635D2"/>
    <w:pPr>
      <w:spacing w:after="0" w:line="240" w:lineRule="auto"/>
      <w:ind w:left="720"/>
      <w:contextualSpacing/>
      <w:jc w:val="both"/>
    </w:pPr>
    <w:rPr>
      <w:rFonts w:ascii="Times New Roman" w:eastAsiaTheme="minorHAnsi" w:hAnsi="Times New Roman"/>
      <w:sz w:val="24"/>
      <w:szCs w:val="24"/>
      <w:lang w:val="sq-AL"/>
    </w:rPr>
  </w:style>
  <w:style w:type="character" w:customStyle="1" w:styleId="ListParagraphChar">
    <w:name w:val="List Paragraph Char"/>
    <w:aliases w:val="List Paragraph2 Char"/>
    <w:basedOn w:val="DefaultParagraphFont"/>
    <w:link w:val="ListParagraph"/>
    <w:uiPriority w:val="34"/>
    <w:locked/>
    <w:rsid w:val="00B635D2"/>
    <w:rPr>
      <w:rFonts w:ascii="Times New Roman" w:hAnsi="Times New Roman" w:cs="Times New Roman"/>
      <w:sz w:val="24"/>
      <w:szCs w:val="24"/>
      <w:lang w:val="sq-AL"/>
    </w:rPr>
  </w:style>
  <w:style w:type="character" w:styleId="CommentReference">
    <w:name w:val="annotation reference"/>
    <w:basedOn w:val="DefaultParagraphFont"/>
    <w:uiPriority w:val="99"/>
    <w:semiHidden/>
    <w:unhideWhenUsed/>
    <w:rsid w:val="00F148D7"/>
    <w:rPr>
      <w:sz w:val="16"/>
      <w:szCs w:val="16"/>
    </w:rPr>
  </w:style>
  <w:style w:type="paragraph" w:styleId="CommentText">
    <w:name w:val="annotation text"/>
    <w:basedOn w:val="Normal"/>
    <w:link w:val="CommentTextChar"/>
    <w:uiPriority w:val="99"/>
    <w:semiHidden/>
    <w:unhideWhenUsed/>
    <w:rsid w:val="00F148D7"/>
    <w:pPr>
      <w:spacing w:line="240" w:lineRule="auto"/>
    </w:pPr>
    <w:rPr>
      <w:sz w:val="20"/>
      <w:szCs w:val="20"/>
    </w:rPr>
  </w:style>
  <w:style w:type="character" w:customStyle="1" w:styleId="CommentTextChar">
    <w:name w:val="Comment Text Char"/>
    <w:basedOn w:val="DefaultParagraphFont"/>
    <w:link w:val="CommentText"/>
    <w:uiPriority w:val="99"/>
    <w:semiHidden/>
    <w:rsid w:val="00F148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48D7"/>
    <w:rPr>
      <w:b/>
      <w:bCs/>
    </w:rPr>
  </w:style>
  <w:style w:type="character" w:customStyle="1" w:styleId="CommentSubjectChar">
    <w:name w:val="Comment Subject Char"/>
    <w:basedOn w:val="CommentTextChar"/>
    <w:link w:val="CommentSubject"/>
    <w:uiPriority w:val="99"/>
    <w:semiHidden/>
    <w:rsid w:val="00F148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Blerina</cp:lastModifiedBy>
  <cp:revision>3</cp:revision>
  <cp:lastPrinted>2022-05-26T10:01:00Z</cp:lastPrinted>
  <dcterms:created xsi:type="dcterms:W3CDTF">2022-05-26T10:01:00Z</dcterms:created>
  <dcterms:modified xsi:type="dcterms:W3CDTF">2022-05-30T09:26:00Z</dcterms:modified>
</cp:coreProperties>
</file>