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23" w:rsidRPr="00E47515" w:rsidRDefault="00A860D1" w:rsidP="00A860D1">
      <w:pPr>
        <w:jc w:val="center"/>
        <w:rPr>
          <w:rFonts w:eastAsiaTheme="minorEastAsia"/>
          <w:b/>
        </w:rPr>
      </w:pPr>
      <w:r>
        <w:rPr>
          <w:rFonts w:eastAsiaTheme="minorEastAsia"/>
          <w:b/>
        </w:rPr>
        <w:t xml:space="preserve">Vendim nr. 68 </w:t>
      </w:r>
      <w:r w:rsidRPr="00A860D1">
        <w:rPr>
          <w:rFonts w:eastAsiaTheme="minorEastAsia"/>
          <w:b/>
        </w:rPr>
        <w:t>datë</w:t>
      </w:r>
      <w:r w:rsidRPr="00A860D1">
        <w:rPr>
          <w:rFonts w:eastAsiaTheme="minorEastAsia"/>
          <w:b/>
        </w:rPr>
        <w:t xml:space="preserve"> 20.06.2022</w:t>
      </w:r>
    </w:p>
    <w:p w:rsidR="00B90323" w:rsidRPr="00E47515" w:rsidRDefault="00B90323" w:rsidP="00B90323">
      <w:pPr>
        <w:jc w:val="center"/>
        <w:rPr>
          <w:rFonts w:eastAsiaTheme="minorEastAsia"/>
          <w:b/>
        </w:rPr>
      </w:pPr>
    </w:p>
    <w:p w:rsidR="00B90323" w:rsidRDefault="00B90323" w:rsidP="00B90323">
      <w:pPr>
        <w:tabs>
          <w:tab w:val="left" w:pos="0"/>
          <w:tab w:val="left" w:pos="720"/>
        </w:tabs>
        <w:ind w:firstLine="567"/>
        <w:rPr>
          <w:rFonts w:eastAsiaTheme="minorEastAsia"/>
        </w:rPr>
      </w:pPr>
      <w:r w:rsidRPr="00E47515">
        <w:rPr>
          <w:rFonts w:eastAsiaTheme="minorEastAsia"/>
        </w:rPr>
        <w:tab/>
        <w:t>Kolegji i Gjykatës Kushtetuese të Republikës së Shqipërisë, i përbërë nga:</w:t>
      </w:r>
    </w:p>
    <w:p w:rsidR="00B90323" w:rsidRPr="00E47515" w:rsidRDefault="00B90323" w:rsidP="00B90323">
      <w:pPr>
        <w:tabs>
          <w:tab w:val="left" w:pos="0"/>
          <w:tab w:val="left" w:pos="720"/>
        </w:tabs>
        <w:ind w:firstLine="567"/>
        <w:rPr>
          <w:rFonts w:eastAsiaTheme="minorEastAsia"/>
        </w:rPr>
      </w:pPr>
    </w:p>
    <w:p w:rsidR="00B90323" w:rsidRPr="00E47515" w:rsidRDefault="00B90323" w:rsidP="004D0174">
      <w:pPr>
        <w:ind w:left="720" w:firstLine="1974"/>
        <w:rPr>
          <w:rFonts w:eastAsiaTheme="minorEastAsia"/>
          <w:bCs/>
        </w:rPr>
      </w:pPr>
      <w:r>
        <w:rPr>
          <w:rFonts w:eastAsiaTheme="minorEastAsia"/>
          <w:bCs/>
        </w:rPr>
        <w:t>Vitore Tusha</w:t>
      </w:r>
      <w:r w:rsidRPr="00E47515">
        <w:rPr>
          <w:rFonts w:eastAsiaTheme="minorEastAsia"/>
          <w:bCs/>
        </w:rPr>
        <w:t>,</w:t>
      </w:r>
      <w:r w:rsidRPr="00E47515">
        <w:rPr>
          <w:rFonts w:eastAsiaTheme="minorEastAsia"/>
          <w:bCs/>
        </w:rPr>
        <w:tab/>
      </w:r>
      <w:r>
        <w:rPr>
          <w:rFonts w:eastAsiaTheme="minorEastAsia"/>
          <w:bCs/>
        </w:rPr>
        <w:tab/>
        <w:t>Kryetare</w:t>
      </w:r>
    </w:p>
    <w:p w:rsidR="00B90323" w:rsidRPr="00E47515" w:rsidRDefault="00B90323" w:rsidP="004D0174">
      <w:pPr>
        <w:ind w:left="720" w:firstLine="1974"/>
        <w:rPr>
          <w:rFonts w:eastAsiaTheme="minorEastAsia"/>
          <w:bCs/>
        </w:rPr>
      </w:pPr>
      <w:proofErr w:type="spellStart"/>
      <w:r>
        <w:rPr>
          <w:rFonts w:eastAsiaTheme="minorEastAsia"/>
          <w:bCs/>
        </w:rPr>
        <w:t>Sandër</w:t>
      </w:r>
      <w:proofErr w:type="spellEnd"/>
      <w:r>
        <w:rPr>
          <w:rFonts w:eastAsiaTheme="minorEastAsia"/>
          <w:bCs/>
        </w:rPr>
        <w:t xml:space="preserve"> Beci</w:t>
      </w:r>
      <w:r w:rsidRPr="00E47515">
        <w:rPr>
          <w:rFonts w:eastAsiaTheme="minorEastAsia"/>
          <w:bCs/>
        </w:rPr>
        <w:t xml:space="preserve">, </w:t>
      </w:r>
      <w:r w:rsidRPr="00E47515">
        <w:rPr>
          <w:rFonts w:eastAsiaTheme="minorEastAsia"/>
          <w:bCs/>
        </w:rPr>
        <w:tab/>
      </w:r>
      <w:r w:rsidRPr="00E47515">
        <w:rPr>
          <w:rFonts w:eastAsiaTheme="minorEastAsia"/>
          <w:bCs/>
        </w:rPr>
        <w:tab/>
      </w:r>
      <w:r>
        <w:rPr>
          <w:rFonts w:eastAsiaTheme="minorEastAsia"/>
          <w:bCs/>
        </w:rPr>
        <w:t>Anëtar</w:t>
      </w:r>
    </w:p>
    <w:p w:rsidR="00B90323" w:rsidRPr="00E47515" w:rsidRDefault="00B90323" w:rsidP="004D0174">
      <w:pPr>
        <w:ind w:left="720" w:firstLine="1974"/>
        <w:rPr>
          <w:rFonts w:eastAsiaTheme="minorEastAsia"/>
          <w:bCs/>
        </w:rPr>
      </w:pPr>
      <w:proofErr w:type="spellStart"/>
      <w:r w:rsidRPr="00E47515">
        <w:rPr>
          <w:rFonts w:eastAsiaTheme="minorEastAsia"/>
          <w:bCs/>
        </w:rPr>
        <w:t>Elsa</w:t>
      </w:r>
      <w:proofErr w:type="spellEnd"/>
      <w:r w:rsidRPr="00E47515">
        <w:rPr>
          <w:rFonts w:eastAsiaTheme="minorEastAsia"/>
          <w:bCs/>
        </w:rPr>
        <w:t xml:space="preserve"> Toska,</w:t>
      </w:r>
      <w:r w:rsidRPr="00E47515">
        <w:rPr>
          <w:rFonts w:eastAsiaTheme="minorEastAsia"/>
          <w:bCs/>
        </w:rPr>
        <w:tab/>
      </w:r>
      <w:r w:rsidRPr="00E47515">
        <w:rPr>
          <w:rFonts w:eastAsiaTheme="minorEastAsia"/>
          <w:bCs/>
        </w:rPr>
        <w:tab/>
        <w:t xml:space="preserve">Anëtare   </w:t>
      </w:r>
    </w:p>
    <w:p w:rsidR="00B90323" w:rsidRPr="00E47515" w:rsidRDefault="00B90323" w:rsidP="00B90323">
      <w:pPr>
        <w:rPr>
          <w:rFonts w:eastAsiaTheme="minorEastAsia"/>
        </w:rPr>
      </w:pPr>
    </w:p>
    <w:p w:rsidR="00B90323" w:rsidRPr="00E47515" w:rsidRDefault="00B90323" w:rsidP="00B90323">
      <w:pPr>
        <w:tabs>
          <w:tab w:val="left" w:pos="567"/>
        </w:tabs>
        <w:ind w:firstLine="567"/>
        <w:jc w:val="both"/>
        <w:rPr>
          <w:rFonts w:eastAsiaTheme="minorEastAsia"/>
        </w:rPr>
      </w:pPr>
      <w:r w:rsidRPr="00E47515">
        <w:rPr>
          <w:rFonts w:eastAsiaTheme="minorEastAsia"/>
        </w:rPr>
        <w:t xml:space="preserve">në datën </w:t>
      </w:r>
      <w:r w:rsidRPr="003B303B">
        <w:rPr>
          <w:rFonts w:eastAsiaTheme="minorEastAsia"/>
        </w:rPr>
        <w:t>20.06.2022</w:t>
      </w:r>
      <w:r w:rsidRPr="00E47515">
        <w:rPr>
          <w:rFonts w:eastAsiaTheme="minorEastAsia"/>
        </w:rPr>
        <w:t xml:space="preserve"> mori në shqyrtim paraprak </w:t>
      </w:r>
      <w:r w:rsidRPr="003B303B">
        <w:rPr>
          <w:rFonts w:eastAsiaTheme="minorEastAsia"/>
        </w:rPr>
        <w:t>kërkesën nr. 4 (K) 2022 të Regjistrit</w:t>
      </w:r>
      <w:r w:rsidRPr="00E47515">
        <w:rPr>
          <w:rFonts w:eastAsiaTheme="minorEastAsia"/>
        </w:rPr>
        <w:t xml:space="preserve"> Themeltar, që i përket: </w:t>
      </w:r>
    </w:p>
    <w:p w:rsidR="009220FD" w:rsidRPr="00717F5C" w:rsidRDefault="009220FD" w:rsidP="009220FD">
      <w:pPr>
        <w:jc w:val="center"/>
        <w:rPr>
          <w:b/>
        </w:rPr>
      </w:pPr>
    </w:p>
    <w:p w:rsidR="009220FD" w:rsidRPr="00717F5C" w:rsidRDefault="009220FD" w:rsidP="006714DF">
      <w:pPr>
        <w:ind w:left="2610" w:hanging="2160"/>
        <w:jc w:val="both"/>
        <w:rPr>
          <w:b/>
        </w:rPr>
      </w:pPr>
      <w:r w:rsidRPr="00717F5C">
        <w:rPr>
          <w:b/>
        </w:rPr>
        <w:t>KËRKUES</w:t>
      </w:r>
      <w:r>
        <w:rPr>
          <w:b/>
        </w:rPr>
        <w:t>E:</w:t>
      </w:r>
      <w:r>
        <w:rPr>
          <w:b/>
        </w:rPr>
        <w:tab/>
      </w:r>
      <w:r w:rsidR="006714DF">
        <w:rPr>
          <w:b/>
        </w:rPr>
        <w:t>KLERONA MEÇI</w:t>
      </w:r>
    </w:p>
    <w:p w:rsidR="009220FD" w:rsidRPr="00717F5C" w:rsidRDefault="009220FD" w:rsidP="006714DF">
      <w:pPr>
        <w:ind w:left="2610"/>
        <w:jc w:val="both"/>
        <w:rPr>
          <w:b/>
        </w:rPr>
      </w:pPr>
    </w:p>
    <w:p w:rsidR="006714DF" w:rsidRDefault="009220FD" w:rsidP="006714DF">
      <w:pPr>
        <w:pStyle w:val="BodyTextIndent2"/>
        <w:ind w:left="2610"/>
      </w:pPr>
      <w:r w:rsidRPr="00717F5C">
        <w:t>OBJEKTI:</w:t>
      </w:r>
      <w:r w:rsidRPr="00717F5C">
        <w:tab/>
        <w:t>Shfuqizimi i</w:t>
      </w:r>
      <w:r>
        <w:t xml:space="preserve"> vendim</w:t>
      </w:r>
      <w:r w:rsidR="00B703F9">
        <w:t xml:space="preserve">it </w:t>
      </w:r>
      <w:r>
        <w:t xml:space="preserve">nr. </w:t>
      </w:r>
      <w:r w:rsidR="00B703F9">
        <w:t>00-2021-</w:t>
      </w:r>
      <w:r w:rsidR="006714DF">
        <w:t>1940 (257</w:t>
      </w:r>
      <w:r w:rsidR="00B703F9">
        <w:t>)</w:t>
      </w:r>
      <w:r>
        <w:t xml:space="preserve">, </w:t>
      </w:r>
      <w:r w:rsidR="006714DF">
        <w:t>datë 25.</w:t>
      </w:r>
      <w:r w:rsidR="00B703F9">
        <w:t>1</w:t>
      </w:r>
      <w:r w:rsidR="006714DF">
        <w:t>1</w:t>
      </w:r>
      <w:r w:rsidR="00B703F9">
        <w:t xml:space="preserve">.2021 të Kolegjit </w:t>
      </w:r>
      <w:r w:rsidR="006714DF">
        <w:t xml:space="preserve">Administrativ </w:t>
      </w:r>
      <w:r w:rsidR="00B703F9">
        <w:t xml:space="preserve">të Gjykatës së Lartë, </w:t>
      </w:r>
      <w:r>
        <w:t xml:space="preserve">si </w:t>
      </w:r>
      <w:r w:rsidR="00B703F9">
        <w:t>i papajtueshëm</w:t>
      </w:r>
      <w:r>
        <w:t xml:space="preserve"> me Kushtetutën </w:t>
      </w:r>
      <w:r w:rsidRPr="00523C2D">
        <w:t>e Republikës së Shqipërisë</w:t>
      </w:r>
      <w:r>
        <w:t>.</w:t>
      </w:r>
    </w:p>
    <w:p w:rsidR="009220FD" w:rsidRPr="00717F5C" w:rsidRDefault="006714DF" w:rsidP="006714DF">
      <w:pPr>
        <w:pStyle w:val="BodyTextIndent2"/>
        <w:ind w:left="2610" w:firstLine="0"/>
      </w:pPr>
      <w:r>
        <w:t xml:space="preserve">Shfuqizimi i shprehjes “si dhe notë mesatare mbi 8 (tetë) për grupin e lëndëve kryesore, ku përfshihen: </w:t>
      </w:r>
      <w:r w:rsidR="00835EE9">
        <w:rPr>
          <w:color w:val="000000"/>
        </w:rPr>
        <w:t>e</w:t>
      </w:r>
      <w:r w:rsidRPr="00564296">
        <w:rPr>
          <w:color w:val="000000"/>
        </w:rPr>
        <w:t xml:space="preserve"> drejta civile dh</w:t>
      </w:r>
      <w:r w:rsidR="00D3243E">
        <w:rPr>
          <w:color w:val="000000"/>
        </w:rPr>
        <w:t xml:space="preserve">e e detyrimeve, </w:t>
      </w:r>
      <w:r w:rsidR="00835EE9">
        <w:rPr>
          <w:color w:val="000000"/>
        </w:rPr>
        <w:t>e</w:t>
      </w:r>
      <w:r w:rsidR="00D3243E">
        <w:rPr>
          <w:color w:val="000000"/>
        </w:rPr>
        <w:t xml:space="preserve"> drejta penale</w:t>
      </w:r>
      <w:r w:rsidRPr="00564296">
        <w:rPr>
          <w:color w:val="000000"/>
        </w:rPr>
        <w:t xml:space="preserve"> (</w:t>
      </w:r>
      <w:r w:rsidR="00835EE9">
        <w:rPr>
          <w:color w:val="000000"/>
        </w:rPr>
        <w:t>p</w:t>
      </w:r>
      <w:r w:rsidRPr="00564296">
        <w:rPr>
          <w:color w:val="000000"/>
        </w:rPr>
        <w:t xml:space="preserve">jesa e përgjithshme dhe pjesa e posaçme), </w:t>
      </w:r>
      <w:r w:rsidR="00835EE9">
        <w:rPr>
          <w:color w:val="000000"/>
        </w:rPr>
        <w:t>p</w:t>
      </w:r>
      <w:r w:rsidRPr="00564296">
        <w:rPr>
          <w:color w:val="000000"/>
        </w:rPr>
        <w:t xml:space="preserve">rocedura civile, </w:t>
      </w:r>
      <w:r w:rsidR="00835EE9">
        <w:rPr>
          <w:color w:val="000000"/>
        </w:rPr>
        <w:t>procedura penale, e</w:t>
      </w:r>
      <w:r w:rsidRPr="00564296">
        <w:rPr>
          <w:color w:val="000000"/>
        </w:rPr>
        <w:t xml:space="preserve"> drejta administrative dhe e drejta kushtetuese</w:t>
      </w:r>
      <w:r>
        <w:rPr>
          <w:color w:val="000000"/>
        </w:rPr>
        <w:t>” në shkronjën “d” të pikës 4 të nenit 10 të Rregullores së Brendshme të Shkollës së Magjistraturës,</w:t>
      </w:r>
      <w:r w:rsidR="00D3243E">
        <w:rPr>
          <w:color w:val="000000"/>
        </w:rPr>
        <w:t xml:space="preserve"> të miratuar me vendimin </w:t>
      </w:r>
      <w:r w:rsidR="00DF004D">
        <w:rPr>
          <w:color w:val="000000"/>
        </w:rPr>
        <w:t xml:space="preserve">e </w:t>
      </w:r>
      <w:r w:rsidR="00D3243E">
        <w:rPr>
          <w:color w:val="000000"/>
        </w:rPr>
        <w:t>datë</w:t>
      </w:r>
      <w:r w:rsidR="00DF004D">
        <w:rPr>
          <w:color w:val="000000"/>
        </w:rPr>
        <w:t>s</w:t>
      </w:r>
      <w:r w:rsidR="00D3243E">
        <w:rPr>
          <w:color w:val="000000"/>
        </w:rPr>
        <w:t xml:space="preserve"> 31.01.2017 të Këshillit Drejtues,</w:t>
      </w:r>
      <w:r>
        <w:rPr>
          <w:color w:val="000000"/>
        </w:rPr>
        <w:t xml:space="preserve"> si e papajtueshme me Kushtetutën e Republikës së Shqipërisë</w:t>
      </w:r>
      <w:r w:rsidR="00B703F9">
        <w:t>.</w:t>
      </w:r>
    </w:p>
    <w:p w:rsidR="009220FD" w:rsidRPr="00717F5C" w:rsidRDefault="009220FD" w:rsidP="006714DF">
      <w:pPr>
        <w:ind w:left="2610" w:hanging="2160"/>
        <w:jc w:val="both"/>
        <w:rPr>
          <w:b/>
        </w:rPr>
      </w:pPr>
    </w:p>
    <w:p w:rsidR="009220FD" w:rsidRDefault="009220FD" w:rsidP="006714DF">
      <w:pPr>
        <w:ind w:left="2610" w:hanging="2160"/>
        <w:jc w:val="both"/>
      </w:pPr>
      <w:r w:rsidRPr="00717F5C">
        <w:rPr>
          <w:b/>
        </w:rPr>
        <w:t>BAZA LIGJORE:</w:t>
      </w:r>
      <w:r w:rsidRPr="00717F5C">
        <w:rPr>
          <w:b/>
        </w:rPr>
        <w:tab/>
      </w:r>
      <w:r w:rsidR="00AC2D39">
        <w:t>Neni</w:t>
      </w:r>
      <w:r w:rsidRPr="00717F5C">
        <w:t xml:space="preserve"> </w:t>
      </w:r>
      <w:r>
        <w:t>131, pika 1, shkronja “f</w:t>
      </w:r>
      <w:r w:rsidR="007F0FAF">
        <w:t>”</w:t>
      </w:r>
      <w:r w:rsidR="003B6408">
        <w:t>,</w:t>
      </w:r>
      <w:r w:rsidR="007F0FAF">
        <w:t xml:space="preserve"> </w:t>
      </w:r>
      <w:r w:rsidR="006714DF">
        <w:t>i</w:t>
      </w:r>
      <w:r w:rsidRPr="00717F5C">
        <w:t xml:space="preserve"> Kushtetutës</w:t>
      </w:r>
      <w:r>
        <w:t xml:space="preserve"> së Republikës së Shqipërisë</w:t>
      </w:r>
      <w:r w:rsidRPr="00717F5C">
        <w:t xml:space="preserve">; </w:t>
      </w:r>
      <w:r w:rsidR="00B703F9">
        <w:t>nen</w:t>
      </w:r>
      <w:r w:rsidR="006714DF">
        <w:t>et</w:t>
      </w:r>
      <w:r w:rsidR="00B703F9">
        <w:t xml:space="preserve"> </w:t>
      </w:r>
      <w:r w:rsidR="006714DF">
        <w:t xml:space="preserve">1, </w:t>
      </w:r>
      <w:r w:rsidR="00B703F9">
        <w:t>6</w:t>
      </w:r>
      <w:r w:rsidR="006714DF">
        <w:t>, 13, 14</w:t>
      </w:r>
      <w:r>
        <w:t xml:space="preserve"> </w:t>
      </w:r>
      <w:r w:rsidR="006714DF">
        <w:t>dhe neni 2 i Protokollit nr. 11 të</w:t>
      </w:r>
      <w:r>
        <w:t xml:space="preserve"> Konventës Evropiane për të Drejtat e Njeriut </w:t>
      </w:r>
      <w:r>
        <w:rPr>
          <w:i/>
        </w:rPr>
        <w:t>(KEDNJ)</w:t>
      </w:r>
      <w:r>
        <w:t xml:space="preserve">; </w:t>
      </w:r>
      <w:r w:rsidR="00037BA7">
        <w:t>Kodi i Procedurave</w:t>
      </w:r>
      <w:r w:rsidR="006714DF">
        <w:t xml:space="preserve"> Administrative; </w:t>
      </w:r>
      <w:r w:rsidR="008F60BA">
        <w:t xml:space="preserve">ligji nr. 115/2016, datë 03.11.2016 “Për organet e qeverisjes së sistemit të drejtësisë”, i ndryshuar </w:t>
      </w:r>
      <w:r w:rsidR="008F60BA">
        <w:rPr>
          <w:i/>
        </w:rPr>
        <w:t>(ligji nr. 115/2016)</w:t>
      </w:r>
      <w:r w:rsidR="008F60BA">
        <w:t xml:space="preserve">; ligji nr. 96/2016, datë 06.10.2016 “Për statusin e gjyqtarëve dhe prokurorëve në Republikën e Shqipërisë”, i ndryshuar </w:t>
      </w:r>
      <w:r w:rsidR="008F60BA">
        <w:rPr>
          <w:i/>
        </w:rPr>
        <w:t>(ligji nr. 96/2016)</w:t>
      </w:r>
      <w:r w:rsidR="008F60BA">
        <w:t xml:space="preserve">; ligji nr. 97/2016, datë 06.10.2016 “Për organizimin dhe funksionimin e prokurorisë në Republikën e Shqipërisë”, i ndryshuar </w:t>
      </w:r>
      <w:r w:rsidR="008F60BA">
        <w:rPr>
          <w:i/>
        </w:rPr>
        <w:t>(ligji nr. 97/2016)</w:t>
      </w:r>
      <w:r w:rsidR="008F60BA">
        <w:t xml:space="preserve">; ligji nr. 98/2016, datë 06.10.2016 “Për organizimin e pushtetit gjyqësor në Republikën e Shqipërisë”, i ndryshuar </w:t>
      </w:r>
      <w:r w:rsidR="008F60BA">
        <w:rPr>
          <w:i/>
        </w:rPr>
        <w:t>(ligji nr. 98/2016)</w:t>
      </w:r>
      <w:r w:rsidR="008F60BA">
        <w:t xml:space="preserve">; ligji nr. 49/2012, datë 03.05.2012 “Për organizimin dhe funksionimin e gjykatave administrative dhe gjykimin e mosmarrëveshjeve administrative”, i ndryshuar </w:t>
      </w:r>
      <w:r w:rsidR="008F60BA">
        <w:rPr>
          <w:i/>
        </w:rPr>
        <w:t>(ligji nr. 49/2012)</w:t>
      </w:r>
      <w:r w:rsidR="008F60BA">
        <w:t>;</w:t>
      </w:r>
      <w:r w:rsidR="008F60BA">
        <w:rPr>
          <w:i/>
        </w:rPr>
        <w:t xml:space="preserve"> </w:t>
      </w:r>
      <w:r w:rsidR="006714DF">
        <w:t xml:space="preserve">neni 71/a i </w:t>
      </w:r>
      <w:r w:rsidRPr="00717F5C">
        <w:t>ligji</w:t>
      </w:r>
      <w:r w:rsidR="006714DF">
        <w:t>t</w:t>
      </w:r>
      <w:r w:rsidRPr="00717F5C">
        <w:t xml:space="preserve"> nr. 8577, datë 10.02.2000 “Për organizimin dhe funksionimin e Gjykatës Kushtetuese</w:t>
      </w:r>
      <w:r>
        <w:t xml:space="preserve"> të Republikës së Shqipërisë”, i</w:t>
      </w:r>
      <w:r w:rsidRPr="00717F5C">
        <w:t xml:space="preserve"> ndryshuar </w:t>
      </w:r>
      <w:r w:rsidRPr="00717F5C">
        <w:rPr>
          <w:i/>
        </w:rPr>
        <w:t>(ligji nr. 8577/2000)</w:t>
      </w:r>
      <w:r w:rsidRPr="00717F5C">
        <w:t>.</w:t>
      </w:r>
    </w:p>
    <w:p w:rsidR="009220FD" w:rsidRDefault="009220FD" w:rsidP="00B90323">
      <w:pPr>
        <w:jc w:val="both"/>
      </w:pPr>
    </w:p>
    <w:p w:rsidR="00B90323" w:rsidRDefault="00B90323" w:rsidP="00B90323">
      <w:pPr>
        <w:suppressAutoHyphens/>
        <w:ind w:firstLine="540"/>
        <w:jc w:val="both"/>
        <w:outlineLvl w:val="0"/>
      </w:pPr>
      <w:r w:rsidRPr="00E47515">
        <w:t>Kolegji i Gjykatës Kushtetuese (</w:t>
      </w:r>
      <w:r w:rsidRPr="00E47515">
        <w:rPr>
          <w:i/>
        </w:rPr>
        <w:t>Kolegji</w:t>
      </w:r>
      <w:r w:rsidRPr="00E47515">
        <w:t xml:space="preserve">), pasi </w:t>
      </w:r>
      <w:r w:rsidRPr="00E47515">
        <w:rPr>
          <w:lang w:eastAsia="fr-FR"/>
        </w:rPr>
        <w:t xml:space="preserve">dëgjoi </w:t>
      </w:r>
      <w:proofErr w:type="spellStart"/>
      <w:r w:rsidRPr="00E47515">
        <w:rPr>
          <w:lang w:eastAsia="fr-FR"/>
        </w:rPr>
        <w:t>relatoren</w:t>
      </w:r>
      <w:proofErr w:type="spellEnd"/>
      <w:r w:rsidRPr="00E47515">
        <w:rPr>
          <w:lang w:eastAsia="fr-FR"/>
        </w:rPr>
        <w:t xml:space="preserve"> e çështjes </w:t>
      </w:r>
      <w:proofErr w:type="spellStart"/>
      <w:r w:rsidRPr="00E47515">
        <w:rPr>
          <w:lang w:eastAsia="fr-FR"/>
        </w:rPr>
        <w:t>Elsa</w:t>
      </w:r>
      <w:proofErr w:type="spellEnd"/>
      <w:r w:rsidRPr="00E47515">
        <w:rPr>
          <w:lang w:eastAsia="fr-FR"/>
        </w:rPr>
        <w:t xml:space="preserve"> Toska, </w:t>
      </w:r>
      <w:r w:rsidRPr="00E47515">
        <w:t>shqyrtoi kërkesën, dokumentet shoqëruese dhe diskutoi çështjen në tërësi,</w:t>
      </w:r>
    </w:p>
    <w:p w:rsidR="00B90323" w:rsidRPr="00E47515" w:rsidRDefault="00B90323" w:rsidP="00B90323">
      <w:pPr>
        <w:suppressAutoHyphens/>
        <w:ind w:firstLine="540"/>
        <w:jc w:val="both"/>
        <w:outlineLvl w:val="0"/>
        <w:rPr>
          <w:lang w:eastAsia="fr-FR"/>
        </w:rPr>
      </w:pPr>
    </w:p>
    <w:p w:rsidR="00B90323" w:rsidRPr="00E47515" w:rsidRDefault="00B90323" w:rsidP="00B90323">
      <w:pPr>
        <w:jc w:val="center"/>
        <w:rPr>
          <w:b/>
        </w:rPr>
      </w:pPr>
      <w:r w:rsidRPr="00E47515">
        <w:rPr>
          <w:b/>
        </w:rPr>
        <w:t>V Ë R E N:</w:t>
      </w:r>
    </w:p>
    <w:p w:rsidR="009220FD" w:rsidRPr="00717F5C" w:rsidRDefault="009220FD" w:rsidP="009220FD">
      <w:pPr>
        <w:keepNext/>
        <w:jc w:val="center"/>
        <w:outlineLvl w:val="0"/>
        <w:rPr>
          <w:b/>
        </w:rPr>
      </w:pPr>
      <w:r w:rsidRPr="00717F5C">
        <w:rPr>
          <w:b/>
        </w:rPr>
        <w:t>I</w:t>
      </w:r>
    </w:p>
    <w:p w:rsidR="009220FD" w:rsidRPr="00717F5C" w:rsidRDefault="009220FD" w:rsidP="009220FD">
      <w:pPr>
        <w:jc w:val="center"/>
        <w:rPr>
          <w:b/>
        </w:rPr>
      </w:pPr>
      <w:r w:rsidRPr="00717F5C">
        <w:rPr>
          <w:b/>
        </w:rPr>
        <w:t>Rrethanat e çështjes</w:t>
      </w:r>
    </w:p>
    <w:p w:rsidR="007D0AEB" w:rsidRDefault="008F60BA" w:rsidP="006F0FCE">
      <w:pPr>
        <w:pStyle w:val="ListParagraph"/>
        <w:numPr>
          <w:ilvl w:val="0"/>
          <w:numId w:val="1"/>
        </w:numPr>
        <w:tabs>
          <w:tab w:val="left" w:pos="1080"/>
          <w:tab w:val="left" w:pos="1170"/>
        </w:tabs>
        <w:ind w:left="0" w:firstLine="720"/>
        <w:jc w:val="both"/>
      </w:pPr>
      <w:proofErr w:type="spellStart"/>
      <w:r>
        <w:t>Klerona</w:t>
      </w:r>
      <w:proofErr w:type="spellEnd"/>
      <w:r>
        <w:t xml:space="preserve"> </w:t>
      </w:r>
      <w:proofErr w:type="spellStart"/>
      <w:r>
        <w:t>Meçi</w:t>
      </w:r>
      <w:proofErr w:type="spellEnd"/>
      <w:r>
        <w:t xml:space="preserve"> </w:t>
      </w:r>
      <w:r w:rsidRPr="007D0AEB">
        <w:rPr>
          <w:i/>
        </w:rPr>
        <w:t xml:space="preserve">(kërkuesja) </w:t>
      </w:r>
      <w:r>
        <w:t xml:space="preserve">ka </w:t>
      </w:r>
      <w:r w:rsidR="007D0AEB">
        <w:t>ndjekur</w:t>
      </w:r>
      <w:r>
        <w:t xml:space="preserve"> programin akademik të studimit me kohë të plotë në </w:t>
      </w:r>
      <w:r w:rsidR="007D0AEB">
        <w:t xml:space="preserve">Fakultetin e Drejtësisë të Universitetit të Tiranës, në përfundim të </w:t>
      </w:r>
      <w:proofErr w:type="spellStart"/>
      <w:r w:rsidR="007D0AEB">
        <w:t>të</w:t>
      </w:r>
      <w:proofErr w:type="spellEnd"/>
      <w:r w:rsidR="007D0AEB">
        <w:t xml:space="preserve"> cilit i është lëshuar Diplomë </w:t>
      </w:r>
      <w:proofErr w:type="spellStart"/>
      <w:r w:rsidR="007D0AEB">
        <w:t>Bachelor</w:t>
      </w:r>
      <w:proofErr w:type="spellEnd"/>
      <w:r w:rsidR="007D0AEB">
        <w:t xml:space="preserve"> në Drejtësi </w:t>
      </w:r>
      <w:r w:rsidR="00D56BA9">
        <w:t xml:space="preserve">me </w:t>
      </w:r>
      <w:r w:rsidR="007D0AEB">
        <w:t>nr. 13883, datë 05.11.2012 dhe</w:t>
      </w:r>
      <w:r w:rsidR="00D56BA9">
        <w:t>,</w:t>
      </w:r>
      <w:r w:rsidR="007D0AEB">
        <w:t xml:space="preserve"> </w:t>
      </w:r>
      <w:r w:rsidR="00D56BA9">
        <w:t>në vijim,</w:t>
      </w:r>
      <w:r w:rsidR="007D0AEB">
        <w:t xml:space="preserve"> programin akademik </w:t>
      </w:r>
      <w:r w:rsidR="002B585A">
        <w:t xml:space="preserve">të studimit </w:t>
      </w:r>
      <w:r w:rsidR="007D0AEB">
        <w:t xml:space="preserve">me kohë të plotë në të Drejtën Penale pranë të njëjtit fakultet, në përfundim të </w:t>
      </w:r>
      <w:proofErr w:type="spellStart"/>
      <w:r w:rsidR="007D0AEB">
        <w:t>të</w:t>
      </w:r>
      <w:proofErr w:type="spellEnd"/>
      <w:r w:rsidR="007D0AEB">
        <w:t xml:space="preserve"> cilit i është lëshuar </w:t>
      </w:r>
      <w:r w:rsidR="00035D8D">
        <w:t>diplomë</w:t>
      </w:r>
      <w:r w:rsidR="007D0AEB">
        <w:t xml:space="preserve"> </w:t>
      </w:r>
      <w:r w:rsidR="00035D8D">
        <w:t>“</w:t>
      </w:r>
      <w:proofErr w:type="spellStart"/>
      <w:r w:rsidR="007D0AEB">
        <w:t>Master</w:t>
      </w:r>
      <w:proofErr w:type="spellEnd"/>
      <w:r w:rsidR="007D0AEB">
        <w:t xml:space="preserve"> i Shkencave</w:t>
      </w:r>
      <w:r w:rsidR="00035D8D">
        <w:t xml:space="preserve">” </w:t>
      </w:r>
      <w:r w:rsidR="007D0AEB">
        <w:t>nr. 437, datë 10.12.2014.</w:t>
      </w:r>
    </w:p>
    <w:p w:rsidR="007D0AEB" w:rsidRDefault="007D0AEB" w:rsidP="00B06AED">
      <w:pPr>
        <w:pStyle w:val="ListParagraph"/>
        <w:numPr>
          <w:ilvl w:val="0"/>
          <w:numId w:val="1"/>
        </w:numPr>
        <w:tabs>
          <w:tab w:val="left" w:pos="1080"/>
          <w:tab w:val="left" w:pos="1170"/>
        </w:tabs>
        <w:ind w:left="0" w:firstLine="720"/>
        <w:jc w:val="both"/>
      </w:pPr>
      <w:r>
        <w:t xml:space="preserve">Kërkuesja ka </w:t>
      </w:r>
      <w:r w:rsidR="00035D8D">
        <w:t>konkurruar për t’u pranuar</w:t>
      </w:r>
      <w:r>
        <w:t xml:space="preserve"> në Formimin Fillestar të Shkollës së Magjistraturës për vitin akademik 2020-2021. </w:t>
      </w:r>
      <w:r w:rsidRPr="00D2105D">
        <w:t xml:space="preserve">Me </w:t>
      </w:r>
      <w:r w:rsidR="00DE365E" w:rsidRPr="00D2105D">
        <w:t>shkresën</w:t>
      </w:r>
      <w:r w:rsidRPr="00D2105D">
        <w:t xml:space="preserve"> nr. 740</w:t>
      </w:r>
      <w:r w:rsidR="00D2105D">
        <w:t>/1</w:t>
      </w:r>
      <w:r w:rsidRPr="00D2105D">
        <w:t xml:space="preserve"> </w:t>
      </w:r>
      <w:proofErr w:type="spellStart"/>
      <w:r w:rsidRPr="00D2105D">
        <w:t>prot</w:t>
      </w:r>
      <w:proofErr w:type="spellEnd"/>
      <w:r w:rsidRPr="00D2105D">
        <w:t>., datë 21.09.20</w:t>
      </w:r>
      <w:r w:rsidR="00D2105D" w:rsidRPr="00D2105D">
        <w:t>2</w:t>
      </w:r>
      <w:r w:rsidRPr="00D2105D">
        <w:t xml:space="preserve">0 </w:t>
      </w:r>
      <w:r w:rsidR="00DE365E" w:rsidRPr="00D2105D">
        <w:t>të Shkollës së Magjistraturës,</w:t>
      </w:r>
      <w:r w:rsidR="00DE365E">
        <w:t xml:space="preserve"> </w:t>
      </w:r>
      <w:r w:rsidR="00F50046">
        <w:t>ajo</w:t>
      </w:r>
      <w:r w:rsidR="00DE365E">
        <w:t xml:space="preserve"> është njoftuar </w:t>
      </w:r>
      <w:r w:rsidR="00FA05D4">
        <w:t xml:space="preserve">për </w:t>
      </w:r>
      <w:proofErr w:type="spellStart"/>
      <w:r w:rsidR="00FA05D4">
        <w:t>skualifikimin</w:t>
      </w:r>
      <w:proofErr w:type="spellEnd"/>
      <w:r w:rsidR="00FA05D4">
        <w:t xml:space="preserve"> e saj sipas</w:t>
      </w:r>
      <w:r w:rsidR="00DE365E">
        <w:t xml:space="preserve"> </w:t>
      </w:r>
      <w:r w:rsidR="000C4987">
        <w:t>procesverbali</w:t>
      </w:r>
      <w:r w:rsidR="00FA05D4">
        <w:t>t</w:t>
      </w:r>
      <w:r w:rsidR="000C4987">
        <w:t xml:space="preserve"> nr. 219 </w:t>
      </w:r>
      <w:proofErr w:type="spellStart"/>
      <w:r w:rsidR="000C4987">
        <w:t>prot</w:t>
      </w:r>
      <w:proofErr w:type="spellEnd"/>
      <w:r w:rsidR="000C4987">
        <w:t xml:space="preserve">., datë 11.03.2020 të </w:t>
      </w:r>
      <w:r w:rsidR="0073675B">
        <w:t>mbajtur nga kjo shkollë</w:t>
      </w:r>
      <w:r w:rsidR="00DE365E">
        <w:t>, p</w:t>
      </w:r>
      <w:r w:rsidR="002B585A">
        <w:t>ër shkak se</w:t>
      </w:r>
      <w:r w:rsidR="00DE365E">
        <w:t xml:space="preserve"> në zbatim të nenit 10, pika 4, shkronja “d”, të Rregullores së Brendshme të Shkollës së Magjistraturës kishte notë mesatare më të ulët se nota 8.</w:t>
      </w:r>
    </w:p>
    <w:p w:rsidR="00DE365E" w:rsidRDefault="00DE365E" w:rsidP="00B06AED">
      <w:pPr>
        <w:pStyle w:val="ListParagraph"/>
        <w:numPr>
          <w:ilvl w:val="0"/>
          <w:numId w:val="1"/>
        </w:numPr>
        <w:tabs>
          <w:tab w:val="left" w:pos="1080"/>
          <w:tab w:val="left" w:pos="1170"/>
        </w:tabs>
        <w:ind w:left="0" w:firstLine="720"/>
        <w:jc w:val="both"/>
      </w:pPr>
      <w:r>
        <w:t>Kërkuesja i është drejtuar Gjykatës Administrative të Apelit me kërkesëpadi me objekt</w:t>
      </w:r>
      <w:r>
        <w:rPr>
          <w:i/>
        </w:rPr>
        <w:t>: “Shfuqizimin pjesërisht të aktit normativ “Rregullore e Bre</w:t>
      </w:r>
      <w:r w:rsidR="00A84ABC">
        <w:rPr>
          <w:i/>
        </w:rPr>
        <w:t>ndshme e Shkollës së M</w:t>
      </w:r>
      <w:r>
        <w:rPr>
          <w:i/>
        </w:rPr>
        <w:t xml:space="preserve">agjistraturës”, miratuar me vendimin </w:t>
      </w:r>
      <w:r w:rsidR="00FA05D4">
        <w:rPr>
          <w:i/>
        </w:rPr>
        <w:t xml:space="preserve">e </w:t>
      </w:r>
      <w:r>
        <w:rPr>
          <w:i/>
        </w:rPr>
        <w:t>datë</w:t>
      </w:r>
      <w:r w:rsidR="00FA05D4">
        <w:rPr>
          <w:i/>
        </w:rPr>
        <w:t>s</w:t>
      </w:r>
      <w:r>
        <w:rPr>
          <w:i/>
        </w:rPr>
        <w:t xml:space="preserve"> 31.01.2017 të Këshillit Drejtues, pjesës s</w:t>
      </w:r>
      <w:r w:rsidR="00FA05D4">
        <w:rPr>
          <w:i/>
        </w:rPr>
        <w:t>ë dytë të fjalisë të germës “d”</w:t>
      </w:r>
      <w:r>
        <w:rPr>
          <w:i/>
        </w:rPr>
        <w:t xml:space="preserve"> të pikës 4 të nenit 10 të kësaj rregulloreje, që është si vijon “... si dhe notë mesatare mbi 8 (tetë) për grupin e lëndëve kryesore, ku përfshihen: E drejta civile dhe e detyrimeve, E drejta penale, (Pjesa e përgjithshme dhe pjesa e posaçme), Procedura civile, Procedura penale, E drejta administrative dhe e drejta kushtetuese”</w:t>
      </w:r>
      <w:r>
        <w:t>, për të cilën ajo gjykatë, me vendimin nr. 32, datë 29.04.2021 ka vendosur pranimin e saj dhe shfuqizimin pjesërisht të aktit normativ Rregullore e Brendshme e Shkollës së Magjistraturës.</w:t>
      </w:r>
    </w:p>
    <w:p w:rsidR="00DE365E" w:rsidRDefault="00CF3A72" w:rsidP="00B06AED">
      <w:pPr>
        <w:pStyle w:val="ListParagraph"/>
        <w:numPr>
          <w:ilvl w:val="0"/>
          <w:numId w:val="1"/>
        </w:numPr>
        <w:tabs>
          <w:tab w:val="left" w:pos="1080"/>
          <w:tab w:val="left" w:pos="1170"/>
        </w:tabs>
        <w:ind w:left="0" w:firstLine="720"/>
        <w:jc w:val="both"/>
      </w:pPr>
      <w:r>
        <w:t>Kundër</w:t>
      </w:r>
      <w:r w:rsidR="00901079">
        <w:t xml:space="preserve"> vendimit të lartpërmendur është paraqitur rekurs nga Shkolla e Magjistraturës, </w:t>
      </w:r>
      <w:r>
        <w:t>për të cilin</w:t>
      </w:r>
      <w:r w:rsidR="00901079">
        <w:t xml:space="preserve"> kërkuesja ka paraqitur </w:t>
      </w:r>
      <w:proofErr w:type="spellStart"/>
      <w:r w:rsidR="00901079">
        <w:t>kundërrekurs</w:t>
      </w:r>
      <w:proofErr w:type="spellEnd"/>
      <w:r w:rsidR="00901079">
        <w:t>. Me vendimin nr. 00-2021-1940 (257), datë 25.11.2021, Kolegji Administrativ i Gjykatës së Lartë ka vendosur prishjen e vendimit nr. 32, datë 29.04.2021 të Gjykatës Administrative të Apelit, duke arsyetuar, ndër të tjera, se kërkuesja nuk legjitimohej t’i drejtohej asaj gjykate për kontrollin abstrakt të aktit normativ të kundërshtuar, pasi nuk përfshihej në rrethin e subjekteve të parashikuara në nenin 15, shkronja “d”, të ligjit nr. 49/2012 që kanë legjitimim aktiv për goditjen e akteve normative nënligjore.</w:t>
      </w:r>
    </w:p>
    <w:p w:rsidR="00901079" w:rsidRDefault="00FA05D4" w:rsidP="00B06AED">
      <w:pPr>
        <w:pStyle w:val="ListParagraph"/>
        <w:numPr>
          <w:ilvl w:val="0"/>
          <w:numId w:val="1"/>
        </w:numPr>
        <w:tabs>
          <w:tab w:val="left" w:pos="1080"/>
          <w:tab w:val="left" w:pos="1170"/>
        </w:tabs>
        <w:ind w:left="0" w:firstLine="720"/>
        <w:jc w:val="both"/>
      </w:pPr>
      <w:r>
        <w:t>Në datën 10.05.2022</w:t>
      </w:r>
      <w:r w:rsidR="00901079">
        <w:t xml:space="preserve"> kërkuesja i është drejtuar Gjykatës Kushtetues</w:t>
      </w:r>
      <w:r w:rsidR="000C6664">
        <w:t>e</w:t>
      </w:r>
      <w:r w:rsidR="00901079">
        <w:t xml:space="preserve"> </w:t>
      </w:r>
      <w:r w:rsidR="00901079">
        <w:rPr>
          <w:i/>
        </w:rPr>
        <w:t>(Gjykata)</w:t>
      </w:r>
      <w:r w:rsidR="00260AB4">
        <w:t xml:space="preserve"> me kërkesë sipas objektit</w:t>
      </w:r>
      <w:r w:rsidR="00901079">
        <w:rPr>
          <w:color w:val="000000"/>
        </w:rPr>
        <w:t>.</w:t>
      </w:r>
    </w:p>
    <w:p w:rsidR="001B08BB" w:rsidRDefault="001B08BB" w:rsidP="001B08BB">
      <w:pPr>
        <w:pStyle w:val="ListParagraph"/>
        <w:tabs>
          <w:tab w:val="left" w:pos="1080"/>
          <w:tab w:val="left" w:pos="1170"/>
        </w:tabs>
        <w:jc w:val="both"/>
      </w:pPr>
    </w:p>
    <w:p w:rsidR="009220FD" w:rsidRDefault="009220FD" w:rsidP="009220FD">
      <w:pPr>
        <w:pStyle w:val="Heading1"/>
        <w:tabs>
          <w:tab w:val="left" w:pos="1080"/>
        </w:tabs>
      </w:pPr>
      <w:r w:rsidRPr="00E328F3">
        <w:t>II</w:t>
      </w:r>
    </w:p>
    <w:p w:rsidR="009220FD" w:rsidRPr="001775D3" w:rsidRDefault="009220FD" w:rsidP="009220FD">
      <w:pPr>
        <w:pStyle w:val="Heading1"/>
      </w:pPr>
      <w:r w:rsidRPr="001775D3">
        <w:t>Pretendimet e kërkues</w:t>
      </w:r>
      <w:r w:rsidR="00D61E81" w:rsidRPr="001775D3">
        <w:t>es</w:t>
      </w:r>
    </w:p>
    <w:p w:rsidR="009220FD" w:rsidRPr="001775D3" w:rsidRDefault="00A72D35" w:rsidP="009220FD">
      <w:pPr>
        <w:pStyle w:val="ListParagraph"/>
        <w:numPr>
          <w:ilvl w:val="0"/>
          <w:numId w:val="1"/>
        </w:numPr>
        <w:tabs>
          <w:tab w:val="left" w:pos="1080"/>
        </w:tabs>
        <w:ind w:left="0" w:firstLine="720"/>
        <w:jc w:val="both"/>
      </w:pPr>
      <w:r w:rsidRPr="00954115">
        <w:rPr>
          <w:rFonts w:eastAsia="MS Mincho"/>
          <w:b/>
          <w:i/>
        </w:rPr>
        <w:t xml:space="preserve">Kërkuesja </w:t>
      </w:r>
      <w:r w:rsidRPr="00954115">
        <w:rPr>
          <w:rFonts w:eastAsia="MS Mincho"/>
        </w:rPr>
        <w:t xml:space="preserve">në kërkesën e saj ka parashtruar, në mënyrë të përmbledhur, se </w:t>
      </w:r>
      <w:r>
        <w:rPr>
          <w:rFonts w:eastAsia="MS Mincho"/>
        </w:rPr>
        <w:t xml:space="preserve">i </w:t>
      </w:r>
      <w:r w:rsidR="00901079">
        <w:rPr>
          <w:rFonts w:eastAsia="MS Mincho"/>
        </w:rPr>
        <w:t>janë</w:t>
      </w:r>
      <w:r w:rsidRPr="00954115">
        <w:rPr>
          <w:rFonts w:eastAsia="MS Mincho"/>
        </w:rPr>
        <w:t xml:space="preserve"> cenuar</w:t>
      </w:r>
      <w:r w:rsidR="009220FD" w:rsidRPr="001775D3">
        <w:t>:</w:t>
      </w:r>
    </w:p>
    <w:p w:rsidR="006D7A00" w:rsidRDefault="00A72D35" w:rsidP="00D61E81">
      <w:pPr>
        <w:pStyle w:val="ListParagraph"/>
        <w:numPr>
          <w:ilvl w:val="0"/>
          <w:numId w:val="2"/>
        </w:numPr>
        <w:tabs>
          <w:tab w:val="left" w:pos="1530"/>
        </w:tabs>
        <w:ind w:left="1260" w:hanging="540"/>
        <w:jc w:val="both"/>
      </w:pPr>
      <w:r>
        <w:rPr>
          <w:i/>
        </w:rPr>
        <w:t>Parimi</w:t>
      </w:r>
      <w:r w:rsidR="00F763A6" w:rsidRPr="001775D3">
        <w:rPr>
          <w:i/>
        </w:rPr>
        <w:t xml:space="preserve"> </w:t>
      </w:r>
      <w:r w:rsidR="006F0FCE">
        <w:rPr>
          <w:i/>
        </w:rPr>
        <w:t>i</w:t>
      </w:r>
      <w:r w:rsidR="00F763A6" w:rsidRPr="001775D3">
        <w:rPr>
          <w:i/>
        </w:rPr>
        <w:t xml:space="preserve"> </w:t>
      </w:r>
      <w:r w:rsidR="006F0FCE">
        <w:rPr>
          <w:i/>
        </w:rPr>
        <w:t>sigurisë juridike</w:t>
      </w:r>
      <w:r w:rsidR="00F763A6" w:rsidRPr="001775D3">
        <w:t>, pasi</w:t>
      </w:r>
      <w:r w:rsidR="006F0FCE">
        <w:t xml:space="preserve"> kriteri për notë mesatare mbi 8, i vendosur </w:t>
      </w:r>
      <w:r w:rsidR="002D14A2">
        <w:t xml:space="preserve">në </w:t>
      </w:r>
      <w:r w:rsidR="006F0FCE">
        <w:t xml:space="preserve">nenin 10, pika 4, shkronja “d”, të Rregullores së Brendshme të Shkollës së Magjistraturës për pranimin në Formimin Fillestar në këtë shkollë, </w:t>
      </w:r>
      <w:r w:rsidR="00CF3A72">
        <w:t>përbën një kriter shtesë të vendosur</w:t>
      </w:r>
      <w:r w:rsidR="006F0FCE">
        <w:t xml:space="preserve"> në tejkalim të kritereve të par</w:t>
      </w:r>
      <w:r w:rsidR="005169C4">
        <w:t>ashikuara nga ligji nr. 96/2016, përmes të cilave legjislatori ka vënë theksin në mesataren</w:t>
      </w:r>
      <w:r w:rsidR="00355F96">
        <w:t xml:space="preserve"> e </w:t>
      </w:r>
      <w:proofErr w:type="spellStart"/>
      <w:r w:rsidR="00355F96">
        <w:t>masterit</w:t>
      </w:r>
      <w:proofErr w:type="spellEnd"/>
      <w:r w:rsidR="00355F96">
        <w:t xml:space="preserve"> shkencor. Ky kriter me karakter kufizues</w:t>
      </w:r>
      <w:r w:rsidR="005169C4">
        <w:t xml:space="preserve"> vendos kufij shumë më të lartë se legjislacionet e vendeve të tjera evropiane. Interpretimi i bërë këtyre dispozitave nga Shkolla e Magjistraturës bie ndesh me dispozitat kushtetuese dhe cenon hierarkinë e normave. Po kështu, interpretimi i Gjykatës së Lartë se vetëm shoqatat dhe grupet e interesit gëzojnë legjitimitet aktiv për të kundërshtuar në mënyrë abstrakte aktin nënligjor në Gjykatën Administrative të Apelit</w:t>
      </w:r>
      <w:r w:rsidR="002D14A2">
        <w:t>,</w:t>
      </w:r>
      <w:r w:rsidR="005169C4">
        <w:t xml:space="preserve"> është i gabuar dhe antikushtetues. </w:t>
      </w:r>
      <w:r w:rsidR="006C5575">
        <w:t xml:space="preserve">Të drejtat profesionale nuk mund të cenohen përmes akteve të një organi në rang hierarkik më të ulët se Kuvendi. </w:t>
      </w:r>
    </w:p>
    <w:p w:rsidR="00B77C70" w:rsidRDefault="00B77C70" w:rsidP="00D61E81">
      <w:pPr>
        <w:pStyle w:val="ListParagraph"/>
        <w:numPr>
          <w:ilvl w:val="0"/>
          <w:numId w:val="2"/>
        </w:numPr>
        <w:tabs>
          <w:tab w:val="left" w:pos="1530"/>
        </w:tabs>
        <w:ind w:left="1260" w:hanging="540"/>
        <w:jc w:val="both"/>
      </w:pPr>
      <w:r>
        <w:rPr>
          <w:i/>
        </w:rPr>
        <w:t xml:space="preserve">E drejta e </w:t>
      </w:r>
      <w:proofErr w:type="spellStart"/>
      <w:r>
        <w:rPr>
          <w:i/>
        </w:rPr>
        <w:t>aksesit</w:t>
      </w:r>
      <w:proofErr w:type="spellEnd"/>
      <w:r>
        <w:t xml:space="preserve">, pasi Gjykata e Lartë, pa asnjë justifikim ligjor, argument logjik ose kushtetues, </w:t>
      </w:r>
      <w:r w:rsidR="002D14A2">
        <w:t xml:space="preserve">e </w:t>
      </w:r>
      <w:r>
        <w:t>ka çuar çështjen për gjykim në shkallë të parë. Ligjvënësi nuk ka vendosur asnjë kufizim për legjitimimin aktiv të palëve</w:t>
      </w:r>
      <w:r w:rsidR="009E71FA">
        <w:t xml:space="preserve"> për kundërshtimin e veprimit ose mosveprimit të organit administrativ</w:t>
      </w:r>
      <w:r w:rsidR="005169C4">
        <w:t>.</w:t>
      </w:r>
    </w:p>
    <w:p w:rsidR="00F763A6" w:rsidRDefault="006F0FCE" w:rsidP="00D61E81">
      <w:pPr>
        <w:pStyle w:val="ListParagraph"/>
        <w:numPr>
          <w:ilvl w:val="0"/>
          <w:numId w:val="2"/>
        </w:numPr>
        <w:tabs>
          <w:tab w:val="left" w:pos="1530"/>
        </w:tabs>
        <w:ind w:left="1260" w:hanging="540"/>
        <w:jc w:val="both"/>
      </w:pPr>
      <w:r>
        <w:rPr>
          <w:i/>
        </w:rPr>
        <w:t>E drejta</w:t>
      </w:r>
      <w:r w:rsidRPr="00560526">
        <w:rPr>
          <w:i/>
        </w:rPr>
        <w:t xml:space="preserve"> për t’u gjykuar nga një gjykatë e paanshme</w:t>
      </w:r>
      <w:r w:rsidR="00EE4B2D">
        <w:t>,</w:t>
      </w:r>
      <w:r w:rsidR="006D7A00">
        <w:t xml:space="preserve"> pasi</w:t>
      </w:r>
      <w:r w:rsidR="00B77C70">
        <w:t xml:space="preserve"> të gjithë anëtarët e trup</w:t>
      </w:r>
      <w:r w:rsidR="002D14A2">
        <w:t>it</w:t>
      </w:r>
      <w:r w:rsidR="00B77C70">
        <w:t xml:space="preserve"> gjy</w:t>
      </w:r>
      <w:r w:rsidR="002D14A2">
        <w:t>kues</w:t>
      </w:r>
      <w:r w:rsidR="00B77C70">
        <w:t xml:space="preserve"> që ka gjykuar çështjen e saj në Gjykatën e Lartë janë të angazhuar si ekspertë në aktivitete trajnuese të Shkollës së Magjistraturës, çka bën që ndërmjet tyre </w:t>
      </w:r>
      <w:r w:rsidR="003C21BB">
        <w:t xml:space="preserve">dhe Shkollës së Magjistraturës </w:t>
      </w:r>
      <w:r w:rsidR="00B77C70">
        <w:t>të ekzistoj</w:t>
      </w:r>
      <w:r w:rsidR="003C21BB">
        <w:t>n</w:t>
      </w:r>
      <w:r w:rsidR="00B77C70">
        <w:t xml:space="preserve">ë </w:t>
      </w:r>
      <w:r w:rsidR="00FC6F45">
        <w:t>marrëdhënie punësimi dhe interesa financiare të ndërlidhura</w:t>
      </w:r>
      <w:r w:rsidR="000F1FC3">
        <w:t>.</w:t>
      </w:r>
      <w:r w:rsidR="00FC6F45">
        <w:t xml:space="preserve"> Kërkesat e </w:t>
      </w:r>
      <w:r w:rsidR="001416ED">
        <w:t>kërkueses</w:t>
      </w:r>
      <w:r w:rsidR="00FC6F45">
        <w:t xml:space="preserve"> për përjashtimin e anëtarëve të trup</w:t>
      </w:r>
      <w:r w:rsidR="002D14A2">
        <w:t>it gjykues</w:t>
      </w:r>
      <w:r w:rsidR="00FC6F45">
        <w:t xml:space="preserve"> të asaj gjykate </w:t>
      </w:r>
      <w:r w:rsidR="009E71FA">
        <w:t>nuk janë pranuar</w:t>
      </w:r>
      <w:r w:rsidR="00FC6F45">
        <w:t>.</w:t>
      </w:r>
    </w:p>
    <w:p w:rsidR="00DB38DF" w:rsidRDefault="00957D66" w:rsidP="00DB38DF">
      <w:pPr>
        <w:pStyle w:val="ListParagraph"/>
        <w:numPr>
          <w:ilvl w:val="0"/>
          <w:numId w:val="2"/>
        </w:numPr>
        <w:tabs>
          <w:tab w:val="left" w:pos="1530"/>
        </w:tabs>
        <w:ind w:left="1260" w:hanging="540"/>
        <w:jc w:val="both"/>
      </w:pPr>
      <w:r>
        <w:rPr>
          <w:i/>
        </w:rPr>
        <w:t xml:space="preserve">E drejta për arsim, </w:t>
      </w:r>
      <w:r>
        <w:t xml:space="preserve">e garantuar nga neni 57 i Kushtetutës, </w:t>
      </w:r>
      <w:r w:rsidRPr="00957D66">
        <w:t>si</w:t>
      </w:r>
      <w:r>
        <w:rPr>
          <w:i/>
        </w:rPr>
        <w:t xml:space="preserve"> </w:t>
      </w:r>
      <w:r>
        <w:t xml:space="preserve">rrjedhojë e </w:t>
      </w:r>
      <w:proofErr w:type="spellStart"/>
      <w:r>
        <w:t>skualifikimit</w:t>
      </w:r>
      <w:proofErr w:type="spellEnd"/>
      <w:r>
        <w:t xml:space="preserve"> të saj nga pranimi për në Formimin Fillestar në Shkollën e Magjistraturës</w:t>
      </w:r>
      <w:r w:rsidR="00DB38DF">
        <w:t>.</w:t>
      </w:r>
    </w:p>
    <w:p w:rsidR="000F1FC3" w:rsidRPr="00DF5167" w:rsidRDefault="00957D66" w:rsidP="00D61E81">
      <w:pPr>
        <w:pStyle w:val="ListParagraph"/>
        <w:numPr>
          <w:ilvl w:val="0"/>
          <w:numId w:val="2"/>
        </w:numPr>
        <w:tabs>
          <w:tab w:val="left" w:pos="1530"/>
        </w:tabs>
        <w:ind w:left="1260" w:hanging="540"/>
        <w:jc w:val="both"/>
      </w:pPr>
      <w:r>
        <w:rPr>
          <w:i/>
        </w:rPr>
        <w:t>E drejta për të zgjedhur profesionin, sistemin e kualifikimit profesional dhe për të fituar mjetet e punës me punë të ligjshme</w:t>
      </w:r>
      <w:r>
        <w:t>, e parashikuar në nenin 49 të Kushtetutës, si rrjedhojë e kufizimit të vendosur në nenin 10, pika 4, shkronja “d”, të Rregullores së Brendshme të Shkollës së Magjistraturës</w:t>
      </w:r>
      <w:r w:rsidR="00DF5167" w:rsidRPr="00DF5167">
        <w:t>.</w:t>
      </w:r>
      <w:r w:rsidR="00F54D53">
        <w:t xml:space="preserve"> </w:t>
      </w:r>
      <w:r w:rsidR="00BE1756">
        <w:t>Kjo Rregullore,</w:t>
      </w:r>
      <w:r w:rsidR="00721206">
        <w:t xml:space="preserve"> si akt me karakter të brendshëm, nuk mund të përcaktojë kritere ndaj subjektit </w:t>
      </w:r>
      <w:proofErr w:type="spellStart"/>
      <w:r w:rsidR="00721206">
        <w:t>kandidues</w:t>
      </w:r>
      <w:proofErr w:type="spellEnd"/>
      <w:r w:rsidR="00721206">
        <w:t xml:space="preserve"> në provimin e pranimit për formimin fillestar si magjistrat dhe as të shërbejë si bazë e vetme për </w:t>
      </w:r>
      <w:proofErr w:type="spellStart"/>
      <w:r w:rsidR="00721206">
        <w:t>skualifikimin</w:t>
      </w:r>
      <w:proofErr w:type="spellEnd"/>
      <w:r w:rsidR="00721206">
        <w:t xml:space="preserve"> e tij.</w:t>
      </w:r>
    </w:p>
    <w:p w:rsidR="009220FD" w:rsidRDefault="009220FD" w:rsidP="009220FD">
      <w:pPr>
        <w:tabs>
          <w:tab w:val="left" w:pos="1620"/>
        </w:tabs>
        <w:jc w:val="both"/>
      </w:pPr>
    </w:p>
    <w:p w:rsidR="009220FD" w:rsidRDefault="009220FD" w:rsidP="009220FD">
      <w:pPr>
        <w:pStyle w:val="Heading1"/>
        <w:tabs>
          <w:tab w:val="left" w:pos="1620"/>
        </w:tabs>
      </w:pPr>
      <w:r>
        <w:t>III</w:t>
      </w:r>
    </w:p>
    <w:p w:rsidR="009220FD" w:rsidRDefault="009220FD" w:rsidP="009220FD">
      <w:pPr>
        <w:tabs>
          <w:tab w:val="left" w:pos="1620"/>
        </w:tabs>
        <w:jc w:val="center"/>
        <w:rPr>
          <w:b/>
        </w:rPr>
      </w:pPr>
      <w:r>
        <w:rPr>
          <w:b/>
        </w:rPr>
        <w:t xml:space="preserve">Vlerësimi i </w:t>
      </w:r>
      <w:r w:rsidR="006E5FD2">
        <w:rPr>
          <w:b/>
        </w:rPr>
        <w:t>Kolegjit</w:t>
      </w:r>
    </w:p>
    <w:p w:rsidR="00294BE1" w:rsidRDefault="00294BE1" w:rsidP="009220FD">
      <w:pPr>
        <w:tabs>
          <w:tab w:val="left" w:pos="1620"/>
        </w:tabs>
        <w:jc w:val="center"/>
        <w:rPr>
          <w:b/>
        </w:rPr>
      </w:pPr>
    </w:p>
    <w:p w:rsidR="00294BE1" w:rsidRDefault="00294BE1" w:rsidP="009220FD">
      <w:pPr>
        <w:tabs>
          <w:tab w:val="left" w:pos="1620"/>
        </w:tabs>
        <w:jc w:val="center"/>
        <w:rPr>
          <w:b/>
        </w:rPr>
      </w:pPr>
    </w:p>
    <w:p w:rsidR="00294BE1" w:rsidRDefault="00294BE1" w:rsidP="009220FD">
      <w:pPr>
        <w:tabs>
          <w:tab w:val="left" w:pos="1620"/>
        </w:tabs>
        <w:jc w:val="center"/>
        <w:rPr>
          <w:b/>
        </w:rPr>
      </w:pPr>
    </w:p>
    <w:p w:rsidR="00294BE1" w:rsidRPr="00234324" w:rsidRDefault="00294BE1" w:rsidP="00294BE1">
      <w:pPr>
        <w:pStyle w:val="ListParagraph"/>
        <w:tabs>
          <w:tab w:val="left" w:pos="1080"/>
        </w:tabs>
        <w:jc w:val="both"/>
        <w:rPr>
          <w:i/>
        </w:rPr>
      </w:pPr>
      <w:r>
        <w:rPr>
          <w:i/>
        </w:rPr>
        <w:t>A. Për legjitimimin e kërkues</w:t>
      </w:r>
      <w:r w:rsidR="003262BD">
        <w:rPr>
          <w:i/>
        </w:rPr>
        <w:t>es</w:t>
      </w:r>
    </w:p>
    <w:p w:rsidR="009220FD" w:rsidRDefault="009220FD" w:rsidP="009220FD">
      <w:pPr>
        <w:pStyle w:val="ListParagraph"/>
        <w:numPr>
          <w:ilvl w:val="0"/>
          <w:numId w:val="1"/>
        </w:numPr>
        <w:tabs>
          <w:tab w:val="left" w:pos="1080"/>
        </w:tabs>
        <w:ind w:left="0" w:firstLine="720"/>
        <w:jc w:val="both"/>
      </w:pPr>
      <w:r>
        <w:t xml:space="preserve">Çështja e legjitimimit </w:t>
      </w:r>
      <w:r w:rsidRPr="00656A67">
        <w:rPr>
          <w:i/>
        </w:rPr>
        <w:t>(</w:t>
      </w:r>
      <w:proofErr w:type="spellStart"/>
      <w:r w:rsidRPr="00656A67">
        <w:rPr>
          <w:i/>
        </w:rPr>
        <w:t>locus</w:t>
      </w:r>
      <w:proofErr w:type="spellEnd"/>
      <w:r w:rsidRPr="00656A67">
        <w:rPr>
          <w:i/>
        </w:rPr>
        <w:t xml:space="preserve"> </w:t>
      </w:r>
      <w:proofErr w:type="spellStart"/>
      <w:r w:rsidRPr="00656A67">
        <w:rPr>
          <w:i/>
        </w:rPr>
        <w:t>standi</w:t>
      </w:r>
      <w:proofErr w:type="spellEnd"/>
      <w:r w:rsidRPr="00656A67">
        <w:rPr>
          <w:i/>
        </w:rPr>
        <w:t>)</w:t>
      </w:r>
      <w:r>
        <w:t xml:space="preserve">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w:t>
      </w:r>
      <w:r w:rsidR="00ED685C">
        <w:t>tit publik ose vendimi gjyqësor</w:t>
      </w:r>
      <w:r>
        <w:t xml:space="preserve"> që cenon të drejtat dhe liritë themelore të garantuara në Kushtetutë.</w:t>
      </w:r>
    </w:p>
    <w:p w:rsidR="009220FD" w:rsidRDefault="009220FD" w:rsidP="009220FD">
      <w:pPr>
        <w:pStyle w:val="ListParagraph"/>
        <w:numPr>
          <w:ilvl w:val="0"/>
          <w:numId w:val="1"/>
        </w:numPr>
        <w:tabs>
          <w:tab w:val="left" w:pos="1080"/>
        </w:tabs>
        <w:ind w:left="0" w:firstLine="720"/>
        <w:jc w:val="both"/>
      </w:pPr>
      <w:r>
        <w:t xml:space="preserve">Ankimi kushtetues individual, në vijim të dispozitave kushtetuese, rregullohet edhe nga </w:t>
      </w:r>
      <w:r w:rsidRPr="00E32125">
        <w:t xml:space="preserve">dispozitat e ligjit nr. 8577/2000, i cili në nenin 71/a përcakton si kritere </w:t>
      </w:r>
      <w:proofErr w:type="spellStart"/>
      <w:r w:rsidRPr="00E32125">
        <w:t>kumulative</w:t>
      </w:r>
      <w:proofErr w:type="spellEnd"/>
      <w:r w:rsidRPr="00E32125">
        <w:t xml:space="preserve"> legjitimimi shterimin e mjeteve juridike, paraqitjen e kërkesës brenda afatit përkatës, ardhjen drejtpërdrejt e realisht të pasojave, si dhe mundësinë për rivendosjen e së drejtës së shkelur.</w:t>
      </w:r>
    </w:p>
    <w:p w:rsidR="00957D66" w:rsidRPr="00217639" w:rsidRDefault="00217639" w:rsidP="009220FD">
      <w:pPr>
        <w:pStyle w:val="ListParagraph"/>
        <w:numPr>
          <w:ilvl w:val="0"/>
          <w:numId w:val="1"/>
        </w:numPr>
        <w:tabs>
          <w:tab w:val="left" w:pos="1080"/>
        </w:tabs>
        <w:ind w:left="0" w:firstLine="720"/>
        <w:jc w:val="both"/>
      </w:pPr>
      <w:r w:rsidRPr="006A5396">
        <w:t>Për sa i përket përmbushjes së këtyre kritereve</w:t>
      </w:r>
      <w:r w:rsidRPr="006A5396">
        <w:rPr>
          <w:rFonts w:eastAsia="MS Mincho"/>
        </w:rPr>
        <w:t>, k</w:t>
      </w:r>
      <w:r w:rsidRPr="006A5396">
        <w:rPr>
          <w:rFonts w:eastAsia="Calibri"/>
        </w:rPr>
        <w:t>ërkues</w:t>
      </w:r>
      <w:r>
        <w:rPr>
          <w:rFonts w:eastAsia="Calibri"/>
        </w:rPr>
        <w:t>ja</w:t>
      </w:r>
      <w:r w:rsidRPr="006A5396">
        <w:rPr>
          <w:rFonts w:eastAsia="Calibri"/>
        </w:rPr>
        <w:t xml:space="preserve"> legjitimohet </w:t>
      </w:r>
      <w:proofErr w:type="spellStart"/>
      <w:r w:rsidRPr="006A5396">
        <w:rPr>
          <w:rFonts w:eastAsia="Calibri"/>
          <w:i/>
        </w:rPr>
        <w:t>ratione</w:t>
      </w:r>
      <w:proofErr w:type="spellEnd"/>
      <w:r w:rsidRPr="006A5396">
        <w:rPr>
          <w:rFonts w:eastAsia="Calibri"/>
          <w:i/>
        </w:rPr>
        <w:t xml:space="preserve"> </w:t>
      </w:r>
      <w:proofErr w:type="spellStart"/>
      <w:r w:rsidRPr="006A5396">
        <w:rPr>
          <w:rFonts w:eastAsia="Calibri"/>
          <w:i/>
        </w:rPr>
        <w:t>personae</w:t>
      </w:r>
      <w:proofErr w:type="spellEnd"/>
      <w:r w:rsidRPr="006A5396">
        <w:rPr>
          <w:rFonts w:eastAsia="Calibri"/>
          <w:i/>
        </w:rPr>
        <w:t>,</w:t>
      </w:r>
      <w:r w:rsidRPr="006A5396">
        <w:rPr>
          <w:rFonts w:eastAsia="Calibri"/>
        </w:rPr>
        <w:t xml:space="preserve"> bazuar në nenet 131, pika 1, shkronja “f” dhe 134, pika 1, shkronja “i”, të Kushtetutës, pasi ka qenë palë në procesin gjyqësor, ndaj të cilit ka ngritur pretendime në këtë Gjykatë </w:t>
      </w:r>
      <w:r w:rsidRPr="006A5396">
        <w:rPr>
          <w:rFonts w:eastAsia="Calibri"/>
          <w:bCs/>
        </w:rPr>
        <w:t>dhe ka interes të drejtpërdrejtë në çështjen e parashtruar</w:t>
      </w:r>
      <w:r>
        <w:rPr>
          <w:rFonts w:eastAsia="Calibri"/>
          <w:bCs/>
        </w:rPr>
        <w:t>.</w:t>
      </w:r>
    </w:p>
    <w:p w:rsidR="00BE1756" w:rsidRPr="00BE1756" w:rsidRDefault="00217639" w:rsidP="009220FD">
      <w:pPr>
        <w:pStyle w:val="ListParagraph"/>
        <w:numPr>
          <w:ilvl w:val="0"/>
          <w:numId w:val="1"/>
        </w:numPr>
        <w:tabs>
          <w:tab w:val="left" w:pos="1080"/>
        </w:tabs>
        <w:ind w:left="0" w:firstLine="720"/>
        <w:jc w:val="both"/>
      </w:pPr>
      <w:r w:rsidRPr="006A5396">
        <w:t xml:space="preserve">Lidhur me kriterin e </w:t>
      </w:r>
      <w:r w:rsidRPr="006A5396">
        <w:rPr>
          <w:i/>
        </w:rPr>
        <w:t>shterimit të mjeteve juridike efektive</w:t>
      </w:r>
      <w:r w:rsidRPr="006A5396">
        <w:t xml:space="preserve">, sipas </w:t>
      </w:r>
      <w:r w:rsidRPr="006A5396">
        <w:rPr>
          <w:color w:val="000000"/>
        </w:rPr>
        <w:t xml:space="preserve">neneve </w:t>
      </w:r>
      <w:r w:rsidRPr="006A5396">
        <w:t xml:space="preserve">131, pika 1, shkronja “f” dhe 134, pika 1, shkronja “i”, </w:t>
      </w:r>
      <w:r w:rsidRPr="006A5396">
        <w:rPr>
          <w:color w:val="000000"/>
        </w:rPr>
        <w:t>të Kushtetutës,</w:t>
      </w:r>
      <w:r w:rsidRPr="006A5396">
        <w:t xml:space="preserve"> </w:t>
      </w:r>
      <w:r w:rsidRPr="006A5396">
        <w:rPr>
          <w:color w:val="000000"/>
        </w:rPr>
        <w:t>individi mund t’i drejtohet Gjykatës me ankim individual kushtetues, vetëm pasi të ketë shteruar të gjitha mjetet juridike për mbrojtjen e të drejtave kushtetuese që ai pretendon se i janë cenuar.</w:t>
      </w:r>
      <w:r w:rsidRPr="006A5396">
        <w:t xml:space="preserve"> Mjetet ligjore konsiderohen të shteruara kur, në varësi të rrethanave të çështjes, rregullat procedurale nuk parashikojnë mjete të tjera ankimi</w:t>
      </w:r>
      <w:r>
        <w:t xml:space="preserve"> </w:t>
      </w:r>
      <w:r>
        <w:rPr>
          <w:i/>
        </w:rPr>
        <w:t>(</w:t>
      </w:r>
      <w:r w:rsidRPr="006A5396">
        <w:rPr>
          <w:i/>
        </w:rPr>
        <w:t xml:space="preserve">shih vendimet nr. 35, datë 01.11.2021; nr. </w:t>
      </w:r>
      <w:r w:rsidRPr="006A5396">
        <w:rPr>
          <w:rFonts w:eastAsia="Calibri"/>
          <w:i/>
        </w:rPr>
        <w:t>33, datë 01.11.2021 të Gjykatës Kushtetuese</w:t>
      </w:r>
      <w:r w:rsidRPr="00217639">
        <w:rPr>
          <w:bCs/>
          <w:i/>
        </w:rPr>
        <w:t>)</w:t>
      </w:r>
      <w:r>
        <w:rPr>
          <w:bCs/>
        </w:rPr>
        <w:t>.</w:t>
      </w:r>
      <w:r w:rsidR="00D021D2">
        <w:rPr>
          <w:bCs/>
        </w:rPr>
        <w:t xml:space="preserve"> </w:t>
      </w:r>
    </w:p>
    <w:p w:rsidR="00217639" w:rsidRPr="00217639" w:rsidRDefault="00D021D2" w:rsidP="009220FD">
      <w:pPr>
        <w:pStyle w:val="ListParagraph"/>
        <w:numPr>
          <w:ilvl w:val="0"/>
          <w:numId w:val="1"/>
        </w:numPr>
        <w:tabs>
          <w:tab w:val="left" w:pos="1080"/>
        </w:tabs>
        <w:ind w:left="0" w:firstLine="720"/>
        <w:jc w:val="both"/>
      </w:pPr>
      <w:r w:rsidRPr="00560526">
        <w:t xml:space="preserve">Sipas Gjykatës, si rregull, ligji zbatohet përmes akteve të organeve publike ose vendimeve gjyqësore, prandaj individi duhet, së pari, t’i kundërshtojë ato para gjykatave kompetente, duke shteruar të gjitha mjetet juridike që parashikon legjislacioni i brendshëm. Kjo ka rëndësi edhe për të provuar se kërkuesi është prekur personalisht, drejtpërdrejt </w:t>
      </w:r>
      <w:r w:rsidRPr="00D059FD">
        <w:t>dhe realisht</w:t>
      </w:r>
      <w:r w:rsidR="00D059FD" w:rsidRPr="00D059FD">
        <w:t xml:space="preserve">. Megjithatë, ligji ka parashikuar edhe rastet kur përmbushja e këtij kriteri është e pamundur (legjislacioni nuk parashikon mjete juridike ose ato janë joefektive). </w:t>
      </w:r>
      <w:r w:rsidR="00D059FD" w:rsidRPr="00D059FD">
        <w:rPr>
          <w:rFonts w:eastAsia="Times New Roman"/>
        </w:rPr>
        <w:t xml:space="preserve">Meqenëse mjeti juridik mund të jetë i ndryshëm, në varësi të llojit të ankimit, efektiviteti i tij vlerësohet jo thjesht nga fakti që është parashikuar me ligj, por edhe nga </w:t>
      </w:r>
      <w:proofErr w:type="spellStart"/>
      <w:r w:rsidR="00D059FD" w:rsidRPr="00D059FD">
        <w:rPr>
          <w:rFonts w:eastAsia="Times New Roman"/>
        </w:rPr>
        <w:t>zbatueshmëria</w:t>
      </w:r>
      <w:proofErr w:type="spellEnd"/>
      <w:r w:rsidR="00D059FD" w:rsidRPr="00D059FD">
        <w:rPr>
          <w:rFonts w:eastAsia="Times New Roman"/>
        </w:rPr>
        <w:t xml:space="preserve"> e tij</w:t>
      </w:r>
      <w:r w:rsidRPr="00560526">
        <w:t xml:space="preserve"> </w:t>
      </w:r>
      <w:r w:rsidRPr="00560526">
        <w:rPr>
          <w:i/>
        </w:rPr>
        <w:t>(</w:t>
      </w:r>
      <w:r>
        <w:rPr>
          <w:i/>
        </w:rPr>
        <w:t>s</w:t>
      </w:r>
      <w:r w:rsidRPr="00560526">
        <w:rPr>
          <w:i/>
        </w:rPr>
        <w:t>hih vendimin nr. 31, datë 04.10.2021 të Gjykatës Kushtetuese)</w:t>
      </w:r>
      <w:r>
        <w:t>.</w:t>
      </w:r>
    </w:p>
    <w:p w:rsidR="00217639" w:rsidRPr="00260AB4" w:rsidRDefault="00217639" w:rsidP="009220FD">
      <w:pPr>
        <w:pStyle w:val="ListParagraph"/>
        <w:numPr>
          <w:ilvl w:val="0"/>
          <w:numId w:val="1"/>
        </w:numPr>
        <w:tabs>
          <w:tab w:val="left" w:pos="1080"/>
        </w:tabs>
        <w:ind w:left="0" w:firstLine="720"/>
        <w:jc w:val="both"/>
      </w:pPr>
      <w:r>
        <w:t xml:space="preserve">Në rastin konkret, </w:t>
      </w:r>
      <w:r w:rsidR="006C7897">
        <w:t xml:space="preserve">Kolegji vëren se </w:t>
      </w:r>
      <w:r>
        <w:t xml:space="preserve">kërkuesja i është </w:t>
      </w:r>
      <w:r w:rsidR="00260AB4">
        <w:t xml:space="preserve">drejtuar </w:t>
      </w:r>
      <w:r w:rsidRPr="006A5396">
        <w:t xml:space="preserve">Gjykatës me ankim kushtetues individual duke </w:t>
      </w:r>
      <w:r w:rsidR="00ED2E72">
        <w:t>kërkuar krahas shfuqizimit të</w:t>
      </w:r>
      <w:r w:rsidR="00260AB4">
        <w:t xml:space="preserve"> </w:t>
      </w:r>
      <w:r w:rsidR="00ED2E72">
        <w:t>vendimit të</w:t>
      </w:r>
      <w:r w:rsidRPr="006A5396">
        <w:t xml:space="preserve"> Kolegjit Administrativ të Gjykatës së Lartë, i cili ka</w:t>
      </w:r>
      <w:r w:rsidR="00260AB4">
        <w:t xml:space="preserve"> vendosur prishjen e vendimit të Gjykatës Administrative të Apelit dhe pushimin e çështjes, edhe </w:t>
      </w:r>
      <w:r w:rsidR="003C21BB">
        <w:t>shfuqizimin e</w:t>
      </w:r>
      <w:r w:rsidR="00260AB4">
        <w:t xml:space="preserve"> shprehjes “si dhe notë mesatare mbi 8 (tetë) për grupin e lëndëve kryesore, ku përfshihen: </w:t>
      </w:r>
      <w:r w:rsidR="00ED685C">
        <w:rPr>
          <w:color w:val="000000"/>
        </w:rPr>
        <w:t>e</w:t>
      </w:r>
      <w:r w:rsidR="00260AB4" w:rsidRPr="00564296">
        <w:rPr>
          <w:color w:val="000000"/>
        </w:rPr>
        <w:t xml:space="preserve"> drejta civile dhe e detyrimeve, </w:t>
      </w:r>
      <w:r w:rsidR="00ED685C">
        <w:rPr>
          <w:color w:val="000000"/>
        </w:rPr>
        <w:t>e</w:t>
      </w:r>
      <w:r w:rsidR="00260AB4" w:rsidRPr="00564296">
        <w:rPr>
          <w:color w:val="000000"/>
        </w:rPr>
        <w:t xml:space="preserve"> drejta penale, (</w:t>
      </w:r>
      <w:r w:rsidR="00ED685C">
        <w:rPr>
          <w:color w:val="000000"/>
        </w:rPr>
        <w:t>p</w:t>
      </w:r>
      <w:r w:rsidR="00260AB4" w:rsidRPr="00564296">
        <w:rPr>
          <w:color w:val="000000"/>
        </w:rPr>
        <w:t xml:space="preserve">jesa e përgjithshme dhe pjesa e posaçme), </w:t>
      </w:r>
      <w:r w:rsidR="00ED685C">
        <w:rPr>
          <w:color w:val="000000"/>
        </w:rPr>
        <w:t>p</w:t>
      </w:r>
      <w:r w:rsidR="00260AB4" w:rsidRPr="00564296">
        <w:rPr>
          <w:color w:val="000000"/>
        </w:rPr>
        <w:t xml:space="preserve">rocedura civile, </w:t>
      </w:r>
      <w:r w:rsidR="00ED685C">
        <w:rPr>
          <w:color w:val="000000"/>
        </w:rPr>
        <w:t>p</w:t>
      </w:r>
      <w:r w:rsidR="00260AB4" w:rsidRPr="00564296">
        <w:rPr>
          <w:color w:val="000000"/>
        </w:rPr>
        <w:t xml:space="preserve">rocedura penale, </w:t>
      </w:r>
      <w:r w:rsidR="00ED685C">
        <w:rPr>
          <w:color w:val="000000"/>
        </w:rPr>
        <w:t>e</w:t>
      </w:r>
      <w:r w:rsidR="00260AB4" w:rsidRPr="00564296">
        <w:rPr>
          <w:color w:val="000000"/>
        </w:rPr>
        <w:t xml:space="preserve"> drejta administrative dhe e drejta kushtetuese</w:t>
      </w:r>
      <w:r w:rsidR="00260AB4">
        <w:rPr>
          <w:color w:val="000000"/>
        </w:rPr>
        <w:t>” në shkronjën “d” të pikës 4 të nenit 10 të Rregullores së Brendshme të Shkollës së Magjistraturës.</w:t>
      </w:r>
    </w:p>
    <w:p w:rsidR="00260AB4" w:rsidRDefault="00ED685C" w:rsidP="009220FD">
      <w:pPr>
        <w:pStyle w:val="ListParagraph"/>
        <w:numPr>
          <w:ilvl w:val="0"/>
          <w:numId w:val="1"/>
        </w:numPr>
        <w:tabs>
          <w:tab w:val="left" w:pos="1080"/>
        </w:tabs>
        <w:ind w:left="0" w:firstLine="720"/>
        <w:jc w:val="both"/>
      </w:pPr>
      <w:r>
        <w:t>Në vendimin e tij</w:t>
      </w:r>
      <w:r w:rsidR="00260AB4">
        <w:t xml:space="preserve"> Kolegji Administrativ i Gjykatës së Lartë ka arsyetuar, ndër të</w:t>
      </w:r>
      <w:r w:rsidR="00D2105D">
        <w:t xml:space="preserve"> tjera:</w:t>
      </w:r>
      <w:r w:rsidR="00260AB4">
        <w:t xml:space="preserve"> </w:t>
      </w:r>
      <w:r w:rsidR="00D2105D" w:rsidRPr="00D2105D">
        <w:rPr>
          <w:i/>
        </w:rPr>
        <w:t>“N</w:t>
      </w:r>
      <w:r w:rsidR="00260AB4" w:rsidRPr="00D2105D">
        <w:rPr>
          <w:i/>
        </w:rPr>
        <w:t xml:space="preserve">eni </w:t>
      </w:r>
      <w:r w:rsidR="00BF6A96" w:rsidRPr="00D2105D">
        <w:rPr>
          <w:i/>
        </w:rPr>
        <w:t xml:space="preserve">15, shkronja “d”, i ligjit nr. 49/2012 ka parashikuar rregullim të posaçëm sa i takon legjitimimit aktiv për goditjen e aktit normativ nënligjor. Vetëm </w:t>
      </w:r>
      <w:r w:rsidR="00D2105D">
        <w:rPr>
          <w:i/>
        </w:rPr>
        <w:t>“</w:t>
      </w:r>
      <w:r w:rsidR="00BF6A96" w:rsidRPr="00D2105D">
        <w:rPr>
          <w:i/>
        </w:rPr>
        <w:t>shoqata</w:t>
      </w:r>
      <w:r w:rsidR="00D2105D">
        <w:rPr>
          <w:i/>
        </w:rPr>
        <w:t>t”</w:t>
      </w:r>
      <w:r w:rsidR="00BF6A96" w:rsidRPr="00D2105D">
        <w:rPr>
          <w:i/>
        </w:rPr>
        <w:t xml:space="preserve"> dhe </w:t>
      </w:r>
      <w:r w:rsidR="00D2105D">
        <w:rPr>
          <w:i/>
        </w:rPr>
        <w:t>“</w:t>
      </w:r>
      <w:r w:rsidR="00BF6A96" w:rsidRPr="00D2105D">
        <w:rPr>
          <w:i/>
        </w:rPr>
        <w:t>grupet e interesit</w:t>
      </w:r>
      <w:r w:rsidR="00D2105D">
        <w:rPr>
          <w:i/>
        </w:rPr>
        <w:t>”</w:t>
      </w:r>
      <w:r w:rsidR="00BF6A96" w:rsidRPr="00D2105D">
        <w:rPr>
          <w:i/>
        </w:rPr>
        <w:t xml:space="preserve"> gëzojnë legjitimitet aktiv për të kundërshtuar në mënyrë abstrakte </w:t>
      </w:r>
      <w:r w:rsidR="00D2105D" w:rsidRPr="00D2105D">
        <w:rPr>
          <w:i/>
        </w:rPr>
        <w:t>aktin normativ nënligjor në Gjykatën Administrative të Apelit.”</w:t>
      </w:r>
      <w:r w:rsidR="00D2105D">
        <w:t xml:space="preserve"> </w:t>
      </w:r>
      <w:r w:rsidR="00D2105D" w:rsidRPr="00D2105D">
        <w:rPr>
          <w:i/>
        </w:rPr>
        <w:t>[...]</w:t>
      </w:r>
      <w:r w:rsidR="0004510C">
        <w:rPr>
          <w:i/>
        </w:rPr>
        <w:t xml:space="preserve"> </w:t>
      </w:r>
      <w:r w:rsidR="00D2105D">
        <w:rPr>
          <w:i/>
        </w:rPr>
        <w:t xml:space="preserve">Gjykata Administrative e Apelit është investuar në gjykim nga një subjekt që nuk legjitimohet t’i drejtohet kësaj gjykate për të kundërshtuar aktin normativ objekt gjykimi. Pala paditëse </w:t>
      </w:r>
      <w:proofErr w:type="spellStart"/>
      <w:r w:rsidR="00D2105D">
        <w:rPr>
          <w:i/>
        </w:rPr>
        <w:t>Klerona</w:t>
      </w:r>
      <w:proofErr w:type="spellEnd"/>
      <w:r w:rsidR="00D2105D">
        <w:rPr>
          <w:i/>
        </w:rPr>
        <w:t xml:space="preserve"> </w:t>
      </w:r>
      <w:proofErr w:type="spellStart"/>
      <w:r w:rsidR="00D2105D">
        <w:rPr>
          <w:i/>
        </w:rPr>
        <w:t>Meçi</w:t>
      </w:r>
      <w:proofErr w:type="spellEnd"/>
      <w:r w:rsidR="00D2105D">
        <w:rPr>
          <w:i/>
        </w:rPr>
        <w:t xml:space="preserve"> është individ dhe si e tillë ajo nuk gëzon tiparet e “grupit të interesit” ose “shoqatës” të kërkuara në mënyrë të posaçme nga neni 15, shkronja d) për ta legjitimuar formalisht atë në gjykim. Paditësja qartësisht ka një mjet tjetër në dispozicion për mbrojtjen e të drejtave të saj individuale, që është padia ndaj aktit zbatues të nxjerrë nga Shkolla e Magjistraturës, në ekzekutim të parashikimit abstrakt të aktit no</w:t>
      </w:r>
      <w:r w:rsidR="0004510C">
        <w:rPr>
          <w:i/>
        </w:rPr>
        <w:t>rmativ nënligjor objekt gjykimi</w:t>
      </w:r>
      <w:r w:rsidR="00D2105D">
        <w:rPr>
          <w:i/>
        </w:rPr>
        <w:t>”</w:t>
      </w:r>
      <w:r w:rsidR="00D021D2">
        <w:rPr>
          <w:i/>
        </w:rPr>
        <w:t xml:space="preserve"> (shih vendimin e Gjykatës së Lartë, paragrafët 18 dhe 26)</w:t>
      </w:r>
      <w:r w:rsidR="00D2105D">
        <w:t>.</w:t>
      </w:r>
    </w:p>
    <w:p w:rsidR="00653681" w:rsidRDefault="0004510C" w:rsidP="0018516F">
      <w:pPr>
        <w:pStyle w:val="ListParagraph"/>
        <w:numPr>
          <w:ilvl w:val="0"/>
          <w:numId w:val="1"/>
        </w:numPr>
        <w:tabs>
          <w:tab w:val="left" w:pos="1080"/>
        </w:tabs>
        <w:ind w:left="0" w:firstLine="720"/>
        <w:jc w:val="both"/>
      </w:pPr>
      <w:r>
        <w:t>Në jurisprudencën e saj</w:t>
      </w:r>
      <w:r w:rsidR="002E6E7B">
        <w:t xml:space="preserve"> Gjykata ka theksuar se </w:t>
      </w:r>
      <w:r w:rsidR="002E6E7B" w:rsidRPr="00C7305F">
        <w:t>kontrolli i respektimit të standardeve kushtetuese është, në radhë të parë, funksion i gjykatave të zakonshme</w:t>
      </w:r>
      <w:r w:rsidR="002E6E7B">
        <w:t xml:space="preserve"> </w:t>
      </w:r>
      <w:r w:rsidR="002E6E7B" w:rsidRPr="00623483">
        <w:rPr>
          <w:i/>
        </w:rPr>
        <w:t>(shih vendimin nr. 2, datë 17.02.2022 të Gjykatës Kushtetuese)</w:t>
      </w:r>
      <w:r w:rsidR="002E6E7B">
        <w:t xml:space="preserve">. </w:t>
      </w:r>
    </w:p>
    <w:p w:rsidR="00653681" w:rsidRDefault="00653681" w:rsidP="0018516F">
      <w:pPr>
        <w:pStyle w:val="ListParagraph"/>
        <w:numPr>
          <w:ilvl w:val="0"/>
          <w:numId w:val="1"/>
        </w:numPr>
        <w:tabs>
          <w:tab w:val="left" w:pos="1080"/>
        </w:tabs>
        <w:ind w:left="0" w:firstLine="720"/>
        <w:jc w:val="both"/>
      </w:pPr>
      <w:r>
        <w:t>Kolegji rithekson se q</w:t>
      </w:r>
      <w:r w:rsidRPr="00AC42C2">
        <w:t>ëllimi i shterimit të mjetit</w:t>
      </w:r>
      <w:r>
        <w:t>,</w:t>
      </w:r>
      <w:r w:rsidRPr="00AC42C2">
        <w:t xml:space="preserve"> para së gjithash, vlen për t’i</w:t>
      </w:r>
      <w:r w:rsidR="00832C08">
        <w:t>u</w:t>
      </w:r>
      <w:r w:rsidRPr="00AC42C2">
        <w:t xml:space="preserve"> ofruar mundësinë e korrigjimit të shkeljes, së pari gjykatave të zakonshme. Ai bazohet në premis</w:t>
      </w:r>
      <w:r>
        <w:t>ën</w:t>
      </w:r>
      <w:r w:rsidRPr="00AC42C2">
        <w:t xml:space="preserve"> se këto gjykata e</w:t>
      </w:r>
      <w:r>
        <w:t xml:space="preserve"> </w:t>
      </w:r>
      <w:r w:rsidRPr="00AC42C2">
        <w:t>kanë mundës</w:t>
      </w:r>
      <w:r>
        <w:t>i</w:t>
      </w:r>
      <w:r w:rsidRPr="00AC42C2">
        <w:t xml:space="preserve">në e </w:t>
      </w:r>
      <w:r>
        <w:t xml:space="preserve">korrigjimit të saj </w:t>
      </w:r>
      <w:r w:rsidRPr="00AC42C2">
        <w:t>dhe se kontrolli ku</w:t>
      </w:r>
      <w:r>
        <w:t>shtetues ka natyr</w:t>
      </w:r>
      <w:r w:rsidR="0018516F">
        <w:t>ë</w:t>
      </w:r>
      <w:r>
        <w:t xml:space="preserve"> </w:t>
      </w:r>
      <w:proofErr w:type="spellStart"/>
      <w:r w:rsidRPr="00AC42C2">
        <w:t>subsidiar</w:t>
      </w:r>
      <w:r>
        <w:t>e</w:t>
      </w:r>
      <w:proofErr w:type="spellEnd"/>
      <w:r w:rsidRPr="00AC42C2">
        <w:t xml:space="preserve">. </w:t>
      </w:r>
      <w:r>
        <w:t>Megjithatë, kjo nuk duhet të jetë vetëm një mundësi që i kërkohet individit të verifikohet formalisht, por duhet që, së pari, gjykatat e zakonshme të kenë kompetencën për të vendosur në lidhje me një çështje të caktuar, të shtruar para tyre për zgjidhje, në kuptimin që çështjet që më pas i nënshtrohen gjykimit kus</w:t>
      </w:r>
      <w:r w:rsidR="0018516F">
        <w:t>htetues të jenë vlerësuar dhe t’</w:t>
      </w:r>
      <w:r>
        <w:t xml:space="preserve">u jetë dhënë një përgjigje përfundimtare nga ato gjykata, në lidhje me </w:t>
      </w:r>
      <w:proofErr w:type="spellStart"/>
      <w:r>
        <w:t>bazueshmërinë</w:t>
      </w:r>
      <w:proofErr w:type="spellEnd"/>
      <w:r>
        <w:t xml:space="preserve"> e tyre. </w:t>
      </w:r>
    </w:p>
    <w:p w:rsidR="00D2105D" w:rsidRDefault="002E6E7B" w:rsidP="009220FD">
      <w:pPr>
        <w:pStyle w:val="ListParagraph"/>
        <w:numPr>
          <w:ilvl w:val="0"/>
          <w:numId w:val="1"/>
        </w:numPr>
        <w:tabs>
          <w:tab w:val="left" w:pos="1080"/>
        </w:tabs>
        <w:ind w:left="0" w:firstLine="720"/>
        <w:jc w:val="both"/>
      </w:pPr>
      <w:r>
        <w:t xml:space="preserve">Në këtë kuptim, në kushtet </w:t>
      </w:r>
      <w:r w:rsidR="00D021D2">
        <w:t xml:space="preserve">kur kërkuesja është bërë me dije nga Gjykata e Lartë për ekzistencën e mjeteve të tjera ligjore në dispozicion për mbrojtjen e të drejtave të saj individuale, </w:t>
      </w:r>
      <w:r w:rsidR="006C7897">
        <w:t>Kolegji vlerëson</w:t>
      </w:r>
      <w:r w:rsidR="00D021D2">
        <w:t xml:space="preserve"> se ajo </w:t>
      </w:r>
      <w:r>
        <w:t xml:space="preserve">nuk ka arritur të </w:t>
      </w:r>
      <w:r w:rsidR="00D021D2">
        <w:t>argumentojë</w:t>
      </w:r>
      <w:r>
        <w:t xml:space="preserve"> </w:t>
      </w:r>
      <w:r w:rsidR="00D021D2">
        <w:t xml:space="preserve">para Gjykatës </w:t>
      </w:r>
      <w:r>
        <w:t xml:space="preserve">se përse </w:t>
      </w:r>
      <w:r w:rsidR="00D021D2">
        <w:t xml:space="preserve">paraqitja e ankimit kushtetues individual </w:t>
      </w:r>
      <w:r>
        <w:t xml:space="preserve">është </w:t>
      </w:r>
      <w:r w:rsidR="00D021D2">
        <w:t xml:space="preserve">mjeti i fundit </w:t>
      </w:r>
      <w:r>
        <w:t xml:space="preserve">në dispozicion të </w:t>
      </w:r>
      <w:r w:rsidR="00ED2E72">
        <w:t>saj</w:t>
      </w:r>
      <w:r>
        <w:t xml:space="preserve"> për mbrojtjen e të drejtave</w:t>
      </w:r>
      <w:r w:rsidR="00ED2E72">
        <w:t xml:space="preserve"> kushtetuese</w:t>
      </w:r>
      <w:r>
        <w:t xml:space="preserve"> që pretendon se i janë cenuar</w:t>
      </w:r>
      <w:r w:rsidR="00796D45">
        <w:t xml:space="preserve">, </w:t>
      </w:r>
      <w:r w:rsidR="0018516F">
        <w:t>ose</w:t>
      </w:r>
      <w:r w:rsidR="00796D45">
        <w:t xml:space="preserve"> </w:t>
      </w:r>
      <w:r w:rsidR="00832C08">
        <w:t>p</w:t>
      </w:r>
      <w:r w:rsidR="00796D45">
        <w:t xml:space="preserve">se gjykatat administrative </w:t>
      </w:r>
      <w:r w:rsidR="00832C08">
        <w:t>janë</w:t>
      </w:r>
      <w:r w:rsidR="00796D45">
        <w:t xml:space="preserve"> mj</w:t>
      </w:r>
      <w:r w:rsidR="00832C08">
        <w:t>ete jo</w:t>
      </w:r>
      <w:r w:rsidR="00796D45">
        <w:t>efektive ndaj aktit zbatues t</w:t>
      </w:r>
      <w:r w:rsidR="00796D45" w:rsidRPr="00BA6E11">
        <w:t>ë</w:t>
      </w:r>
      <w:r w:rsidR="00796D45">
        <w:t xml:space="preserve"> nxjerr</w:t>
      </w:r>
      <w:r w:rsidR="00796D45" w:rsidRPr="00BA6E11">
        <w:t>ë</w:t>
      </w:r>
      <w:r w:rsidR="00796D45">
        <w:t xml:space="preserve"> nga Shkolla e Magjistratur</w:t>
      </w:r>
      <w:r w:rsidR="00796D45" w:rsidRPr="00BA6E11">
        <w:t>ë</w:t>
      </w:r>
      <w:r w:rsidR="00796D45">
        <w:t>s</w:t>
      </w:r>
      <w:r w:rsidR="00D021D2">
        <w:t>.</w:t>
      </w:r>
    </w:p>
    <w:p w:rsidR="00D021D2" w:rsidRDefault="006C7897" w:rsidP="009220FD">
      <w:pPr>
        <w:pStyle w:val="ListParagraph"/>
        <w:numPr>
          <w:ilvl w:val="0"/>
          <w:numId w:val="1"/>
        </w:numPr>
        <w:tabs>
          <w:tab w:val="left" w:pos="1080"/>
        </w:tabs>
        <w:ind w:left="0" w:firstLine="720"/>
        <w:jc w:val="both"/>
      </w:pPr>
      <w:r>
        <w:t>Për sa më lart</w:t>
      </w:r>
      <w:r w:rsidR="00D021D2">
        <w:t xml:space="preserve">, </w:t>
      </w:r>
      <w:r>
        <w:t xml:space="preserve">Kolegji </w:t>
      </w:r>
      <w:r w:rsidR="00D021D2">
        <w:t>çmo</w:t>
      </w:r>
      <w:r>
        <w:t>n</w:t>
      </w:r>
      <w:r w:rsidR="00C47EA5">
        <w:t xml:space="preserve"> se në rastin konkret</w:t>
      </w:r>
      <w:r w:rsidR="00D021D2">
        <w:t xml:space="preserve"> kërkuesja nuk ka shteruar mjetet ligjore efektive në dispozicion </w:t>
      </w:r>
      <w:r w:rsidR="002F5468">
        <w:t>të saj</w:t>
      </w:r>
      <w:r w:rsidR="00D021D2">
        <w:t xml:space="preserve"> në gjykatat e juridiksionit të zakonshëm administrativ, p</w:t>
      </w:r>
      <w:r w:rsidR="00C47EA5">
        <w:t>ërpara se t’i drejtohej</w:t>
      </w:r>
      <w:r w:rsidR="00D021D2">
        <w:t xml:space="preserve"> kësaj Gjykate.</w:t>
      </w:r>
    </w:p>
    <w:p w:rsidR="006C7897" w:rsidRPr="00EF7632" w:rsidRDefault="006C7897" w:rsidP="006C7897">
      <w:pPr>
        <w:numPr>
          <w:ilvl w:val="0"/>
          <w:numId w:val="1"/>
        </w:numPr>
        <w:tabs>
          <w:tab w:val="left" w:pos="990"/>
          <w:tab w:val="left" w:pos="1080"/>
          <w:tab w:val="left" w:pos="1260"/>
        </w:tabs>
        <w:suppressAutoHyphens/>
        <w:ind w:left="0" w:firstLine="720"/>
        <w:jc w:val="both"/>
        <w:outlineLvl w:val="0"/>
        <w:rPr>
          <w:rFonts w:eastAsia="Times New Roman"/>
        </w:rPr>
      </w:pPr>
      <w:r>
        <w:t>Në</w:t>
      </w:r>
      <w:r w:rsidRPr="00FE1BEF">
        <w:rPr>
          <w:bCs/>
        </w:rPr>
        <w:t xml:space="preserve"> përfundim</w:t>
      </w:r>
      <w:r w:rsidRPr="00FE1BEF">
        <w:t xml:space="preserve">, </w:t>
      </w:r>
      <w:r>
        <w:t>Kolegji</w:t>
      </w:r>
      <w:r w:rsidRPr="00FE1BEF">
        <w:t xml:space="preserve"> vlerëson </w:t>
      </w:r>
      <w:r w:rsidRPr="00ED6B42">
        <w:rPr>
          <w:color w:val="000000"/>
        </w:rPr>
        <w:t>se ankimi individual kushtetues nuk plotëson kriteret ligjore</w:t>
      </w:r>
      <w:r>
        <w:rPr>
          <w:color w:val="000000"/>
        </w:rPr>
        <w:t xml:space="preserve"> paraprake</w:t>
      </w:r>
      <w:r w:rsidRPr="00ED6B42">
        <w:rPr>
          <w:color w:val="000000"/>
        </w:rPr>
        <w:t xml:space="preserve"> për pranimin e tij </w:t>
      </w:r>
      <w:r w:rsidRPr="00ED6B42">
        <w:t>për shqyrtim në seancë plenare</w:t>
      </w:r>
      <w:r w:rsidRPr="00FE1BEF">
        <w:rPr>
          <w:bCs/>
        </w:rPr>
        <w:t>.</w:t>
      </w:r>
    </w:p>
    <w:p w:rsidR="006C7897" w:rsidRPr="00E32125" w:rsidRDefault="006C7897" w:rsidP="006C7897">
      <w:pPr>
        <w:pStyle w:val="ListParagraph"/>
        <w:tabs>
          <w:tab w:val="left" w:pos="1080"/>
        </w:tabs>
        <w:jc w:val="both"/>
      </w:pPr>
    </w:p>
    <w:p w:rsidR="006C7897" w:rsidRPr="00523C2D" w:rsidRDefault="006C7897" w:rsidP="006C7897">
      <w:pPr>
        <w:tabs>
          <w:tab w:val="left" w:pos="851"/>
        </w:tabs>
        <w:jc w:val="center"/>
      </w:pPr>
      <w:r w:rsidRPr="00523C2D">
        <w:rPr>
          <w:b/>
        </w:rPr>
        <w:t>PËR KËTO ARSYE,</w:t>
      </w:r>
    </w:p>
    <w:p w:rsidR="006C7897" w:rsidRDefault="006C7897" w:rsidP="006C7897">
      <w:pPr>
        <w:tabs>
          <w:tab w:val="left" w:pos="1080"/>
        </w:tabs>
        <w:jc w:val="both"/>
      </w:pPr>
      <w:r w:rsidRPr="00523C2D">
        <w:tab/>
        <w:t>Kolegji i Gjykatës Kushtetuese të Republikës së Shqipërisë,</w:t>
      </w:r>
      <w:r>
        <w:t xml:space="preserve"> në bazë të neneve</w:t>
      </w:r>
      <w:r w:rsidRPr="00F42EC1">
        <w:t xml:space="preserve"> 31 dhe 31/a, pika 2, shkronja “d”</w:t>
      </w:r>
      <w:r>
        <w:t>,</w:t>
      </w:r>
      <w:r w:rsidRPr="00F42EC1">
        <w:t xml:space="preserve"> </w:t>
      </w:r>
      <w:r>
        <w:t>të</w:t>
      </w:r>
      <w:r w:rsidRPr="00F42EC1">
        <w:t xml:space="preserve"> ligjit nr. 8577, datë 10.02.2000 “Për organizimin dhe funksionimin e Gjykatës Kushtetuese të Republikës së Shqipërisë”, të ndryshuar</w:t>
      </w:r>
      <w:r>
        <w:t xml:space="preserve">, </w:t>
      </w:r>
    </w:p>
    <w:p w:rsidR="006C7897" w:rsidRDefault="006C7897" w:rsidP="006C7897">
      <w:pPr>
        <w:jc w:val="center"/>
        <w:rPr>
          <w:b/>
        </w:rPr>
      </w:pPr>
    </w:p>
    <w:p w:rsidR="006C7897" w:rsidRPr="00523C2D" w:rsidRDefault="006C7897" w:rsidP="006C7897">
      <w:pPr>
        <w:jc w:val="center"/>
        <w:rPr>
          <w:b/>
          <w:u w:val="single"/>
        </w:rPr>
      </w:pPr>
      <w:r w:rsidRPr="00523C2D">
        <w:rPr>
          <w:b/>
        </w:rPr>
        <w:t>V E N D O S I:</w:t>
      </w:r>
    </w:p>
    <w:p w:rsidR="006C7897" w:rsidRPr="00523C2D" w:rsidRDefault="006C7897" w:rsidP="006C7897">
      <w:pPr>
        <w:ind w:firstLine="720"/>
        <w:jc w:val="both"/>
      </w:pPr>
      <w:proofErr w:type="spellStart"/>
      <w:r w:rsidRPr="00523C2D">
        <w:t>Moskalimin</w:t>
      </w:r>
      <w:proofErr w:type="spellEnd"/>
      <w:r w:rsidRPr="00523C2D">
        <w:t xml:space="preserve"> e çështjes për shqyrtim në seancë plenare.</w:t>
      </w:r>
    </w:p>
    <w:p w:rsidR="00F3695C" w:rsidRDefault="00F3695C" w:rsidP="00321701">
      <w:pPr>
        <w:tabs>
          <w:tab w:val="left" w:pos="1080"/>
        </w:tabs>
        <w:jc w:val="both"/>
      </w:pPr>
    </w:p>
    <w:sectPr w:rsidR="00F3695C" w:rsidSect="00ED2E72">
      <w:footerReference w:type="default" r:id="rId8"/>
      <w:pgSz w:w="11906" w:h="16838"/>
      <w:pgMar w:top="1440" w:right="1440" w:bottom="1260" w:left="144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BC" w:rsidRDefault="00564BBC" w:rsidP="009220FD">
      <w:pPr>
        <w:spacing w:line="240" w:lineRule="auto"/>
      </w:pPr>
      <w:r>
        <w:separator/>
      </w:r>
    </w:p>
  </w:endnote>
  <w:endnote w:type="continuationSeparator" w:id="0">
    <w:p w:rsidR="00564BBC" w:rsidRDefault="00564BBC" w:rsidP="00922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A1" w:rsidRPr="007774A1" w:rsidRDefault="007774A1" w:rsidP="007774A1">
    <w:pPr>
      <w:pBdr>
        <w:top w:val="thinThickSmallGap" w:sz="24" w:space="1" w:color="622423"/>
      </w:pBdr>
      <w:tabs>
        <w:tab w:val="center" w:pos="4680"/>
        <w:tab w:val="right" w:pos="9360"/>
      </w:tabs>
      <w:spacing w:line="240" w:lineRule="auto"/>
      <w:jc w:val="both"/>
      <w:rPr>
        <w:rFonts w:ascii="Cambria" w:hAnsi="Cambria"/>
      </w:rPr>
    </w:pPr>
    <w:r w:rsidRPr="007774A1">
      <w:rPr>
        <w:rFonts w:ascii="Cambria" w:hAnsi="Cambria"/>
      </w:rPr>
      <w:t>Vendim i Kolegjit</w:t>
    </w:r>
  </w:p>
  <w:p w:rsidR="007774A1" w:rsidRPr="007774A1" w:rsidRDefault="007774A1" w:rsidP="007774A1">
    <w:pPr>
      <w:pBdr>
        <w:top w:val="thinThickSmallGap" w:sz="24" w:space="1" w:color="622423"/>
      </w:pBdr>
      <w:tabs>
        <w:tab w:val="right" w:pos="9360"/>
      </w:tabs>
      <w:spacing w:line="240" w:lineRule="auto"/>
      <w:jc w:val="both"/>
      <w:rPr>
        <w:rFonts w:ascii="Cambria" w:hAnsi="Cambria"/>
      </w:rPr>
    </w:pPr>
    <w:r w:rsidRPr="007774A1">
      <w:rPr>
        <w:rFonts w:ascii="Cambria" w:hAnsi="Cambria"/>
      </w:rPr>
      <w:t>Kërkues</w:t>
    </w:r>
    <w:r>
      <w:rPr>
        <w:rFonts w:ascii="Cambria" w:hAnsi="Cambria"/>
      </w:rPr>
      <w:t>e</w:t>
    </w:r>
    <w:r w:rsidRPr="007774A1">
      <w:rPr>
        <w:rFonts w:ascii="Cambria" w:hAnsi="Cambria"/>
      </w:rPr>
      <w:t xml:space="preserve">: </w:t>
    </w:r>
    <w:proofErr w:type="spellStart"/>
    <w:r>
      <w:rPr>
        <w:rFonts w:ascii="Cambria" w:hAnsi="Cambria"/>
      </w:rPr>
      <w:t>Klerona</w:t>
    </w:r>
    <w:proofErr w:type="spellEnd"/>
    <w:r>
      <w:rPr>
        <w:rFonts w:ascii="Cambria" w:hAnsi="Cambria"/>
      </w:rPr>
      <w:t xml:space="preserve"> </w:t>
    </w:r>
    <w:proofErr w:type="spellStart"/>
    <w:r>
      <w:rPr>
        <w:rFonts w:ascii="Cambria" w:hAnsi="Cambria"/>
      </w:rPr>
      <w:t>Meçi</w:t>
    </w:r>
    <w:proofErr w:type="spellEnd"/>
    <w:r w:rsidRPr="007774A1">
      <w:rPr>
        <w:rFonts w:ascii="Cambria" w:hAnsi="Cambria"/>
      </w:rPr>
      <w:tab/>
      <w:t xml:space="preserve">Faqe </w:t>
    </w:r>
    <w:r w:rsidRPr="007774A1">
      <w:fldChar w:fldCharType="begin"/>
    </w:r>
    <w:r w:rsidRPr="007774A1">
      <w:instrText xml:space="preserve"> PAGE   \* MERGEFORMAT </w:instrText>
    </w:r>
    <w:r w:rsidRPr="007774A1">
      <w:fldChar w:fldCharType="separate"/>
    </w:r>
    <w:r w:rsidR="00A860D1" w:rsidRPr="00A860D1">
      <w:rPr>
        <w:rFonts w:ascii="Cambria" w:hAnsi="Cambria"/>
        <w:noProof/>
      </w:rPr>
      <w:t>7</w:t>
    </w:r>
    <w:r w:rsidRPr="007774A1">
      <w:fldChar w:fldCharType="end"/>
    </w:r>
  </w:p>
  <w:p w:rsidR="006F0FCE" w:rsidRDefault="006F0FCE" w:rsidP="007774A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BC" w:rsidRDefault="00564BBC" w:rsidP="009220FD">
      <w:pPr>
        <w:spacing w:line="240" w:lineRule="auto"/>
      </w:pPr>
      <w:r>
        <w:separator/>
      </w:r>
    </w:p>
  </w:footnote>
  <w:footnote w:type="continuationSeparator" w:id="0">
    <w:p w:rsidR="00564BBC" w:rsidRDefault="00564BBC" w:rsidP="009220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5A8A"/>
    <w:multiLevelType w:val="multilevel"/>
    <w:tmpl w:val="C69AA512"/>
    <w:lvl w:ilvl="0">
      <w:start w:val="6"/>
      <w:numFmt w:val="decimal"/>
      <w:lvlText w:val="%1."/>
      <w:lvlJc w:val="left"/>
      <w:pPr>
        <w:ind w:left="45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F6361E5"/>
    <w:multiLevelType w:val="hybridMultilevel"/>
    <w:tmpl w:val="9A74E150"/>
    <w:lvl w:ilvl="0" w:tplc="649AFAA8">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B56C27"/>
    <w:multiLevelType w:val="multilevel"/>
    <w:tmpl w:val="D930C194"/>
    <w:lvl w:ilvl="0">
      <w:start w:val="1"/>
      <w:numFmt w:val="decimal"/>
      <w:lvlText w:val="%1."/>
      <w:lvlJc w:val="left"/>
      <w:pPr>
        <w:ind w:left="810" w:hanging="360"/>
      </w:pPr>
      <w:rPr>
        <w:rFonts w:hint="default"/>
        <w:b w:val="0"/>
        <w:i w:val="0"/>
        <w:lang w:val="sq-AL"/>
      </w:rPr>
    </w:lvl>
    <w:lvl w:ilvl="1">
      <w:start w:val="1"/>
      <w:numFmt w:val="decimal"/>
      <w:isLgl/>
      <w:lvlText w:val="%1.%2."/>
      <w:lvlJc w:val="left"/>
      <w:pPr>
        <w:ind w:left="160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324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3" w15:restartNumberingAfterBreak="0">
    <w:nsid w:val="5FED4361"/>
    <w:multiLevelType w:val="multilevel"/>
    <w:tmpl w:val="CE7AB53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74455A14"/>
    <w:multiLevelType w:val="hybridMultilevel"/>
    <w:tmpl w:val="03B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D"/>
    <w:rsid w:val="00000D3C"/>
    <w:rsid w:val="00011C22"/>
    <w:rsid w:val="00012FED"/>
    <w:rsid w:val="0003073F"/>
    <w:rsid w:val="00032B70"/>
    <w:rsid w:val="00035CE4"/>
    <w:rsid w:val="00035D8D"/>
    <w:rsid w:val="00037BA7"/>
    <w:rsid w:val="000443B4"/>
    <w:rsid w:val="0004510C"/>
    <w:rsid w:val="000460A8"/>
    <w:rsid w:val="000646C7"/>
    <w:rsid w:val="0007729C"/>
    <w:rsid w:val="000B4822"/>
    <w:rsid w:val="000C0D05"/>
    <w:rsid w:val="000C4987"/>
    <w:rsid w:val="000C6664"/>
    <w:rsid w:val="000D1379"/>
    <w:rsid w:val="000D4E88"/>
    <w:rsid w:val="000F1FC3"/>
    <w:rsid w:val="0010366C"/>
    <w:rsid w:val="001416ED"/>
    <w:rsid w:val="00156B5A"/>
    <w:rsid w:val="00174218"/>
    <w:rsid w:val="00174A69"/>
    <w:rsid w:val="001775D3"/>
    <w:rsid w:val="0018516F"/>
    <w:rsid w:val="00196EA6"/>
    <w:rsid w:val="001A0ABC"/>
    <w:rsid w:val="001A7071"/>
    <w:rsid w:val="001B08BB"/>
    <w:rsid w:val="001E4720"/>
    <w:rsid w:val="001E4AA4"/>
    <w:rsid w:val="001E7E37"/>
    <w:rsid w:val="00214296"/>
    <w:rsid w:val="00214F27"/>
    <w:rsid w:val="00217639"/>
    <w:rsid w:val="00217B5F"/>
    <w:rsid w:val="002420C5"/>
    <w:rsid w:val="00250DC1"/>
    <w:rsid w:val="00260AB4"/>
    <w:rsid w:val="00266FC1"/>
    <w:rsid w:val="00294BE1"/>
    <w:rsid w:val="002A296B"/>
    <w:rsid w:val="002B585A"/>
    <w:rsid w:val="002C2E1E"/>
    <w:rsid w:val="002D14A2"/>
    <w:rsid w:val="002D6539"/>
    <w:rsid w:val="002E6E7B"/>
    <w:rsid w:val="002F5468"/>
    <w:rsid w:val="00300785"/>
    <w:rsid w:val="00307123"/>
    <w:rsid w:val="00321701"/>
    <w:rsid w:val="003262BD"/>
    <w:rsid w:val="00353FF6"/>
    <w:rsid w:val="00355F96"/>
    <w:rsid w:val="003613C6"/>
    <w:rsid w:val="003727F4"/>
    <w:rsid w:val="003739E3"/>
    <w:rsid w:val="0038290C"/>
    <w:rsid w:val="00382E8F"/>
    <w:rsid w:val="00395EFD"/>
    <w:rsid w:val="003B303B"/>
    <w:rsid w:val="003B434B"/>
    <w:rsid w:val="003B6408"/>
    <w:rsid w:val="003C03DD"/>
    <w:rsid w:val="003C09D3"/>
    <w:rsid w:val="003C21BB"/>
    <w:rsid w:val="003D5DAE"/>
    <w:rsid w:val="003D76FA"/>
    <w:rsid w:val="003E0BDB"/>
    <w:rsid w:val="003E0F47"/>
    <w:rsid w:val="003E3579"/>
    <w:rsid w:val="003E6E7A"/>
    <w:rsid w:val="003F101E"/>
    <w:rsid w:val="003F451D"/>
    <w:rsid w:val="0040550E"/>
    <w:rsid w:val="004215E9"/>
    <w:rsid w:val="00440ED1"/>
    <w:rsid w:val="00443712"/>
    <w:rsid w:val="00454CD6"/>
    <w:rsid w:val="004572B0"/>
    <w:rsid w:val="0046352C"/>
    <w:rsid w:val="00477308"/>
    <w:rsid w:val="004A1352"/>
    <w:rsid w:val="004C3264"/>
    <w:rsid w:val="004C6D72"/>
    <w:rsid w:val="004D0174"/>
    <w:rsid w:val="004D1588"/>
    <w:rsid w:val="004E0607"/>
    <w:rsid w:val="004E1A35"/>
    <w:rsid w:val="004E21FE"/>
    <w:rsid w:val="004F2CE3"/>
    <w:rsid w:val="005169C4"/>
    <w:rsid w:val="00520635"/>
    <w:rsid w:val="00522D56"/>
    <w:rsid w:val="00531998"/>
    <w:rsid w:val="00547D7D"/>
    <w:rsid w:val="005644D8"/>
    <w:rsid w:val="00564BBC"/>
    <w:rsid w:val="005670D8"/>
    <w:rsid w:val="005A4475"/>
    <w:rsid w:val="005B789F"/>
    <w:rsid w:val="005C3FC3"/>
    <w:rsid w:val="005D63F8"/>
    <w:rsid w:val="005E1F0C"/>
    <w:rsid w:val="005E3360"/>
    <w:rsid w:val="005F15AD"/>
    <w:rsid w:val="0060411C"/>
    <w:rsid w:val="00617B3F"/>
    <w:rsid w:val="00624B35"/>
    <w:rsid w:val="00631C7B"/>
    <w:rsid w:val="0064086A"/>
    <w:rsid w:val="00653681"/>
    <w:rsid w:val="0065520F"/>
    <w:rsid w:val="006714DF"/>
    <w:rsid w:val="00690E45"/>
    <w:rsid w:val="006A31DA"/>
    <w:rsid w:val="006B20CE"/>
    <w:rsid w:val="006B2ED4"/>
    <w:rsid w:val="006C5575"/>
    <w:rsid w:val="006C7897"/>
    <w:rsid w:val="006D6457"/>
    <w:rsid w:val="006D795A"/>
    <w:rsid w:val="006D7A00"/>
    <w:rsid w:val="006E5FD2"/>
    <w:rsid w:val="006F0FCE"/>
    <w:rsid w:val="0070371E"/>
    <w:rsid w:val="00710BBC"/>
    <w:rsid w:val="00721206"/>
    <w:rsid w:val="0073675B"/>
    <w:rsid w:val="007774A1"/>
    <w:rsid w:val="00796D45"/>
    <w:rsid w:val="007B1CD1"/>
    <w:rsid w:val="007C4980"/>
    <w:rsid w:val="007D0AEB"/>
    <w:rsid w:val="007F0FAF"/>
    <w:rsid w:val="007F40E7"/>
    <w:rsid w:val="00812366"/>
    <w:rsid w:val="00822AF3"/>
    <w:rsid w:val="00832C08"/>
    <w:rsid w:val="00835EE9"/>
    <w:rsid w:val="00835F58"/>
    <w:rsid w:val="00842678"/>
    <w:rsid w:val="00863B28"/>
    <w:rsid w:val="00875242"/>
    <w:rsid w:val="00886EFA"/>
    <w:rsid w:val="008960DF"/>
    <w:rsid w:val="008E7ED8"/>
    <w:rsid w:val="008F3F2B"/>
    <w:rsid w:val="008F4492"/>
    <w:rsid w:val="008F60BA"/>
    <w:rsid w:val="008F6545"/>
    <w:rsid w:val="00901079"/>
    <w:rsid w:val="00912EE1"/>
    <w:rsid w:val="009220FD"/>
    <w:rsid w:val="00925BAF"/>
    <w:rsid w:val="0093426F"/>
    <w:rsid w:val="00941BFC"/>
    <w:rsid w:val="00957D66"/>
    <w:rsid w:val="00962757"/>
    <w:rsid w:val="00970D0A"/>
    <w:rsid w:val="00977772"/>
    <w:rsid w:val="009807F8"/>
    <w:rsid w:val="00980A1F"/>
    <w:rsid w:val="00983A4E"/>
    <w:rsid w:val="009878C1"/>
    <w:rsid w:val="00987A50"/>
    <w:rsid w:val="009A46D6"/>
    <w:rsid w:val="009D0216"/>
    <w:rsid w:val="009E71FA"/>
    <w:rsid w:val="00A0531D"/>
    <w:rsid w:val="00A0654E"/>
    <w:rsid w:val="00A72D35"/>
    <w:rsid w:val="00A84ABC"/>
    <w:rsid w:val="00A860D1"/>
    <w:rsid w:val="00A91742"/>
    <w:rsid w:val="00A9262C"/>
    <w:rsid w:val="00A954A7"/>
    <w:rsid w:val="00AC2D39"/>
    <w:rsid w:val="00AC5BA6"/>
    <w:rsid w:val="00AD42D6"/>
    <w:rsid w:val="00B06AED"/>
    <w:rsid w:val="00B13191"/>
    <w:rsid w:val="00B146EE"/>
    <w:rsid w:val="00B14E68"/>
    <w:rsid w:val="00B703F9"/>
    <w:rsid w:val="00B74EC9"/>
    <w:rsid w:val="00B77C70"/>
    <w:rsid w:val="00B90323"/>
    <w:rsid w:val="00BE1756"/>
    <w:rsid w:val="00BE4CB9"/>
    <w:rsid w:val="00BF6A96"/>
    <w:rsid w:val="00C02666"/>
    <w:rsid w:val="00C1283E"/>
    <w:rsid w:val="00C216C5"/>
    <w:rsid w:val="00C26C75"/>
    <w:rsid w:val="00C331E2"/>
    <w:rsid w:val="00C355E5"/>
    <w:rsid w:val="00C40A54"/>
    <w:rsid w:val="00C47EA5"/>
    <w:rsid w:val="00CC0BAC"/>
    <w:rsid w:val="00CF3A72"/>
    <w:rsid w:val="00CF6706"/>
    <w:rsid w:val="00D021D2"/>
    <w:rsid w:val="00D059FD"/>
    <w:rsid w:val="00D10DD7"/>
    <w:rsid w:val="00D2105D"/>
    <w:rsid w:val="00D232A6"/>
    <w:rsid w:val="00D3243E"/>
    <w:rsid w:val="00D50E1A"/>
    <w:rsid w:val="00D532CF"/>
    <w:rsid w:val="00D56808"/>
    <w:rsid w:val="00D56BA9"/>
    <w:rsid w:val="00D61087"/>
    <w:rsid w:val="00D61E81"/>
    <w:rsid w:val="00D7239B"/>
    <w:rsid w:val="00D852CF"/>
    <w:rsid w:val="00DB38DF"/>
    <w:rsid w:val="00DC2036"/>
    <w:rsid w:val="00DE365E"/>
    <w:rsid w:val="00DE4206"/>
    <w:rsid w:val="00DF004D"/>
    <w:rsid w:val="00DF5167"/>
    <w:rsid w:val="00E234FA"/>
    <w:rsid w:val="00E32125"/>
    <w:rsid w:val="00E448DD"/>
    <w:rsid w:val="00E44C1D"/>
    <w:rsid w:val="00E45942"/>
    <w:rsid w:val="00E57934"/>
    <w:rsid w:val="00EA3740"/>
    <w:rsid w:val="00EB01B8"/>
    <w:rsid w:val="00EC2BBA"/>
    <w:rsid w:val="00EC44FE"/>
    <w:rsid w:val="00ED2E72"/>
    <w:rsid w:val="00ED685C"/>
    <w:rsid w:val="00EE15FF"/>
    <w:rsid w:val="00EE4B2D"/>
    <w:rsid w:val="00EF538F"/>
    <w:rsid w:val="00EF6E6B"/>
    <w:rsid w:val="00F06697"/>
    <w:rsid w:val="00F3695C"/>
    <w:rsid w:val="00F44ED0"/>
    <w:rsid w:val="00F50046"/>
    <w:rsid w:val="00F54D53"/>
    <w:rsid w:val="00F57D31"/>
    <w:rsid w:val="00F763A6"/>
    <w:rsid w:val="00F87F9F"/>
    <w:rsid w:val="00F94177"/>
    <w:rsid w:val="00FA05D4"/>
    <w:rsid w:val="00FA7359"/>
    <w:rsid w:val="00FC6F45"/>
    <w:rsid w:val="00FF708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BA41"/>
  <w15:chartTrackingRefBased/>
  <w15:docId w15:val="{66438A75-D567-4BE3-A2D4-4C8BE80B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D"/>
  </w:style>
  <w:style w:type="paragraph" w:styleId="Heading1">
    <w:name w:val="heading 1"/>
    <w:basedOn w:val="Normal"/>
    <w:next w:val="Normal"/>
    <w:link w:val="Heading1Char"/>
    <w:uiPriority w:val="9"/>
    <w:qFormat/>
    <w:rsid w:val="00E234F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60DF"/>
    <w:pPr>
      <w:spacing w:line="240" w:lineRule="auto"/>
    </w:pPr>
    <w:rPr>
      <w:sz w:val="20"/>
    </w:rPr>
  </w:style>
  <w:style w:type="character" w:customStyle="1" w:styleId="FootnoteTextChar">
    <w:name w:val="Footnote Text Char"/>
    <w:basedOn w:val="DefaultParagraphFont"/>
    <w:link w:val="FootnoteText"/>
    <w:uiPriority w:val="99"/>
    <w:rsid w:val="008960DF"/>
    <w:rPr>
      <w:sz w:val="20"/>
    </w:rPr>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E234FA"/>
    <w:pPr>
      <w:ind w:left="720"/>
      <w:contextualSpacing/>
    </w:pPr>
  </w:style>
  <w:style w:type="character" w:customStyle="1" w:styleId="ListParagraphChar">
    <w:name w:val="List Paragraph Char"/>
    <w:aliases w:val="List Paragraph2 Char"/>
    <w:basedOn w:val="DefaultParagraphFont"/>
    <w:link w:val="ListParagraph"/>
    <w:uiPriority w:val="34"/>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BodyTextIndent3">
    <w:name w:val="Body Text Indent 3"/>
    <w:basedOn w:val="Normal"/>
    <w:link w:val="BodyTextIndent3Char"/>
    <w:uiPriority w:val="99"/>
    <w:unhideWhenUsed/>
    <w:rsid w:val="009220FD"/>
    <w:pPr>
      <w:ind w:left="2880"/>
      <w:jc w:val="both"/>
    </w:pPr>
    <w:rPr>
      <w:b/>
    </w:rPr>
  </w:style>
  <w:style w:type="character" w:customStyle="1" w:styleId="BodyTextIndent3Char">
    <w:name w:val="Body Text Indent 3 Char"/>
    <w:basedOn w:val="DefaultParagraphFont"/>
    <w:link w:val="BodyTextIndent3"/>
    <w:uiPriority w:val="99"/>
    <w:rsid w:val="009220FD"/>
    <w:rPr>
      <w:b/>
    </w:rPr>
  </w:style>
  <w:style w:type="paragraph" w:styleId="BodyText">
    <w:name w:val="Body Text"/>
    <w:basedOn w:val="Normal"/>
    <w:link w:val="BodyTextChar"/>
    <w:uiPriority w:val="99"/>
    <w:unhideWhenUsed/>
    <w:rsid w:val="00011C22"/>
    <w:pPr>
      <w:spacing w:after="120"/>
    </w:pPr>
  </w:style>
  <w:style w:type="character" w:customStyle="1" w:styleId="BodyTextChar">
    <w:name w:val="Body Text Char"/>
    <w:basedOn w:val="DefaultParagraphFont"/>
    <w:link w:val="BodyText"/>
    <w:uiPriority w:val="99"/>
    <w:rsid w:val="00011C22"/>
  </w:style>
  <w:style w:type="paragraph" w:styleId="BalloonText">
    <w:name w:val="Balloon Text"/>
    <w:basedOn w:val="Normal"/>
    <w:link w:val="BalloonTextChar"/>
    <w:uiPriority w:val="99"/>
    <w:semiHidden/>
    <w:unhideWhenUsed/>
    <w:rsid w:val="00EB0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652A15-0C90-4A03-887E-CFD59D70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SINDIKATA E PAVARUR E USHQIMIT, TREGTISË DHE BANKAVE TË SHQIPËRISË</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Blerina</cp:lastModifiedBy>
  <cp:revision>3</cp:revision>
  <cp:lastPrinted>2022-07-07T09:56:00Z</cp:lastPrinted>
  <dcterms:created xsi:type="dcterms:W3CDTF">2022-07-07T09:56:00Z</dcterms:created>
  <dcterms:modified xsi:type="dcterms:W3CDTF">2022-07-07T11:03:00Z</dcterms:modified>
</cp:coreProperties>
</file>