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48" w:rsidRPr="00F457B9" w:rsidRDefault="00A17E48" w:rsidP="00AE1C36">
      <w:pPr>
        <w:spacing w:after="0" w:line="360" w:lineRule="auto"/>
        <w:rPr>
          <w:rFonts w:ascii="Times New Roman" w:eastAsia="Times New Roman" w:hAnsi="Times New Roman"/>
          <w:b/>
          <w:bCs/>
          <w:sz w:val="24"/>
          <w:szCs w:val="24"/>
          <w:lang w:val="sq-AL"/>
        </w:rPr>
      </w:pPr>
    </w:p>
    <w:p w:rsidR="00A17E48" w:rsidRPr="00F457B9" w:rsidRDefault="002869EC" w:rsidP="002869EC">
      <w:pPr>
        <w:spacing w:after="0" w:line="360" w:lineRule="auto"/>
        <w:jc w:val="center"/>
        <w:rPr>
          <w:rFonts w:ascii="Times New Roman" w:eastAsia="Times New Roman" w:hAnsi="Times New Roman"/>
          <w:b/>
          <w:bCs/>
          <w:sz w:val="24"/>
          <w:szCs w:val="24"/>
          <w:lang w:val="sq-AL"/>
        </w:rPr>
      </w:pPr>
      <w:r>
        <w:rPr>
          <w:rFonts w:ascii="Times New Roman" w:eastAsia="Times New Roman" w:hAnsi="Times New Roman"/>
          <w:b/>
          <w:bCs/>
          <w:sz w:val="24"/>
          <w:szCs w:val="24"/>
          <w:lang w:val="sq-AL"/>
        </w:rPr>
        <w:t xml:space="preserve">Vendim nr. 94 </w:t>
      </w:r>
      <w:r w:rsidRPr="002869EC">
        <w:rPr>
          <w:rFonts w:ascii="Times New Roman" w:eastAsia="Times New Roman" w:hAnsi="Times New Roman"/>
          <w:b/>
          <w:sz w:val="24"/>
          <w:szCs w:val="24"/>
          <w:lang w:val="sq-AL"/>
        </w:rPr>
        <w:t>datë</w:t>
      </w:r>
      <w:r w:rsidRPr="002869EC">
        <w:rPr>
          <w:rFonts w:ascii="Times New Roman" w:eastAsia="Times New Roman" w:hAnsi="Times New Roman"/>
          <w:b/>
          <w:sz w:val="24"/>
          <w:szCs w:val="24"/>
          <w:lang w:val="sq-AL"/>
        </w:rPr>
        <w:t xml:space="preserve"> 14.07.2022</w:t>
      </w:r>
    </w:p>
    <w:p w:rsidR="00A17E48" w:rsidRPr="00F457B9" w:rsidRDefault="00A17E48" w:rsidP="00AE1C36">
      <w:pPr>
        <w:spacing w:after="0" w:line="360" w:lineRule="auto"/>
        <w:ind w:firstLine="567"/>
        <w:jc w:val="both"/>
        <w:rPr>
          <w:rFonts w:ascii="Times New Roman" w:eastAsia="Times New Roman" w:hAnsi="Times New Roman"/>
          <w:b/>
          <w:bCs/>
          <w:sz w:val="24"/>
          <w:szCs w:val="24"/>
          <w:lang w:val="sq-AL"/>
        </w:rPr>
      </w:pPr>
    </w:p>
    <w:p w:rsidR="00A17E48" w:rsidRPr="002869EC" w:rsidRDefault="00A17E48" w:rsidP="002869EC">
      <w:pPr>
        <w:spacing w:after="0" w:line="360" w:lineRule="auto"/>
        <w:jc w:val="both"/>
        <w:rPr>
          <w:rFonts w:ascii="Times New Roman" w:eastAsia="Times New Roman" w:hAnsi="Times New Roman"/>
          <w:sz w:val="24"/>
          <w:szCs w:val="24"/>
          <w:lang w:val="sq-AL"/>
        </w:rPr>
      </w:pPr>
      <w:r w:rsidRPr="00F457B9">
        <w:rPr>
          <w:rFonts w:ascii="Times New Roman" w:eastAsia="Times New Roman" w:hAnsi="Times New Roman"/>
          <w:sz w:val="24"/>
          <w:szCs w:val="24"/>
          <w:lang w:val="sq-AL"/>
        </w:rPr>
        <w:t>Mbledhja e Gjyqtarëve të Gjykatës Kushtetuese të Republikës së Shqipërisë, e përbërë nga:</w:t>
      </w:r>
      <w:r w:rsidR="002869EC">
        <w:rPr>
          <w:rFonts w:ascii="Times New Roman" w:eastAsia="Times New Roman" w:hAnsi="Times New Roman"/>
          <w:sz w:val="24"/>
          <w:szCs w:val="24"/>
          <w:lang w:val="sq-AL"/>
        </w:rPr>
        <w:t xml:space="preserve"> </w:t>
      </w:r>
      <w:r w:rsidRPr="00F457B9">
        <w:rPr>
          <w:rFonts w:ascii="Times New Roman" w:hAnsi="Times New Roman"/>
          <w:sz w:val="24"/>
          <w:szCs w:val="24"/>
          <w:lang w:val="sq-AL"/>
        </w:rPr>
        <w:t>Vitore Tusha,</w:t>
      </w:r>
      <w:r w:rsidRPr="00F457B9">
        <w:rPr>
          <w:rFonts w:ascii="Times New Roman" w:hAnsi="Times New Roman"/>
          <w:sz w:val="24"/>
          <w:szCs w:val="24"/>
          <w:lang w:val="sq-AL"/>
        </w:rPr>
        <w:tab/>
      </w:r>
      <w:r w:rsidR="002869EC">
        <w:rPr>
          <w:rFonts w:ascii="Times New Roman" w:hAnsi="Times New Roman"/>
          <w:sz w:val="24"/>
          <w:szCs w:val="24"/>
          <w:lang w:val="sq-AL"/>
        </w:rPr>
        <w:t xml:space="preserve">Kryetare, </w:t>
      </w:r>
      <w:proofErr w:type="spellStart"/>
      <w:r w:rsidR="002869EC">
        <w:rPr>
          <w:rFonts w:ascii="Times New Roman" w:eastAsia="Times New Roman" w:hAnsi="Times New Roman"/>
          <w:bCs/>
          <w:sz w:val="24"/>
          <w:szCs w:val="24"/>
          <w:lang w:val="sq-AL"/>
        </w:rPr>
        <w:t>Fiona</w:t>
      </w:r>
      <w:proofErr w:type="spellEnd"/>
      <w:r w:rsidR="002869EC">
        <w:rPr>
          <w:rFonts w:ascii="Times New Roman" w:eastAsia="Times New Roman" w:hAnsi="Times New Roman"/>
          <w:bCs/>
          <w:sz w:val="24"/>
          <w:szCs w:val="24"/>
          <w:lang w:val="sq-AL"/>
        </w:rPr>
        <w:t xml:space="preserve"> </w:t>
      </w:r>
      <w:proofErr w:type="spellStart"/>
      <w:r w:rsidR="002869EC">
        <w:rPr>
          <w:rFonts w:ascii="Times New Roman" w:eastAsia="Times New Roman" w:hAnsi="Times New Roman"/>
          <w:bCs/>
          <w:sz w:val="24"/>
          <w:szCs w:val="24"/>
          <w:lang w:val="sq-AL"/>
        </w:rPr>
        <w:t>Papajorgji</w:t>
      </w:r>
      <w:proofErr w:type="spellEnd"/>
      <w:r w:rsidR="002869EC">
        <w:rPr>
          <w:rFonts w:ascii="Times New Roman" w:eastAsia="Times New Roman" w:hAnsi="Times New Roman"/>
          <w:bCs/>
          <w:sz w:val="24"/>
          <w:szCs w:val="24"/>
          <w:lang w:val="sq-AL"/>
        </w:rPr>
        <w:t xml:space="preserve">, </w:t>
      </w:r>
      <w:proofErr w:type="spellStart"/>
      <w:r w:rsidR="002869EC">
        <w:rPr>
          <w:rFonts w:ascii="Times New Roman" w:eastAsia="Times New Roman" w:hAnsi="Times New Roman"/>
          <w:bCs/>
          <w:sz w:val="24"/>
          <w:szCs w:val="24"/>
          <w:lang w:val="sq-AL"/>
        </w:rPr>
        <w:t>Elsa</w:t>
      </w:r>
      <w:proofErr w:type="spellEnd"/>
      <w:r w:rsidR="002869EC">
        <w:rPr>
          <w:rFonts w:ascii="Times New Roman" w:eastAsia="Times New Roman" w:hAnsi="Times New Roman"/>
          <w:bCs/>
          <w:sz w:val="24"/>
          <w:szCs w:val="24"/>
          <w:lang w:val="sq-AL"/>
        </w:rPr>
        <w:t xml:space="preserve"> Toska, Altin </w:t>
      </w:r>
      <w:proofErr w:type="spellStart"/>
      <w:r w:rsidR="002869EC">
        <w:rPr>
          <w:rFonts w:ascii="Times New Roman" w:eastAsia="Times New Roman" w:hAnsi="Times New Roman"/>
          <w:bCs/>
          <w:sz w:val="24"/>
          <w:szCs w:val="24"/>
          <w:lang w:val="sq-AL"/>
        </w:rPr>
        <w:t>Binaj</w:t>
      </w:r>
      <w:proofErr w:type="spellEnd"/>
      <w:r w:rsidR="002869EC">
        <w:rPr>
          <w:rFonts w:ascii="Times New Roman" w:eastAsia="Times New Roman" w:hAnsi="Times New Roman"/>
          <w:bCs/>
          <w:sz w:val="24"/>
          <w:szCs w:val="24"/>
          <w:lang w:val="sq-AL"/>
        </w:rPr>
        <w:t>,</w:t>
      </w:r>
      <w:r w:rsidR="002869EC">
        <w:rPr>
          <w:rFonts w:ascii="Times New Roman" w:eastAsia="Times New Roman" w:hAnsi="Times New Roman"/>
          <w:bCs/>
          <w:sz w:val="24"/>
          <w:szCs w:val="24"/>
          <w:lang w:val="sq-AL"/>
        </w:rPr>
        <w:tab/>
      </w:r>
      <w:proofErr w:type="spellStart"/>
      <w:r w:rsidR="002869EC">
        <w:rPr>
          <w:rFonts w:ascii="Times New Roman" w:eastAsia="Times New Roman" w:hAnsi="Times New Roman"/>
          <w:bCs/>
          <w:sz w:val="24"/>
          <w:szCs w:val="24"/>
          <w:lang w:val="sq-AL"/>
        </w:rPr>
        <w:t>Sandër</w:t>
      </w:r>
      <w:proofErr w:type="spellEnd"/>
      <w:r w:rsidR="002869EC">
        <w:rPr>
          <w:rFonts w:ascii="Times New Roman" w:eastAsia="Times New Roman" w:hAnsi="Times New Roman"/>
          <w:bCs/>
          <w:sz w:val="24"/>
          <w:szCs w:val="24"/>
          <w:lang w:val="sq-AL"/>
        </w:rPr>
        <w:t xml:space="preserve"> Beci, </w:t>
      </w:r>
      <w:proofErr w:type="spellStart"/>
      <w:r w:rsidR="002869EC">
        <w:rPr>
          <w:rFonts w:ascii="Times New Roman" w:eastAsia="Times New Roman" w:hAnsi="Times New Roman"/>
          <w:bCs/>
          <w:sz w:val="24"/>
          <w:szCs w:val="24"/>
          <w:lang w:val="sq-AL"/>
        </w:rPr>
        <w:t>Marsida</w:t>
      </w:r>
      <w:proofErr w:type="spellEnd"/>
      <w:r w:rsidR="002869EC">
        <w:rPr>
          <w:rFonts w:ascii="Times New Roman" w:eastAsia="Times New Roman" w:hAnsi="Times New Roman"/>
          <w:bCs/>
          <w:sz w:val="24"/>
          <w:szCs w:val="24"/>
          <w:lang w:val="sq-AL"/>
        </w:rPr>
        <w:t xml:space="preserve"> </w:t>
      </w:r>
      <w:proofErr w:type="spellStart"/>
      <w:r w:rsidR="002869EC">
        <w:rPr>
          <w:rFonts w:ascii="Times New Roman" w:eastAsia="Times New Roman" w:hAnsi="Times New Roman"/>
          <w:bCs/>
          <w:sz w:val="24"/>
          <w:szCs w:val="24"/>
          <w:lang w:val="sq-AL"/>
        </w:rPr>
        <w:t>Xhaferllari</w:t>
      </w:r>
      <w:proofErr w:type="spellEnd"/>
      <w:r w:rsidR="002869EC">
        <w:rPr>
          <w:rFonts w:ascii="Times New Roman" w:eastAsia="Times New Roman" w:hAnsi="Times New Roman"/>
          <w:bCs/>
          <w:sz w:val="24"/>
          <w:szCs w:val="24"/>
          <w:lang w:val="sq-AL"/>
        </w:rPr>
        <w:t>, anëtar</w:t>
      </w:r>
      <w:r w:rsidR="002869EC" w:rsidRPr="00F457B9">
        <w:rPr>
          <w:rFonts w:ascii="Times New Roman" w:eastAsia="Times New Roman" w:hAnsi="Times New Roman"/>
          <w:sz w:val="24"/>
          <w:szCs w:val="24"/>
          <w:lang w:val="sq-AL"/>
        </w:rPr>
        <w:t>ë</w:t>
      </w:r>
      <w:r w:rsidR="002869EC">
        <w:rPr>
          <w:rFonts w:ascii="Times New Roman" w:eastAsia="Times New Roman" w:hAnsi="Times New Roman"/>
          <w:sz w:val="24"/>
          <w:szCs w:val="24"/>
          <w:lang w:val="sq-AL"/>
        </w:rPr>
        <w:t xml:space="preserve">, </w:t>
      </w:r>
      <w:r w:rsidRPr="00F457B9">
        <w:rPr>
          <w:rFonts w:ascii="Times New Roman" w:eastAsia="Times New Roman" w:hAnsi="Times New Roman"/>
          <w:sz w:val="24"/>
          <w:szCs w:val="24"/>
          <w:lang w:val="sq-AL"/>
        </w:rPr>
        <w:t xml:space="preserve">në datën </w:t>
      </w:r>
      <w:r w:rsidR="007554F5" w:rsidRPr="00F457B9">
        <w:rPr>
          <w:rFonts w:ascii="Times New Roman" w:eastAsia="Times New Roman" w:hAnsi="Times New Roman"/>
          <w:sz w:val="24"/>
          <w:szCs w:val="24"/>
          <w:lang w:val="sq-AL"/>
        </w:rPr>
        <w:t>14</w:t>
      </w:r>
      <w:r w:rsidRPr="00F457B9">
        <w:rPr>
          <w:rFonts w:ascii="Times New Roman" w:eastAsia="Times New Roman" w:hAnsi="Times New Roman"/>
          <w:sz w:val="24"/>
          <w:szCs w:val="24"/>
          <w:lang w:val="sq-AL"/>
        </w:rPr>
        <w:t xml:space="preserve">.07.2022 mori në shqyrtim paraprak </w:t>
      </w:r>
      <w:proofErr w:type="spellStart"/>
      <w:r w:rsidRPr="00F457B9">
        <w:rPr>
          <w:rFonts w:ascii="Times New Roman" w:eastAsia="Times New Roman" w:hAnsi="Times New Roman"/>
          <w:sz w:val="24"/>
          <w:szCs w:val="24"/>
          <w:lang w:val="sq-AL"/>
        </w:rPr>
        <w:t>kërkesn</w:t>
      </w:r>
      <w:proofErr w:type="spellEnd"/>
      <w:r w:rsidRPr="00F457B9">
        <w:rPr>
          <w:rFonts w:ascii="Times New Roman" w:eastAsia="Times New Roman" w:hAnsi="Times New Roman"/>
          <w:sz w:val="24"/>
          <w:szCs w:val="24"/>
          <w:lang w:val="sq-AL"/>
        </w:rPr>
        <w:t xml:space="preserve"> nr.</w:t>
      </w:r>
      <w:r w:rsidRPr="00F457B9">
        <w:rPr>
          <w:rFonts w:ascii="Times New Roman" w:eastAsia="Times New Roman" w:hAnsi="Times New Roman"/>
          <w:bCs/>
          <w:sz w:val="24"/>
          <w:szCs w:val="24"/>
          <w:lang w:val="sq-AL"/>
        </w:rPr>
        <w:t xml:space="preserve"> </w:t>
      </w:r>
      <w:r w:rsidR="006575DE" w:rsidRPr="00F457B9">
        <w:rPr>
          <w:rFonts w:ascii="Times New Roman" w:eastAsia="Times New Roman" w:hAnsi="Times New Roman"/>
          <w:bCs/>
          <w:sz w:val="24"/>
          <w:szCs w:val="24"/>
          <w:lang w:val="sq-AL"/>
        </w:rPr>
        <w:t>8</w:t>
      </w:r>
      <w:r w:rsidRPr="00F457B9">
        <w:rPr>
          <w:rFonts w:ascii="Times New Roman" w:eastAsia="Times New Roman" w:hAnsi="Times New Roman"/>
          <w:bCs/>
          <w:sz w:val="24"/>
          <w:szCs w:val="24"/>
          <w:lang w:val="sq-AL"/>
        </w:rPr>
        <w:t xml:space="preserve"> (GJ) 2022 të </w:t>
      </w:r>
      <w:r w:rsidRPr="00F457B9">
        <w:rPr>
          <w:rFonts w:ascii="Times New Roman" w:eastAsia="Times New Roman" w:hAnsi="Times New Roman"/>
          <w:sz w:val="24"/>
          <w:szCs w:val="24"/>
          <w:lang w:val="sq-AL"/>
        </w:rPr>
        <w:t>Regjistrit Themeltar, që i përket:</w:t>
      </w:r>
    </w:p>
    <w:p w:rsidR="00A17E48" w:rsidRPr="00F457B9" w:rsidRDefault="00A17E48" w:rsidP="00F457B9">
      <w:pPr>
        <w:spacing w:after="0" w:line="360" w:lineRule="auto"/>
        <w:ind w:firstLine="720"/>
        <w:jc w:val="both"/>
        <w:rPr>
          <w:rFonts w:ascii="Times New Roman" w:eastAsia="MS Mincho" w:hAnsi="Times New Roman"/>
          <w:b/>
          <w:sz w:val="24"/>
          <w:szCs w:val="24"/>
          <w:lang w:val="sq-AL"/>
        </w:rPr>
      </w:pPr>
    </w:p>
    <w:p w:rsidR="00A17E48" w:rsidRPr="00F457B9" w:rsidRDefault="00A17E48" w:rsidP="00F457B9">
      <w:pPr>
        <w:pStyle w:val="ListParagraph"/>
        <w:spacing w:after="0" w:line="360" w:lineRule="auto"/>
        <w:ind w:left="2970" w:hanging="2250"/>
        <w:jc w:val="both"/>
        <w:rPr>
          <w:rFonts w:ascii="Times New Roman" w:eastAsia="MS Mincho" w:hAnsi="Times New Roman"/>
          <w:b/>
          <w:sz w:val="24"/>
          <w:szCs w:val="24"/>
          <w:lang w:val="sq-AL"/>
        </w:rPr>
      </w:pPr>
      <w:r w:rsidRPr="00F457B9">
        <w:rPr>
          <w:rFonts w:ascii="Times New Roman" w:eastAsia="MS Mincho" w:hAnsi="Times New Roman"/>
          <w:b/>
          <w:sz w:val="24"/>
          <w:szCs w:val="24"/>
          <w:lang w:val="sq-AL"/>
        </w:rPr>
        <w:t>KËRKUESE:</w:t>
      </w:r>
      <w:r w:rsidRPr="00F457B9">
        <w:rPr>
          <w:rFonts w:ascii="Times New Roman" w:eastAsia="MS Mincho" w:hAnsi="Times New Roman"/>
          <w:b/>
          <w:sz w:val="24"/>
          <w:szCs w:val="24"/>
          <w:lang w:val="sq-AL"/>
        </w:rPr>
        <w:tab/>
        <w:t>GJYKATA E LARTË</w:t>
      </w:r>
    </w:p>
    <w:p w:rsidR="00A17E48" w:rsidRPr="00F457B9" w:rsidRDefault="00A17E48" w:rsidP="00F457B9">
      <w:pPr>
        <w:pStyle w:val="ListParagraph"/>
        <w:spacing w:after="0" w:line="360" w:lineRule="auto"/>
        <w:ind w:left="1080"/>
        <w:jc w:val="both"/>
        <w:rPr>
          <w:rFonts w:ascii="Times New Roman" w:eastAsia="MS Mincho" w:hAnsi="Times New Roman"/>
          <w:b/>
          <w:sz w:val="24"/>
          <w:szCs w:val="24"/>
          <w:lang w:val="sq-AL"/>
        </w:rPr>
      </w:pPr>
      <w:r w:rsidRPr="00F457B9">
        <w:rPr>
          <w:rFonts w:ascii="Times New Roman" w:eastAsia="MS Mincho" w:hAnsi="Times New Roman"/>
          <w:b/>
          <w:sz w:val="24"/>
          <w:szCs w:val="24"/>
          <w:lang w:val="sq-AL"/>
        </w:rPr>
        <w:tab/>
      </w:r>
    </w:p>
    <w:p w:rsidR="00A17E48" w:rsidRPr="00F457B9" w:rsidRDefault="00A17E48" w:rsidP="00F457B9">
      <w:pPr>
        <w:suppressAutoHyphens/>
        <w:spacing w:after="0" w:line="360" w:lineRule="auto"/>
        <w:ind w:left="3060" w:hanging="2340"/>
        <w:jc w:val="both"/>
        <w:outlineLvl w:val="0"/>
        <w:rPr>
          <w:rFonts w:ascii="Times New Roman" w:hAnsi="Times New Roman"/>
          <w:b/>
          <w:sz w:val="24"/>
          <w:szCs w:val="24"/>
          <w:lang w:val="sq-AL"/>
        </w:rPr>
      </w:pPr>
      <w:r w:rsidRPr="00F457B9">
        <w:rPr>
          <w:rFonts w:ascii="Times New Roman" w:eastAsia="MS Mincho" w:hAnsi="Times New Roman"/>
          <w:b/>
          <w:sz w:val="24"/>
          <w:szCs w:val="24"/>
          <w:lang w:val="sq-AL"/>
        </w:rPr>
        <w:t xml:space="preserve">OBJEKTI: </w:t>
      </w:r>
      <w:r w:rsidRPr="00F457B9">
        <w:rPr>
          <w:rFonts w:ascii="Times New Roman" w:eastAsia="MS Mincho" w:hAnsi="Times New Roman"/>
          <w:b/>
          <w:sz w:val="24"/>
          <w:szCs w:val="24"/>
          <w:lang w:val="sq-AL"/>
        </w:rPr>
        <w:tab/>
      </w:r>
      <w:r w:rsidRPr="00F457B9">
        <w:rPr>
          <w:rFonts w:ascii="Times New Roman" w:hAnsi="Times New Roman"/>
          <w:b/>
          <w:sz w:val="24"/>
          <w:szCs w:val="24"/>
          <w:lang w:val="sq-AL" w:eastAsia="fr-FR"/>
        </w:rPr>
        <w:t xml:space="preserve">Shfuqizimi </w:t>
      </w:r>
      <w:r w:rsidR="000621A1" w:rsidRPr="00F457B9">
        <w:rPr>
          <w:rFonts w:ascii="Times New Roman" w:hAnsi="Times New Roman"/>
          <w:b/>
          <w:sz w:val="24"/>
          <w:szCs w:val="24"/>
          <w:lang w:val="sq-AL" w:eastAsia="fr-FR"/>
        </w:rPr>
        <w:t>i</w:t>
      </w:r>
      <w:r w:rsidRPr="00F457B9">
        <w:rPr>
          <w:rFonts w:ascii="Times New Roman" w:hAnsi="Times New Roman"/>
          <w:b/>
          <w:sz w:val="24"/>
          <w:szCs w:val="24"/>
          <w:lang w:val="sq-AL" w:eastAsia="fr-FR"/>
        </w:rPr>
        <w:t xml:space="preserve"> pikës 1 të nenit 13 të ligjit nr. 10076, datë 12.02.2009 “Për sigurimin e detyrueshëm në sektorin e transportit”, </w:t>
      </w:r>
      <w:r w:rsidR="00C67D60">
        <w:rPr>
          <w:rFonts w:ascii="Times New Roman" w:hAnsi="Times New Roman"/>
          <w:b/>
          <w:sz w:val="24"/>
          <w:szCs w:val="24"/>
          <w:lang w:val="sq-AL" w:eastAsia="fr-FR"/>
        </w:rPr>
        <w:t>t</w:t>
      </w:r>
      <w:r w:rsidR="00EA0D1E">
        <w:rPr>
          <w:rFonts w:ascii="Times New Roman" w:hAnsi="Times New Roman"/>
          <w:b/>
          <w:sz w:val="24"/>
          <w:szCs w:val="24"/>
          <w:lang w:val="sq-AL" w:eastAsia="fr-FR"/>
        </w:rPr>
        <w:t>ë</w:t>
      </w:r>
      <w:r w:rsidRPr="00F457B9">
        <w:rPr>
          <w:rFonts w:ascii="Times New Roman" w:hAnsi="Times New Roman"/>
          <w:b/>
          <w:sz w:val="24"/>
          <w:szCs w:val="24"/>
          <w:lang w:val="sq-AL" w:eastAsia="fr-FR"/>
        </w:rPr>
        <w:t xml:space="preserve"> ndryshuar.   </w:t>
      </w:r>
    </w:p>
    <w:p w:rsidR="00A17E48" w:rsidRPr="00F457B9" w:rsidRDefault="00A17E48" w:rsidP="00F457B9">
      <w:pPr>
        <w:pStyle w:val="ListParagraph"/>
        <w:spacing w:after="0" w:line="360" w:lineRule="auto"/>
        <w:ind w:left="1080"/>
        <w:jc w:val="both"/>
        <w:rPr>
          <w:rFonts w:ascii="Times New Roman" w:eastAsia="MS Mincho" w:hAnsi="Times New Roman"/>
          <w:b/>
          <w:sz w:val="24"/>
          <w:szCs w:val="24"/>
          <w:lang w:val="sq-AL"/>
        </w:rPr>
      </w:pPr>
      <w:r w:rsidRPr="00F457B9">
        <w:rPr>
          <w:rFonts w:ascii="Times New Roman" w:eastAsia="MS Mincho" w:hAnsi="Times New Roman"/>
          <w:b/>
          <w:sz w:val="24"/>
          <w:szCs w:val="24"/>
          <w:lang w:val="sq-AL"/>
        </w:rPr>
        <w:tab/>
      </w:r>
    </w:p>
    <w:p w:rsidR="00A17E48" w:rsidRPr="00F457B9" w:rsidRDefault="00A17E48" w:rsidP="00F457B9">
      <w:pPr>
        <w:pStyle w:val="ListParagraph"/>
        <w:spacing w:after="0" w:line="360" w:lineRule="auto"/>
        <w:ind w:left="3060" w:hanging="2340"/>
        <w:jc w:val="both"/>
        <w:rPr>
          <w:rFonts w:ascii="Times New Roman" w:eastAsia="MS Mincho" w:hAnsi="Times New Roman"/>
          <w:sz w:val="24"/>
          <w:szCs w:val="24"/>
          <w:lang w:val="sq-AL"/>
        </w:rPr>
      </w:pPr>
      <w:r w:rsidRPr="00F457B9">
        <w:rPr>
          <w:rFonts w:ascii="Times New Roman" w:eastAsia="MS Mincho" w:hAnsi="Times New Roman"/>
          <w:b/>
          <w:sz w:val="24"/>
          <w:szCs w:val="24"/>
          <w:lang w:val="sq-AL"/>
        </w:rPr>
        <w:t xml:space="preserve">BAZA LIGJORE: </w:t>
      </w:r>
      <w:r w:rsidRPr="00F457B9">
        <w:rPr>
          <w:rFonts w:ascii="Times New Roman" w:eastAsia="MS Mincho" w:hAnsi="Times New Roman"/>
          <w:b/>
          <w:sz w:val="24"/>
          <w:szCs w:val="24"/>
          <w:lang w:val="sq-AL"/>
        </w:rPr>
        <w:tab/>
      </w:r>
      <w:r w:rsidRPr="00F457B9">
        <w:rPr>
          <w:rFonts w:ascii="Times New Roman" w:eastAsia="MS Mincho" w:hAnsi="Times New Roman"/>
          <w:sz w:val="24"/>
          <w:szCs w:val="24"/>
          <w:lang w:val="sq-AL"/>
        </w:rPr>
        <w:t>Neni 145, pika 2</w:t>
      </w:r>
      <w:r w:rsidR="00C67D60">
        <w:rPr>
          <w:rFonts w:ascii="Times New Roman" w:eastAsia="MS Mincho" w:hAnsi="Times New Roman"/>
          <w:sz w:val="24"/>
          <w:szCs w:val="24"/>
          <w:lang w:val="sq-AL"/>
        </w:rPr>
        <w:t>,</w:t>
      </w:r>
      <w:r w:rsidRPr="00F457B9">
        <w:rPr>
          <w:rFonts w:ascii="Times New Roman" w:eastAsia="MS Mincho" w:hAnsi="Times New Roman"/>
          <w:sz w:val="24"/>
          <w:szCs w:val="24"/>
          <w:lang w:val="sq-AL"/>
        </w:rPr>
        <w:t xml:space="preserve"> </w:t>
      </w:r>
      <w:r w:rsidR="00C67D60">
        <w:rPr>
          <w:rFonts w:ascii="Times New Roman" w:eastAsia="MS Mincho" w:hAnsi="Times New Roman"/>
          <w:sz w:val="24"/>
          <w:szCs w:val="24"/>
          <w:lang w:val="sq-AL"/>
        </w:rPr>
        <w:t>i</w:t>
      </w:r>
      <w:r w:rsidRPr="00F457B9">
        <w:rPr>
          <w:rFonts w:ascii="Times New Roman" w:eastAsia="MS Mincho" w:hAnsi="Times New Roman"/>
          <w:sz w:val="24"/>
          <w:szCs w:val="24"/>
          <w:lang w:val="sq-AL"/>
        </w:rPr>
        <w:t xml:space="preserve"> Kushtetutës së Republikës së Shqipërisë; </w:t>
      </w:r>
      <w:r w:rsidRPr="00F457B9">
        <w:rPr>
          <w:rFonts w:ascii="Times New Roman" w:hAnsi="Times New Roman"/>
          <w:sz w:val="24"/>
          <w:szCs w:val="24"/>
          <w:lang w:val="sq-AL" w:eastAsia="sq-AL"/>
        </w:rPr>
        <w:t>ligji nr. 8577, datë 10.02.2000 “</w:t>
      </w:r>
      <w:r w:rsidRPr="00F457B9">
        <w:rPr>
          <w:rFonts w:ascii="Times New Roman" w:hAnsi="Times New Roman"/>
          <w:iCs/>
          <w:sz w:val="24"/>
          <w:szCs w:val="24"/>
          <w:lang w:val="sq-AL" w:eastAsia="sq-AL"/>
        </w:rPr>
        <w:t>Për organizimin dhe funksionimin e Gjykatës Kushtetuese të Republikës së Shqipërisë</w:t>
      </w:r>
      <w:r w:rsidRPr="00F457B9">
        <w:rPr>
          <w:rFonts w:ascii="Times New Roman" w:hAnsi="Times New Roman"/>
          <w:sz w:val="24"/>
          <w:szCs w:val="24"/>
          <w:lang w:val="sq-AL" w:eastAsia="sq-AL"/>
        </w:rPr>
        <w:t xml:space="preserve">”, </w:t>
      </w:r>
      <w:r w:rsidR="00AD2689">
        <w:rPr>
          <w:rFonts w:ascii="Times New Roman" w:hAnsi="Times New Roman"/>
          <w:sz w:val="24"/>
          <w:szCs w:val="24"/>
          <w:lang w:val="sq-AL" w:eastAsia="sq-AL"/>
        </w:rPr>
        <w:t>i</w:t>
      </w:r>
      <w:r w:rsidRPr="00F457B9">
        <w:rPr>
          <w:rFonts w:ascii="Times New Roman" w:hAnsi="Times New Roman"/>
          <w:sz w:val="24"/>
          <w:szCs w:val="24"/>
          <w:lang w:val="sq-AL" w:eastAsia="sq-AL"/>
        </w:rPr>
        <w:t xml:space="preserve"> ndryshuar (</w:t>
      </w:r>
      <w:r w:rsidRPr="00F457B9">
        <w:rPr>
          <w:rFonts w:ascii="Times New Roman" w:hAnsi="Times New Roman"/>
          <w:i/>
          <w:sz w:val="24"/>
          <w:szCs w:val="24"/>
          <w:lang w:val="sq-AL" w:eastAsia="sq-AL"/>
        </w:rPr>
        <w:t>ligji nr. 8577/2000</w:t>
      </w:r>
      <w:r w:rsidRPr="00F457B9">
        <w:rPr>
          <w:rFonts w:ascii="Times New Roman" w:eastAsia="MS Mincho" w:hAnsi="Times New Roman"/>
          <w:sz w:val="24"/>
          <w:szCs w:val="24"/>
          <w:lang w:val="sq-AL"/>
        </w:rPr>
        <w:t xml:space="preserve">). </w:t>
      </w:r>
    </w:p>
    <w:p w:rsidR="00A17E48" w:rsidRPr="00F457B9" w:rsidRDefault="00A17E48" w:rsidP="00F457B9">
      <w:pPr>
        <w:tabs>
          <w:tab w:val="left" w:pos="1080"/>
        </w:tabs>
        <w:spacing w:after="0" w:line="360" w:lineRule="auto"/>
        <w:ind w:left="2880" w:hanging="2160"/>
        <w:contextualSpacing/>
        <w:jc w:val="both"/>
        <w:rPr>
          <w:rFonts w:ascii="Times New Roman" w:eastAsia="Times New Roman" w:hAnsi="Times New Roman"/>
          <w:sz w:val="24"/>
          <w:szCs w:val="24"/>
          <w:lang w:val="sq-AL" w:eastAsia="fr-FR"/>
        </w:rPr>
      </w:pPr>
    </w:p>
    <w:p w:rsidR="00A17E48" w:rsidRPr="00F457B9" w:rsidRDefault="00A17E48" w:rsidP="00F457B9">
      <w:pPr>
        <w:tabs>
          <w:tab w:val="left" w:pos="1080"/>
        </w:tabs>
        <w:suppressAutoHyphens/>
        <w:spacing w:after="0" w:line="360" w:lineRule="auto"/>
        <w:ind w:firstLine="720"/>
        <w:contextualSpacing/>
        <w:jc w:val="both"/>
        <w:outlineLvl w:val="0"/>
        <w:rPr>
          <w:rFonts w:ascii="Times New Roman" w:eastAsia="Times New Roman" w:hAnsi="Times New Roman"/>
          <w:sz w:val="24"/>
          <w:szCs w:val="24"/>
          <w:lang w:val="sq-AL" w:eastAsia="fr-FR"/>
        </w:rPr>
      </w:pPr>
      <w:r w:rsidRPr="00F457B9">
        <w:rPr>
          <w:rFonts w:ascii="Times New Roman" w:eastAsia="Times New Roman" w:hAnsi="Times New Roman"/>
          <w:sz w:val="24"/>
          <w:szCs w:val="24"/>
          <w:lang w:val="sq-AL" w:eastAsia="fr-FR"/>
        </w:rPr>
        <w:t xml:space="preserve">Mbledhja e Gjyqtarëve të Gjykatës Kushtetuese </w:t>
      </w:r>
      <w:r w:rsidRPr="00F457B9">
        <w:rPr>
          <w:rFonts w:ascii="Times New Roman" w:eastAsia="Times New Roman" w:hAnsi="Times New Roman"/>
          <w:sz w:val="24"/>
          <w:szCs w:val="24"/>
          <w:lang w:val="sq-AL"/>
        </w:rPr>
        <w:t>(</w:t>
      </w:r>
      <w:r w:rsidRPr="00F457B9">
        <w:rPr>
          <w:rFonts w:ascii="Times New Roman" w:eastAsia="Times New Roman" w:hAnsi="Times New Roman"/>
          <w:i/>
          <w:sz w:val="24"/>
          <w:szCs w:val="24"/>
          <w:lang w:val="sq-AL"/>
        </w:rPr>
        <w:t>Mbledhja e Gjyqtarëve</w:t>
      </w:r>
      <w:r w:rsidRPr="00F457B9">
        <w:rPr>
          <w:rFonts w:ascii="Times New Roman" w:eastAsia="Times New Roman" w:hAnsi="Times New Roman"/>
          <w:sz w:val="24"/>
          <w:szCs w:val="24"/>
          <w:lang w:val="sq-AL"/>
        </w:rPr>
        <w:t>)</w:t>
      </w:r>
      <w:r w:rsidRPr="00F457B9">
        <w:rPr>
          <w:rFonts w:ascii="Times New Roman" w:eastAsia="Times New Roman" w:hAnsi="Times New Roman"/>
          <w:sz w:val="24"/>
          <w:szCs w:val="24"/>
          <w:lang w:val="sq-AL" w:eastAsia="fr-FR"/>
        </w:rPr>
        <w:t xml:space="preserve">, pasi </w:t>
      </w:r>
      <w:r w:rsidRPr="00F457B9">
        <w:rPr>
          <w:rFonts w:ascii="Times New Roman" w:hAnsi="Times New Roman"/>
          <w:sz w:val="24"/>
          <w:szCs w:val="24"/>
          <w:lang w:val="sq-AL"/>
        </w:rPr>
        <w:t xml:space="preserve">dëgjoi </w:t>
      </w:r>
      <w:proofErr w:type="spellStart"/>
      <w:r w:rsidRPr="00F457B9">
        <w:rPr>
          <w:rFonts w:ascii="Times New Roman" w:hAnsi="Times New Roman"/>
          <w:sz w:val="24"/>
          <w:szCs w:val="24"/>
          <w:lang w:val="sq-AL"/>
        </w:rPr>
        <w:t>relatoren</w:t>
      </w:r>
      <w:proofErr w:type="spellEnd"/>
      <w:r w:rsidRPr="00F457B9">
        <w:rPr>
          <w:rFonts w:ascii="Times New Roman" w:hAnsi="Times New Roman"/>
          <w:sz w:val="24"/>
          <w:szCs w:val="24"/>
          <w:lang w:val="sq-AL"/>
        </w:rPr>
        <w:t xml:space="preserve"> e çështjes </w:t>
      </w:r>
      <w:proofErr w:type="spellStart"/>
      <w:r w:rsidRPr="00F457B9">
        <w:rPr>
          <w:rFonts w:ascii="Times New Roman" w:hAnsi="Times New Roman"/>
          <w:sz w:val="24"/>
          <w:szCs w:val="24"/>
          <w:lang w:val="sq-AL"/>
        </w:rPr>
        <w:t>Marsida</w:t>
      </w:r>
      <w:proofErr w:type="spellEnd"/>
      <w:r w:rsidRPr="00F457B9">
        <w:rPr>
          <w:rFonts w:ascii="Times New Roman" w:hAnsi="Times New Roman"/>
          <w:sz w:val="24"/>
          <w:szCs w:val="24"/>
          <w:lang w:val="sq-AL"/>
        </w:rPr>
        <w:t xml:space="preserve"> </w:t>
      </w:r>
      <w:proofErr w:type="spellStart"/>
      <w:r w:rsidRPr="00F457B9">
        <w:rPr>
          <w:rFonts w:ascii="Times New Roman" w:hAnsi="Times New Roman"/>
          <w:sz w:val="24"/>
          <w:szCs w:val="24"/>
          <w:lang w:val="sq-AL"/>
        </w:rPr>
        <w:t>Xhaferllari</w:t>
      </w:r>
      <w:proofErr w:type="spellEnd"/>
      <w:r w:rsidRPr="00F457B9">
        <w:rPr>
          <w:rFonts w:ascii="Times New Roman" w:eastAsia="Times New Roman" w:hAnsi="Times New Roman"/>
          <w:sz w:val="24"/>
          <w:szCs w:val="24"/>
          <w:lang w:val="sq-AL" w:eastAsia="fr-FR"/>
        </w:rPr>
        <w:t>, shqyrtoi kërkesën, dokumentet shoqëruese dhe diskutoi çështjen në tërësi,</w:t>
      </w:r>
    </w:p>
    <w:p w:rsidR="00A17E48" w:rsidRPr="00F457B9" w:rsidRDefault="00A17E48" w:rsidP="00F457B9">
      <w:pPr>
        <w:tabs>
          <w:tab w:val="left" w:pos="1080"/>
        </w:tabs>
        <w:spacing w:after="0" w:line="360" w:lineRule="auto"/>
        <w:contextualSpacing/>
        <w:jc w:val="center"/>
        <w:rPr>
          <w:rFonts w:ascii="Times New Roman" w:eastAsia="Times New Roman" w:hAnsi="Times New Roman"/>
          <w:sz w:val="24"/>
          <w:szCs w:val="24"/>
          <w:lang w:val="sq-AL" w:eastAsia="fr-FR"/>
        </w:rPr>
      </w:pPr>
    </w:p>
    <w:p w:rsidR="00A17E48" w:rsidRPr="00F457B9" w:rsidRDefault="00A17E48" w:rsidP="00F457B9">
      <w:pPr>
        <w:tabs>
          <w:tab w:val="left" w:pos="1080"/>
        </w:tabs>
        <w:spacing w:after="0" w:line="360" w:lineRule="auto"/>
        <w:contextualSpacing/>
        <w:jc w:val="center"/>
        <w:rPr>
          <w:rFonts w:ascii="Times New Roman" w:eastAsia="Times New Roman" w:hAnsi="Times New Roman"/>
          <w:b/>
          <w:sz w:val="24"/>
          <w:szCs w:val="24"/>
          <w:lang w:val="sq-AL"/>
        </w:rPr>
      </w:pPr>
      <w:r w:rsidRPr="00F457B9">
        <w:rPr>
          <w:rFonts w:ascii="Times New Roman" w:eastAsia="Times New Roman" w:hAnsi="Times New Roman"/>
          <w:b/>
          <w:bCs/>
          <w:sz w:val="24"/>
          <w:szCs w:val="24"/>
          <w:lang w:val="sq-AL"/>
        </w:rPr>
        <w:t>V Ë R E N:</w:t>
      </w:r>
    </w:p>
    <w:p w:rsidR="00A17E48" w:rsidRPr="00F457B9" w:rsidRDefault="00A17E48" w:rsidP="00F457B9">
      <w:pPr>
        <w:spacing w:after="0" w:line="360" w:lineRule="auto"/>
        <w:ind w:left="2970" w:hanging="2970"/>
        <w:contextualSpacing/>
        <w:jc w:val="center"/>
        <w:rPr>
          <w:rFonts w:ascii="Times New Roman" w:eastAsia="MS Mincho" w:hAnsi="Times New Roman"/>
          <w:b/>
          <w:sz w:val="24"/>
          <w:szCs w:val="24"/>
          <w:lang w:val="sq-AL"/>
        </w:rPr>
      </w:pPr>
      <w:r w:rsidRPr="00F457B9">
        <w:rPr>
          <w:rFonts w:ascii="Times New Roman" w:eastAsia="Times New Roman" w:hAnsi="Times New Roman"/>
          <w:b/>
          <w:sz w:val="24"/>
          <w:szCs w:val="24"/>
          <w:lang w:val="sq-AL"/>
        </w:rPr>
        <w:t>I</w:t>
      </w:r>
    </w:p>
    <w:p w:rsidR="00A17E48" w:rsidRPr="00F457B9" w:rsidRDefault="00A17E48" w:rsidP="00F457B9">
      <w:pPr>
        <w:spacing w:after="0" w:line="360" w:lineRule="auto"/>
        <w:jc w:val="center"/>
        <w:rPr>
          <w:rFonts w:ascii="Times New Roman" w:eastAsia="Times New Roman" w:hAnsi="Times New Roman"/>
          <w:b/>
          <w:bCs/>
          <w:sz w:val="24"/>
          <w:szCs w:val="24"/>
          <w:lang w:val="sq-AL"/>
        </w:rPr>
      </w:pPr>
      <w:r w:rsidRPr="00F457B9">
        <w:rPr>
          <w:rFonts w:ascii="Times New Roman" w:eastAsia="Times New Roman" w:hAnsi="Times New Roman"/>
          <w:b/>
          <w:bCs/>
          <w:sz w:val="24"/>
          <w:szCs w:val="24"/>
          <w:lang w:val="sq-AL"/>
        </w:rPr>
        <w:t>Rrethanat e çështjes</w:t>
      </w:r>
    </w:p>
    <w:p w:rsidR="000E7428" w:rsidRPr="00F457B9" w:rsidRDefault="007C0C8E"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bookmarkStart w:id="0" w:name="_Hlk108373500"/>
      <w:r w:rsidRPr="00F457B9">
        <w:rPr>
          <w:rFonts w:ascii="Times New Roman" w:hAnsi="Times New Roman"/>
          <w:sz w:val="24"/>
          <w:szCs w:val="24"/>
          <w:lang w:val="sq-AL" w:eastAsia="fr-FR"/>
        </w:rPr>
        <w:t>Në datën 17.12.2009 ka ndodhur një aksident automobilistik për shkak të veprimeve të</w:t>
      </w:r>
      <w:r w:rsidR="000E7428" w:rsidRPr="00F457B9">
        <w:rPr>
          <w:rFonts w:ascii="Times New Roman" w:hAnsi="Times New Roman"/>
          <w:sz w:val="24"/>
          <w:szCs w:val="24"/>
          <w:lang w:val="sq-AL" w:eastAsia="fr-FR"/>
        </w:rPr>
        <w:t xml:space="preserve"> drejtuesit t</w:t>
      </w:r>
      <w:r w:rsidR="007653EC" w:rsidRPr="00F457B9">
        <w:rPr>
          <w:rFonts w:ascii="Times New Roman" w:hAnsi="Times New Roman"/>
          <w:sz w:val="24"/>
          <w:szCs w:val="24"/>
          <w:lang w:val="sq-AL" w:eastAsia="fr-FR"/>
        </w:rPr>
        <w:t>ë</w:t>
      </w:r>
      <w:r w:rsidRPr="00F457B9">
        <w:rPr>
          <w:rFonts w:ascii="Times New Roman" w:hAnsi="Times New Roman"/>
          <w:sz w:val="24"/>
          <w:szCs w:val="24"/>
          <w:lang w:val="sq-AL" w:eastAsia="fr-FR"/>
        </w:rPr>
        <w:t xml:space="preserve"> një automjeti të siguruar me policën e sigurimit </w:t>
      </w:r>
      <w:r w:rsidR="00DE4FCE" w:rsidRPr="00F457B9">
        <w:rPr>
          <w:rFonts w:ascii="Times New Roman" w:hAnsi="Times New Roman"/>
          <w:sz w:val="24"/>
          <w:szCs w:val="24"/>
          <w:lang w:val="sq-AL" w:eastAsia="fr-FR"/>
        </w:rPr>
        <w:t>t</w:t>
      </w:r>
      <w:r w:rsidR="00F01DB6" w:rsidRPr="00F457B9">
        <w:rPr>
          <w:rFonts w:ascii="Times New Roman" w:hAnsi="Times New Roman"/>
          <w:sz w:val="24"/>
          <w:szCs w:val="24"/>
          <w:lang w:val="sq-AL" w:eastAsia="fr-FR"/>
        </w:rPr>
        <w:t>ë</w:t>
      </w:r>
      <w:r w:rsidR="00DE4FCE" w:rsidRPr="00F457B9">
        <w:rPr>
          <w:rFonts w:ascii="Times New Roman" w:hAnsi="Times New Roman"/>
          <w:sz w:val="24"/>
          <w:szCs w:val="24"/>
          <w:lang w:val="sq-AL" w:eastAsia="fr-FR"/>
        </w:rPr>
        <w:t xml:space="preserve"> </w:t>
      </w:r>
      <w:proofErr w:type="spellStart"/>
      <w:r w:rsidR="00DE4FCE" w:rsidRPr="00F457B9">
        <w:rPr>
          <w:rFonts w:ascii="Times New Roman" w:hAnsi="Times New Roman"/>
          <w:sz w:val="24"/>
          <w:szCs w:val="24"/>
          <w:lang w:val="sq-AL" w:eastAsia="fr-FR"/>
        </w:rPr>
        <w:t>autop</w:t>
      </w:r>
      <w:r w:rsidR="00F01DB6" w:rsidRPr="00F457B9">
        <w:rPr>
          <w:rFonts w:ascii="Times New Roman" w:hAnsi="Times New Roman"/>
          <w:sz w:val="24"/>
          <w:szCs w:val="24"/>
          <w:lang w:val="sq-AL" w:eastAsia="fr-FR"/>
        </w:rPr>
        <w:t>ë</w:t>
      </w:r>
      <w:r w:rsidR="00DE4FCE" w:rsidRPr="00F457B9">
        <w:rPr>
          <w:rFonts w:ascii="Times New Roman" w:hAnsi="Times New Roman"/>
          <w:sz w:val="24"/>
          <w:szCs w:val="24"/>
          <w:lang w:val="sq-AL" w:eastAsia="fr-FR"/>
        </w:rPr>
        <w:t>rgjegj</w:t>
      </w:r>
      <w:r w:rsidR="00F01DB6" w:rsidRPr="00F457B9">
        <w:rPr>
          <w:rFonts w:ascii="Times New Roman" w:hAnsi="Times New Roman"/>
          <w:sz w:val="24"/>
          <w:szCs w:val="24"/>
          <w:lang w:val="sq-AL" w:eastAsia="fr-FR"/>
        </w:rPr>
        <w:t>ë</w:t>
      </w:r>
      <w:r w:rsidR="00DE4FCE" w:rsidRPr="00F457B9">
        <w:rPr>
          <w:rFonts w:ascii="Times New Roman" w:hAnsi="Times New Roman"/>
          <w:sz w:val="24"/>
          <w:szCs w:val="24"/>
          <w:lang w:val="sq-AL" w:eastAsia="fr-FR"/>
        </w:rPr>
        <w:t>sis</w:t>
      </w:r>
      <w:r w:rsidR="00F01DB6" w:rsidRPr="00F457B9">
        <w:rPr>
          <w:rFonts w:ascii="Times New Roman" w:hAnsi="Times New Roman"/>
          <w:sz w:val="24"/>
          <w:szCs w:val="24"/>
          <w:lang w:val="sq-AL" w:eastAsia="fr-FR"/>
        </w:rPr>
        <w:t>ë</w:t>
      </w:r>
      <w:proofErr w:type="spellEnd"/>
      <w:r w:rsidR="00DE4FCE" w:rsidRPr="00F457B9">
        <w:rPr>
          <w:rFonts w:ascii="Times New Roman" w:hAnsi="Times New Roman"/>
          <w:sz w:val="24"/>
          <w:szCs w:val="24"/>
          <w:lang w:val="sq-AL" w:eastAsia="fr-FR"/>
        </w:rPr>
        <w:t xml:space="preserve"> ndaj pal</w:t>
      </w:r>
      <w:r w:rsidR="00F01DB6" w:rsidRPr="00F457B9">
        <w:rPr>
          <w:rFonts w:ascii="Times New Roman" w:hAnsi="Times New Roman"/>
          <w:sz w:val="24"/>
          <w:szCs w:val="24"/>
          <w:lang w:val="sq-AL" w:eastAsia="fr-FR"/>
        </w:rPr>
        <w:t>ë</w:t>
      </w:r>
      <w:r w:rsidR="00DE4FCE" w:rsidRPr="00F457B9">
        <w:rPr>
          <w:rFonts w:ascii="Times New Roman" w:hAnsi="Times New Roman"/>
          <w:sz w:val="24"/>
          <w:szCs w:val="24"/>
          <w:lang w:val="sq-AL" w:eastAsia="fr-FR"/>
        </w:rPr>
        <w:t>ve t</w:t>
      </w:r>
      <w:r w:rsidR="00F01DB6" w:rsidRPr="00F457B9">
        <w:rPr>
          <w:rFonts w:ascii="Times New Roman" w:hAnsi="Times New Roman"/>
          <w:sz w:val="24"/>
          <w:szCs w:val="24"/>
          <w:lang w:val="sq-AL" w:eastAsia="fr-FR"/>
        </w:rPr>
        <w:t>ë</w:t>
      </w:r>
      <w:r w:rsidR="00DE4FCE" w:rsidRPr="00F457B9">
        <w:rPr>
          <w:rFonts w:ascii="Times New Roman" w:hAnsi="Times New Roman"/>
          <w:sz w:val="24"/>
          <w:szCs w:val="24"/>
          <w:lang w:val="sq-AL" w:eastAsia="fr-FR"/>
        </w:rPr>
        <w:t xml:space="preserve"> treta (</w:t>
      </w:r>
      <w:r w:rsidRPr="00F457B9">
        <w:rPr>
          <w:rFonts w:ascii="Times New Roman" w:hAnsi="Times New Roman"/>
          <w:sz w:val="24"/>
          <w:szCs w:val="24"/>
          <w:lang w:val="sq-AL" w:eastAsia="fr-FR"/>
        </w:rPr>
        <w:t>TPL</w:t>
      </w:r>
      <w:r w:rsidR="00DE4FCE" w:rsidRPr="00F457B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për periudhën 31.12.2008 - 31.12.2009. Si pasojë e aksidentit automobilistik kanë humbur jetën dy shtetas.</w:t>
      </w:r>
      <w:r w:rsidR="000E7428" w:rsidRPr="00F457B9">
        <w:rPr>
          <w:rFonts w:ascii="Times New Roman" w:hAnsi="Times New Roman"/>
          <w:sz w:val="24"/>
          <w:szCs w:val="24"/>
          <w:lang w:val="sq-AL" w:eastAsia="fr-FR"/>
        </w:rPr>
        <w:t xml:space="preserve"> </w:t>
      </w:r>
    </w:p>
    <w:p w:rsidR="007C0C8E" w:rsidRPr="00F457B9" w:rsidRDefault="000E7428"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eastAsia="fr-FR"/>
        </w:rPr>
        <w:t>S</w:t>
      </w:r>
      <w:r w:rsidR="007C0C8E" w:rsidRPr="00F457B9">
        <w:rPr>
          <w:rFonts w:ascii="Times New Roman" w:hAnsi="Times New Roman"/>
          <w:sz w:val="24"/>
          <w:szCs w:val="24"/>
          <w:lang w:val="sq-AL" w:eastAsia="fr-FR"/>
        </w:rPr>
        <w:t xml:space="preserve">hoqëria </w:t>
      </w:r>
      <w:r w:rsidRPr="00F457B9">
        <w:rPr>
          <w:rFonts w:ascii="Times New Roman" w:hAnsi="Times New Roman"/>
          <w:sz w:val="24"/>
          <w:szCs w:val="24"/>
          <w:lang w:val="sq-AL" w:eastAsia="fr-FR"/>
        </w:rPr>
        <w:t xml:space="preserve">e sigurimeve </w:t>
      </w:r>
      <w:r w:rsidR="007C0C8E" w:rsidRPr="00F457B9">
        <w:rPr>
          <w:rFonts w:ascii="Times New Roman" w:hAnsi="Times New Roman"/>
          <w:sz w:val="24"/>
          <w:szCs w:val="24"/>
          <w:lang w:val="sq-AL" w:eastAsia="fr-FR"/>
        </w:rPr>
        <w:t>“</w:t>
      </w:r>
      <w:proofErr w:type="spellStart"/>
      <w:r w:rsidR="007C0C8E" w:rsidRPr="00F457B9">
        <w:rPr>
          <w:rFonts w:ascii="Times New Roman" w:hAnsi="Times New Roman"/>
          <w:sz w:val="24"/>
          <w:szCs w:val="24"/>
          <w:lang w:val="sq-AL" w:eastAsia="fr-FR"/>
        </w:rPr>
        <w:t>Sigma</w:t>
      </w:r>
      <w:proofErr w:type="spellEnd"/>
      <w:r w:rsidR="007C0C8E" w:rsidRPr="00F457B9">
        <w:rPr>
          <w:rFonts w:ascii="Times New Roman" w:hAnsi="Times New Roman"/>
          <w:sz w:val="24"/>
          <w:szCs w:val="24"/>
          <w:lang w:val="sq-AL" w:eastAsia="fr-FR"/>
        </w:rPr>
        <w:t xml:space="preserve">” </w:t>
      </w:r>
      <w:proofErr w:type="spellStart"/>
      <w:r w:rsidR="007C0C8E" w:rsidRPr="00F457B9">
        <w:rPr>
          <w:rFonts w:ascii="Times New Roman" w:hAnsi="Times New Roman"/>
          <w:sz w:val="24"/>
          <w:szCs w:val="24"/>
          <w:lang w:val="sq-AL" w:eastAsia="fr-FR"/>
        </w:rPr>
        <w:t>sh</w:t>
      </w:r>
      <w:r w:rsidR="00AD2689">
        <w:rPr>
          <w:rFonts w:ascii="Times New Roman" w:hAnsi="Times New Roman"/>
          <w:sz w:val="24"/>
          <w:szCs w:val="24"/>
          <w:lang w:val="sq-AL" w:eastAsia="fr-FR"/>
        </w:rPr>
        <w:t>.</w:t>
      </w:r>
      <w:r w:rsidR="007C0C8E" w:rsidRPr="00F457B9">
        <w:rPr>
          <w:rFonts w:ascii="Times New Roman" w:hAnsi="Times New Roman"/>
          <w:sz w:val="24"/>
          <w:szCs w:val="24"/>
          <w:lang w:val="sq-AL" w:eastAsia="fr-FR"/>
        </w:rPr>
        <w:t>a</w:t>
      </w:r>
      <w:proofErr w:type="spellEnd"/>
      <w:r w:rsidR="00AD2689">
        <w:rPr>
          <w:rFonts w:ascii="Times New Roman" w:hAnsi="Times New Roman"/>
          <w:sz w:val="24"/>
          <w:szCs w:val="24"/>
          <w:lang w:val="sq-AL" w:eastAsia="fr-FR"/>
        </w:rPr>
        <w:t>.</w:t>
      </w:r>
      <w:r w:rsidR="007C0C8E" w:rsidRPr="00F457B9">
        <w:rPr>
          <w:rFonts w:ascii="Times New Roman" w:hAnsi="Times New Roman"/>
          <w:sz w:val="24"/>
          <w:szCs w:val="24"/>
          <w:lang w:val="sq-AL" w:eastAsia="fr-FR"/>
        </w:rPr>
        <w:t xml:space="preserve"> i ka shpërblyer </w:t>
      </w:r>
      <w:r w:rsidRPr="00F457B9">
        <w:rPr>
          <w:rFonts w:ascii="Times New Roman" w:hAnsi="Times New Roman"/>
          <w:sz w:val="24"/>
          <w:szCs w:val="24"/>
          <w:lang w:val="sq-AL" w:eastAsia="fr-FR"/>
        </w:rPr>
        <w:t>trash</w:t>
      </w:r>
      <w:r w:rsidR="007653EC" w:rsidRPr="00F457B9">
        <w:rPr>
          <w:rFonts w:ascii="Times New Roman" w:hAnsi="Times New Roman"/>
          <w:sz w:val="24"/>
          <w:szCs w:val="24"/>
          <w:lang w:val="sq-AL" w:eastAsia="fr-FR"/>
        </w:rPr>
        <w:t>ë</w:t>
      </w:r>
      <w:r w:rsidRPr="00F457B9">
        <w:rPr>
          <w:rFonts w:ascii="Times New Roman" w:hAnsi="Times New Roman"/>
          <w:sz w:val="24"/>
          <w:szCs w:val="24"/>
          <w:lang w:val="sq-AL" w:eastAsia="fr-FR"/>
        </w:rPr>
        <w:t>gimtar</w:t>
      </w:r>
      <w:r w:rsidR="007653EC" w:rsidRPr="00F457B9">
        <w:rPr>
          <w:rFonts w:ascii="Times New Roman" w:hAnsi="Times New Roman"/>
          <w:sz w:val="24"/>
          <w:szCs w:val="24"/>
          <w:lang w:val="sq-AL" w:eastAsia="fr-FR"/>
        </w:rPr>
        <w:t>ë</w:t>
      </w:r>
      <w:r w:rsidRPr="00F457B9">
        <w:rPr>
          <w:rFonts w:ascii="Times New Roman" w:hAnsi="Times New Roman"/>
          <w:sz w:val="24"/>
          <w:szCs w:val="24"/>
          <w:lang w:val="sq-AL" w:eastAsia="fr-FR"/>
        </w:rPr>
        <w:t xml:space="preserve">t </w:t>
      </w:r>
      <w:r w:rsidR="00FB630B" w:rsidRPr="00F457B9">
        <w:rPr>
          <w:rFonts w:ascii="Times New Roman" w:hAnsi="Times New Roman"/>
          <w:sz w:val="24"/>
          <w:szCs w:val="24"/>
          <w:lang w:val="sq-AL" w:eastAsia="fr-FR"/>
        </w:rPr>
        <w:t xml:space="preserve">e viktimave </w:t>
      </w:r>
      <w:r w:rsidR="007C0C8E" w:rsidRPr="00F457B9">
        <w:rPr>
          <w:rFonts w:ascii="Times New Roman" w:hAnsi="Times New Roman"/>
          <w:sz w:val="24"/>
          <w:szCs w:val="24"/>
          <w:lang w:val="sq-AL" w:eastAsia="fr-FR"/>
        </w:rPr>
        <w:t xml:space="preserve">për dëmin e pësuar </w:t>
      </w:r>
      <w:r w:rsidR="0086654C" w:rsidRPr="00F457B9">
        <w:rPr>
          <w:rFonts w:ascii="Times New Roman" w:hAnsi="Times New Roman"/>
          <w:sz w:val="24"/>
          <w:szCs w:val="24"/>
          <w:lang w:val="sq-AL" w:eastAsia="fr-FR"/>
        </w:rPr>
        <w:t>nga</w:t>
      </w:r>
      <w:r w:rsidR="007C0C8E" w:rsidRPr="00F457B9">
        <w:rPr>
          <w:rFonts w:ascii="Times New Roman" w:hAnsi="Times New Roman"/>
          <w:sz w:val="24"/>
          <w:szCs w:val="24"/>
          <w:lang w:val="sq-AL" w:eastAsia="fr-FR"/>
        </w:rPr>
        <w:t xml:space="preserve"> humbj</w:t>
      </w:r>
      <w:r w:rsidR="0086654C" w:rsidRPr="00F457B9">
        <w:rPr>
          <w:rFonts w:ascii="Times New Roman" w:hAnsi="Times New Roman"/>
          <w:sz w:val="24"/>
          <w:szCs w:val="24"/>
          <w:lang w:val="sq-AL" w:eastAsia="fr-FR"/>
        </w:rPr>
        <w:t>a</w:t>
      </w:r>
      <w:r w:rsidR="007C0C8E" w:rsidRPr="00F457B9">
        <w:rPr>
          <w:rFonts w:ascii="Times New Roman" w:hAnsi="Times New Roman"/>
          <w:sz w:val="24"/>
          <w:szCs w:val="24"/>
          <w:lang w:val="sq-AL" w:eastAsia="fr-FR"/>
        </w:rPr>
        <w:t xml:space="preserve"> e jetës së dy trashëgimlënësve</w:t>
      </w:r>
      <w:r w:rsidR="00FB630B" w:rsidRPr="00F457B9">
        <w:rPr>
          <w:rFonts w:ascii="Times New Roman" w:hAnsi="Times New Roman"/>
          <w:sz w:val="24"/>
          <w:szCs w:val="24"/>
          <w:lang w:val="sq-AL" w:eastAsia="fr-FR"/>
        </w:rPr>
        <w:t>,</w:t>
      </w:r>
      <w:r w:rsidR="007C0C8E" w:rsidRPr="00F457B9">
        <w:rPr>
          <w:rFonts w:ascii="Times New Roman" w:hAnsi="Times New Roman"/>
          <w:sz w:val="24"/>
          <w:szCs w:val="24"/>
          <w:lang w:val="sq-AL" w:eastAsia="fr-FR"/>
        </w:rPr>
        <w:t xml:space="preserve"> respektivisht</w:t>
      </w:r>
      <w:r w:rsidR="0052329D" w:rsidRPr="00F457B9">
        <w:rPr>
          <w:rFonts w:ascii="Times New Roman" w:hAnsi="Times New Roman"/>
          <w:sz w:val="24"/>
          <w:szCs w:val="24"/>
          <w:lang w:val="sq-AL" w:eastAsia="fr-FR"/>
        </w:rPr>
        <w:t xml:space="preserve"> në shumat 3.348.000 lekë dhe 3.</w:t>
      </w:r>
      <w:r w:rsidR="007C0C8E" w:rsidRPr="00F457B9">
        <w:rPr>
          <w:rFonts w:ascii="Times New Roman" w:hAnsi="Times New Roman"/>
          <w:sz w:val="24"/>
          <w:szCs w:val="24"/>
          <w:lang w:val="sq-AL" w:eastAsia="fr-FR"/>
        </w:rPr>
        <w:t>209</w:t>
      </w:r>
      <w:r w:rsidR="0052329D" w:rsidRPr="00F457B9">
        <w:rPr>
          <w:rFonts w:ascii="Times New Roman" w:hAnsi="Times New Roman"/>
          <w:sz w:val="24"/>
          <w:szCs w:val="24"/>
          <w:lang w:val="sq-AL" w:eastAsia="fr-FR"/>
        </w:rPr>
        <w:t>.</w:t>
      </w:r>
      <w:r w:rsidR="007C0C8E" w:rsidRPr="00F457B9">
        <w:rPr>
          <w:rFonts w:ascii="Times New Roman" w:hAnsi="Times New Roman"/>
          <w:sz w:val="24"/>
          <w:szCs w:val="24"/>
          <w:lang w:val="sq-AL" w:eastAsia="fr-FR"/>
        </w:rPr>
        <w:t xml:space="preserve">300 lekë. Vlera e dëmit është përllogaritur në bazë të ligjit nr. </w:t>
      </w:r>
      <w:r w:rsidR="007C0C8E" w:rsidRPr="00F457B9">
        <w:rPr>
          <w:rFonts w:ascii="Times New Roman" w:hAnsi="Times New Roman"/>
          <w:sz w:val="24"/>
          <w:szCs w:val="24"/>
          <w:lang w:val="sq-AL"/>
        </w:rPr>
        <w:t>10076, datë 12.02.2009 “Për sigurimin e detyrueshëm në sektorin e transportit”, i ndryshuar (</w:t>
      </w:r>
      <w:r w:rsidR="007C0C8E" w:rsidRPr="00F457B9">
        <w:rPr>
          <w:rFonts w:ascii="Times New Roman" w:hAnsi="Times New Roman"/>
          <w:i/>
          <w:sz w:val="24"/>
          <w:szCs w:val="24"/>
          <w:lang w:val="sq-AL"/>
        </w:rPr>
        <w:t>ligji nr. 10076/2009</w:t>
      </w:r>
      <w:r w:rsidR="007C0C8E" w:rsidRPr="00F457B9">
        <w:rPr>
          <w:rFonts w:ascii="Times New Roman" w:hAnsi="Times New Roman"/>
          <w:sz w:val="24"/>
          <w:szCs w:val="24"/>
          <w:lang w:val="sq-AL"/>
        </w:rPr>
        <w:t>). Ky ligj, ndër të tjera, rregullon</w:t>
      </w:r>
      <w:r w:rsidR="00DE4FCE" w:rsidRPr="00F457B9">
        <w:rPr>
          <w:rFonts w:ascii="Times New Roman" w:hAnsi="Times New Roman"/>
          <w:sz w:val="24"/>
          <w:szCs w:val="24"/>
          <w:lang w:val="sq-AL"/>
        </w:rPr>
        <w:t>te</w:t>
      </w:r>
      <w:r w:rsidR="007C0C8E" w:rsidRPr="00F457B9">
        <w:rPr>
          <w:rFonts w:ascii="Times New Roman" w:hAnsi="Times New Roman"/>
          <w:sz w:val="24"/>
          <w:szCs w:val="24"/>
          <w:lang w:val="sq-AL"/>
        </w:rPr>
        <w:t xml:space="preserve"> sigurimin e përgjegjësisë së pronarit ose të përdoruesit të mjetit motorik</w:t>
      </w:r>
      <w:r w:rsidR="00EA0D1E">
        <w:rPr>
          <w:rFonts w:ascii="Times New Roman" w:hAnsi="Times New Roman"/>
          <w:sz w:val="24"/>
          <w:szCs w:val="24"/>
          <w:lang w:val="sq-AL"/>
        </w:rPr>
        <w:t xml:space="preserve"> për dëmet që </w:t>
      </w:r>
      <w:r w:rsidR="00AD2689">
        <w:rPr>
          <w:rFonts w:ascii="Times New Roman" w:hAnsi="Times New Roman"/>
          <w:sz w:val="24"/>
          <w:szCs w:val="24"/>
          <w:lang w:val="sq-AL"/>
        </w:rPr>
        <w:t>u</w:t>
      </w:r>
      <w:r w:rsidR="007C0C8E" w:rsidRPr="00F457B9">
        <w:rPr>
          <w:rFonts w:ascii="Times New Roman" w:hAnsi="Times New Roman"/>
          <w:sz w:val="24"/>
          <w:szCs w:val="24"/>
          <w:lang w:val="sq-AL"/>
        </w:rPr>
        <w:t xml:space="preserve"> shkaktohen të </w:t>
      </w:r>
      <w:proofErr w:type="spellStart"/>
      <w:r w:rsidR="007C0C8E" w:rsidRPr="00F457B9">
        <w:rPr>
          <w:rFonts w:ascii="Times New Roman" w:hAnsi="Times New Roman"/>
          <w:sz w:val="24"/>
          <w:szCs w:val="24"/>
          <w:lang w:val="sq-AL"/>
        </w:rPr>
        <w:t>tretëve</w:t>
      </w:r>
      <w:proofErr w:type="spellEnd"/>
      <w:r w:rsidR="007C0C8E" w:rsidRPr="00F457B9">
        <w:rPr>
          <w:rFonts w:ascii="Times New Roman" w:hAnsi="Times New Roman"/>
          <w:sz w:val="24"/>
          <w:szCs w:val="24"/>
          <w:lang w:val="sq-AL"/>
        </w:rPr>
        <w:t xml:space="preserve"> nga përdorimi i mjetit. Ligji përcakton</w:t>
      </w:r>
      <w:r w:rsidR="0077112B" w:rsidRPr="00F457B9">
        <w:rPr>
          <w:rFonts w:ascii="Times New Roman" w:hAnsi="Times New Roman"/>
          <w:sz w:val="24"/>
          <w:szCs w:val="24"/>
          <w:lang w:val="sq-AL"/>
        </w:rPr>
        <w:t>te</w:t>
      </w:r>
      <w:r w:rsidR="007C0C8E" w:rsidRPr="00F457B9">
        <w:rPr>
          <w:rFonts w:ascii="Times New Roman" w:hAnsi="Times New Roman"/>
          <w:sz w:val="24"/>
          <w:szCs w:val="24"/>
          <w:lang w:val="sq-AL"/>
        </w:rPr>
        <w:t xml:space="preserve"> Autoritetin e Mbikëqyrjes Financiare (</w:t>
      </w:r>
      <w:r w:rsidR="007C0C8E" w:rsidRPr="00F457B9">
        <w:rPr>
          <w:rFonts w:ascii="Times New Roman" w:hAnsi="Times New Roman"/>
          <w:i/>
          <w:sz w:val="24"/>
          <w:szCs w:val="24"/>
          <w:lang w:val="sq-AL"/>
        </w:rPr>
        <w:t>AMF</w:t>
      </w:r>
      <w:r w:rsidR="00AD2689">
        <w:rPr>
          <w:rFonts w:ascii="Times New Roman" w:hAnsi="Times New Roman"/>
          <w:sz w:val="24"/>
          <w:szCs w:val="24"/>
          <w:lang w:val="sq-AL"/>
        </w:rPr>
        <w:t xml:space="preserve">) </w:t>
      </w:r>
      <w:r w:rsidR="007C0C8E" w:rsidRPr="00F457B9">
        <w:rPr>
          <w:rFonts w:ascii="Times New Roman" w:hAnsi="Times New Roman"/>
          <w:sz w:val="24"/>
          <w:szCs w:val="24"/>
          <w:lang w:val="sq-AL"/>
        </w:rPr>
        <w:t>përgjegjës për mbikëqyrjen e funksionimit të sistemit të dëmshpërblimit dhe rregullave të ndjekura nga shoqëritë e sigurimit, për garant</w:t>
      </w:r>
      <w:r w:rsidR="00AD2689">
        <w:rPr>
          <w:rFonts w:ascii="Times New Roman" w:hAnsi="Times New Roman"/>
          <w:sz w:val="24"/>
          <w:szCs w:val="24"/>
          <w:lang w:val="sq-AL"/>
        </w:rPr>
        <w:t>imin e</w:t>
      </w:r>
      <w:r w:rsidR="007C0C8E" w:rsidRPr="00F457B9">
        <w:rPr>
          <w:rFonts w:ascii="Times New Roman" w:hAnsi="Times New Roman"/>
          <w:sz w:val="24"/>
          <w:szCs w:val="24"/>
          <w:lang w:val="sq-AL"/>
        </w:rPr>
        <w:t xml:space="preserve"> mbrojtje</w:t>
      </w:r>
      <w:r w:rsidR="00AD2689">
        <w:rPr>
          <w:rFonts w:ascii="Times New Roman" w:hAnsi="Times New Roman"/>
          <w:sz w:val="24"/>
          <w:szCs w:val="24"/>
          <w:lang w:val="sq-AL"/>
        </w:rPr>
        <w:t>s t</w:t>
      </w:r>
      <w:r w:rsidR="00EA0D1E">
        <w:rPr>
          <w:rFonts w:ascii="Times New Roman" w:hAnsi="Times New Roman"/>
          <w:sz w:val="24"/>
          <w:szCs w:val="24"/>
          <w:lang w:val="sq-AL"/>
        </w:rPr>
        <w:t>ë</w:t>
      </w:r>
      <w:r w:rsidR="007C0C8E" w:rsidRPr="00F457B9">
        <w:rPr>
          <w:rFonts w:ascii="Times New Roman" w:hAnsi="Times New Roman"/>
          <w:sz w:val="24"/>
          <w:szCs w:val="24"/>
          <w:lang w:val="sq-AL"/>
        </w:rPr>
        <w:t xml:space="preserve"> </w:t>
      </w:r>
      <w:proofErr w:type="spellStart"/>
      <w:r w:rsidR="007C0C8E" w:rsidRPr="00F457B9">
        <w:rPr>
          <w:rFonts w:ascii="Times New Roman" w:hAnsi="Times New Roman"/>
          <w:sz w:val="24"/>
          <w:szCs w:val="24"/>
          <w:lang w:val="sq-AL"/>
        </w:rPr>
        <w:t>të</w:t>
      </w:r>
      <w:proofErr w:type="spellEnd"/>
      <w:r w:rsidR="007C0C8E" w:rsidRPr="00F457B9">
        <w:rPr>
          <w:rFonts w:ascii="Times New Roman" w:hAnsi="Times New Roman"/>
          <w:sz w:val="24"/>
          <w:szCs w:val="24"/>
          <w:lang w:val="sq-AL"/>
        </w:rPr>
        <w:t xml:space="preserve"> siguruarve, </w:t>
      </w:r>
      <w:r w:rsidR="00AD2689">
        <w:rPr>
          <w:rFonts w:ascii="Times New Roman" w:hAnsi="Times New Roman"/>
          <w:sz w:val="24"/>
          <w:szCs w:val="24"/>
          <w:lang w:val="sq-AL"/>
        </w:rPr>
        <w:t>p</w:t>
      </w:r>
      <w:r w:rsidR="00EA0D1E">
        <w:rPr>
          <w:rFonts w:ascii="Times New Roman" w:hAnsi="Times New Roman"/>
          <w:sz w:val="24"/>
          <w:szCs w:val="24"/>
          <w:lang w:val="sq-AL"/>
        </w:rPr>
        <w:t>ë</w:t>
      </w:r>
      <w:r w:rsidR="00AD2689">
        <w:rPr>
          <w:rFonts w:ascii="Times New Roman" w:hAnsi="Times New Roman"/>
          <w:sz w:val="24"/>
          <w:szCs w:val="24"/>
          <w:lang w:val="sq-AL"/>
        </w:rPr>
        <w:t xml:space="preserve">r </w:t>
      </w:r>
      <w:r w:rsidR="007C0C8E" w:rsidRPr="00F457B9">
        <w:rPr>
          <w:rFonts w:ascii="Times New Roman" w:hAnsi="Times New Roman"/>
          <w:sz w:val="24"/>
          <w:szCs w:val="24"/>
          <w:lang w:val="sq-AL"/>
        </w:rPr>
        <w:t xml:space="preserve">kryerjen me korrektësi të procedurave të dëmshpërblimit dhe </w:t>
      </w:r>
      <w:r w:rsidR="00AD2689">
        <w:rPr>
          <w:rFonts w:ascii="Times New Roman" w:hAnsi="Times New Roman"/>
          <w:sz w:val="24"/>
          <w:szCs w:val="24"/>
          <w:lang w:val="sq-AL"/>
        </w:rPr>
        <w:t>p</w:t>
      </w:r>
      <w:r w:rsidR="00EA0D1E">
        <w:rPr>
          <w:rFonts w:ascii="Times New Roman" w:hAnsi="Times New Roman"/>
          <w:sz w:val="24"/>
          <w:szCs w:val="24"/>
          <w:lang w:val="sq-AL"/>
        </w:rPr>
        <w:t>ë</w:t>
      </w:r>
      <w:r w:rsidR="00AD2689">
        <w:rPr>
          <w:rFonts w:ascii="Times New Roman" w:hAnsi="Times New Roman"/>
          <w:sz w:val="24"/>
          <w:szCs w:val="24"/>
          <w:lang w:val="sq-AL"/>
        </w:rPr>
        <w:t xml:space="preserve">r </w:t>
      </w:r>
      <w:r w:rsidR="007C0C8E" w:rsidRPr="00F457B9">
        <w:rPr>
          <w:rFonts w:ascii="Times New Roman" w:hAnsi="Times New Roman"/>
          <w:sz w:val="24"/>
          <w:szCs w:val="24"/>
          <w:lang w:val="sq-AL"/>
        </w:rPr>
        <w:t xml:space="preserve">qëndrueshmërinë e shoqërive. </w:t>
      </w:r>
    </w:p>
    <w:p w:rsidR="007C0C8E" w:rsidRPr="00F457B9" w:rsidRDefault="007C0C8E"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rPr>
        <w:t>AMF-ja, në zbatim të nenit 13, pika 1</w:t>
      </w:r>
      <w:r w:rsidR="00AD2689">
        <w:rPr>
          <w:rFonts w:ascii="Times New Roman" w:hAnsi="Times New Roman"/>
          <w:sz w:val="24"/>
          <w:szCs w:val="24"/>
          <w:lang w:val="sq-AL"/>
        </w:rPr>
        <w:t>,</w:t>
      </w:r>
      <w:r w:rsidRPr="00F457B9">
        <w:rPr>
          <w:rFonts w:ascii="Times New Roman" w:hAnsi="Times New Roman"/>
          <w:sz w:val="24"/>
          <w:szCs w:val="24"/>
          <w:lang w:val="sq-AL"/>
        </w:rPr>
        <w:t xml:space="preserve"> të ligjit nr. 10076/2009, ka nxjerrë rregulloren nr. 53, datë 25.06.2009 “Për trajtimin e dëmeve që mbulohen nga kontrata e sigurimit të detyrueshëm në sektorin e transportit”, </w:t>
      </w:r>
      <w:r w:rsidR="00AD2689">
        <w:rPr>
          <w:rFonts w:ascii="Times New Roman" w:hAnsi="Times New Roman"/>
          <w:sz w:val="24"/>
          <w:szCs w:val="24"/>
          <w:lang w:val="sq-AL"/>
        </w:rPr>
        <w:t>t</w:t>
      </w:r>
      <w:r w:rsidR="00EA0D1E">
        <w:rPr>
          <w:rFonts w:ascii="Times New Roman" w:hAnsi="Times New Roman"/>
          <w:sz w:val="24"/>
          <w:szCs w:val="24"/>
          <w:lang w:val="sq-AL"/>
        </w:rPr>
        <w:t>ë</w:t>
      </w:r>
      <w:r w:rsidRPr="00F457B9">
        <w:rPr>
          <w:rFonts w:ascii="Times New Roman" w:hAnsi="Times New Roman"/>
          <w:sz w:val="24"/>
          <w:szCs w:val="24"/>
          <w:lang w:val="sq-AL"/>
        </w:rPr>
        <w:t xml:space="preserve"> ndryshuar (</w:t>
      </w:r>
      <w:r w:rsidRPr="00F457B9">
        <w:rPr>
          <w:rFonts w:ascii="Times New Roman" w:hAnsi="Times New Roman"/>
          <w:i/>
          <w:sz w:val="24"/>
          <w:szCs w:val="24"/>
          <w:lang w:val="sq-AL"/>
        </w:rPr>
        <w:t>rregullore nr. 53/2009</w:t>
      </w:r>
      <w:r w:rsidRPr="00F457B9">
        <w:rPr>
          <w:rFonts w:ascii="Times New Roman" w:hAnsi="Times New Roman"/>
          <w:sz w:val="24"/>
          <w:szCs w:val="24"/>
          <w:lang w:val="sq-AL"/>
        </w:rPr>
        <w:t>). Në nenin 51 të rregullores parashikohe</w:t>
      </w:r>
      <w:r w:rsidR="0077112B" w:rsidRPr="00F457B9">
        <w:rPr>
          <w:rFonts w:ascii="Times New Roman" w:hAnsi="Times New Roman"/>
          <w:sz w:val="24"/>
          <w:szCs w:val="24"/>
          <w:lang w:val="sq-AL"/>
        </w:rPr>
        <w:t>j</w:t>
      </w:r>
      <w:r w:rsidRPr="00F457B9">
        <w:rPr>
          <w:rFonts w:ascii="Times New Roman" w:hAnsi="Times New Roman"/>
          <w:sz w:val="24"/>
          <w:szCs w:val="24"/>
          <w:lang w:val="sq-AL"/>
        </w:rPr>
        <w:t xml:space="preserve"> se dosjet e dëmeve, ngjarja e sigurimit e të cilave k</w:t>
      </w:r>
      <w:r w:rsidR="00DE4FCE" w:rsidRPr="00F457B9">
        <w:rPr>
          <w:rFonts w:ascii="Times New Roman" w:hAnsi="Times New Roman"/>
          <w:sz w:val="24"/>
          <w:szCs w:val="24"/>
          <w:lang w:val="sq-AL"/>
        </w:rPr>
        <w:t>ishte</w:t>
      </w:r>
      <w:r w:rsidRPr="00F457B9">
        <w:rPr>
          <w:rFonts w:ascii="Times New Roman" w:hAnsi="Times New Roman"/>
          <w:sz w:val="24"/>
          <w:szCs w:val="24"/>
          <w:lang w:val="sq-AL"/>
        </w:rPr>
        <w:t xml:space="preserve"> ndodhur pas hyrjes në fuqi të ligjit nr. 10076/2009 dhe </w:t>
      </w:r>
      <w:r w:rsidR="00DE4FCE" w:rsidRPr="00F457B9">
        <w:rPr>
          <w:rFonts w:ascii="Times New Roman" w:hAnsi="Times New Roman"/>
          <w:sz w:val="24"/>
          <w:szCs w:val="24"/>
          <w:lang w:val="sq-AL"/>
        </w:rPr>
        <w:t>ishin n</w:t>
      </w:r>
      <w:r w:rsidRPr="00F457B9">
        <w:rPr>
          <w:rFonts w:ascii="Times New Roman" w:hAnsi="Times New Roman"/>
          <w:sz w:val="24"/>
          <w:szCs w:val="24"/>
          <w:lang w:val="sq-AL"/>
        </w:rPr>
        <w:t>ë proces trajtimi nga shoqëria e sigurimit d</w:t>
      </w:r>
      <w:r w:rsidR="00AD2689">
        <w:rPr>
          <w:rFonts w:ascii="Times New Roman" w:hAnsi="Times New Roman"/>
          <w:sz w:val="24"/>
          <w:szCs w:val="24"/>
          <w:lang w:val="sq-AL"/>
        </w:rPr>
        <w:t>he Byroja Shqiptare e Sigurimit</w:t>
      </w:r>
      <w:r w:rsidRPr="00F457B9">
        <w:rPr>
          <w:rFonts w:ascii="Times New Roman" w:hAnsi="Times New Roman"/>
          <w:sz w:val="24"/>
          <w:szCs w:val="24"/>
          <w:lang w:val="sq-AL"/>
        </w:rPr>
        <w:t xml:space="preserve"> në datën e hyrjes në fuqi të kësaj rregulloreje, trajtohen sipas parashikimeve të kësaj rregulloreje (pika 1) dhe se ajo hyn</w:t>
      </w:r>
      <w:r w:rsidR="0077112B" w:rsidRPr="00F457B9">
        <w:rPr>
          <w:rFonts w:ascii="Times New Roman" w:hAnsi="Times New Roman"/>
          <w:sz w:val="24"/>
          <w:szCs w:val="24"/>
          <w:lang w:val="sq-AL"/>
        </w:rPr>
        <w:t>te</w:t>
      </w:r>
      <w:r w:rsidRPr="00F457B9">
        <w:rPr>
          <w:rFonts w:ascii="Times New Roman" w:hAnsi="Times New Roman"/>
          <w:sz w:val="24"/>
          <w:szCs w:val="24"/>
          <w:lang w:val="sq-AL"/>
        </w:rPr>
        <w:t xml:space="preserve"> në fuqi në datën e botimit të saj në faqen elektronike zyrtare të AMF-së (pika 3). Rregullorja është publikuar në faqen zyrtare të AMF-së në datën 25.06.2009, </w:t>
      </w:r>
      <w:r w:rsidR="000621A1" w:rsidRPr="00F457B9">
        <w:rPr>
          <w:rFonts w:ascii="Times New Roman" w:hAnsi="Times New Roman"/>
          <w:sz w:val="24"/>
          <w:szCs w:val="24"/>
          <w:lang w:val="sq-AL"/>
        </w:rPr>
        <w:t>p</w:t>
      </w:r>
      <w:r w:rsidR="00D0548E" w:rsidRPr="00F457B9">
        <w:rPr>
          <w:rFonts w:ascii="Times New Roman" w:hAnsi="Times New Roman"/>
          <w:sz w:val="24"/>
          <w:szCs w:val="24"/>
          <w:lang w:val="sq-AL"/>
        </w:rPr>
        <w:t>ë</w:t>
      </w:r>
      <w:r w:rsidR="000621A1" w:rsidRPr="00F457B9">
        <w:rPr>
          <w:rFonts w:ascii="Times New Roman" w:hAnsi="Times New Roman"/>
          <w:sz w:val="24"/>
          <w:szCs w:val="24"/>
          <w:lang w:val="sq-AL"/>
        </w:rPr>
        <w:t>r</w:t>
      </w:r>
      <w:r w:rsidR="00DA6C48">
        <w:rPr>
          <w:rFonts w:ascii="Times New Roman" w:hAnsi="Times New Roman"/>
          <w:sz w:val="24"/>
          <w:szCs w:val="24"/>
          <w:lang w:val="sq-AL"/>
        </w:rPr>
        <w:t>para aksidentit</w:t>
      </w:r>
      <w:r w:rsidR="00646EA6">
        <w:rPr>
          <w:rFonts w:ascii="Times New Roman" w:hAnsi="Times New Roman"/>
          <w:sz w:val="24"/>
          <w:szCs w:val="24"/>
          <w:lang w:val="sq-AL"/>
        </w:rPr>
        <w:t>,</w:t>
      </w:r>
      <w:r w:rsidRPr="00F457B9">
        <w:rPr>
          <w:rFonts w:ascii="Times New Roman" w:hAnsi="Times New Roman"/>
          <w:sz w:val="24"/>
          <w:szCs w:val="24"/>
          <w:lang w:val="sq-AL"/>
        </w:rPr>
        <w:t xml:space="preserve"> </w:t>
      </w:r>
      <w:r w:rsidR="00AD2689">
        <w:rPr>
          <w:rFonts w:ascii="Times New Roman" w:hAnsi="Times New Roman"/>
          <w:sz w:val="24"/>
          <w:szCs w:val="24"/>
          <w:lang w:val="sq-AL"/>
        </w:rPr>
        <w:t>dhe</w:t>
      </w:r>
      <w:r w:rsidRPr="00F457B9">
        <w:rPr>
          <w:rFonts w:ascii="Times New Roman" w:hAnsi="Times New Roman"/>
          <w:sz w:val="24"/>
          <w:szCs w:val="24"/>
          <w:lang w:val="sq-AL"/>
        </w:rPr>
        <w:t xml:space="preserve"> është botuar në Fletoren Zyrtare nr. 180, datë 31.12.2011, pas ndodhjes së t</w:t>
      </w:r>
      <w:r w:rsidR="000621A1" w:rsidRPr="00F457B9">
        <w:rPr>
          <w:rFonts w:ascii="Times New Roman" w:hAnsi="Times New Roman"/>
          <w:sz w:val="24"/>
          <w:szCs w:val="24"/>
          <w:lang w:val="sq-AL"/>
        </w:rPr>
        <w:t>ij</w:t>
      </w:r>
      <w:r w:rsidRPr="00F457B9">
        <w:rPr>
          <w:rFonts w:ascii="Times New Roman" w:hAnsi="Times New Roman"/>
          <w:sz w:val="24"/>
          <w:szCs w:val="24"/>
          <w:lang w:val="sq-AL"/>
        </w:rPr>
        <w:t xml:space="preserve">. </w:t>
      </w:r>
    </w:p>
    <w:p w:rsidR="007C0C8E" w:rsidRPr="00F457B9" w:rsidRDefault="007C0C8E"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eastAsia="fr-FR"/>
        </w:rPr>
        <w:t>Trashëgimtarët</w:t>
      </w:r>
      <w:r w:rsidR="00AD2689">
        <w:rPr>
          <w:rFonts w:ascii="Times New Roman" w:hAnsi="Times New Roman"/>
          <w:sz w:val="24"/>
          <w:szCs w:val="24"/>
          <w:lang w:val="sq-AL" w:eastAsia="fr-FR"/>
        </w:rPr>
        <w:t xml:space="preserve"> e viktimave</w:t>
      </w:r>
      <w:r w:rsidRPr="00F457B9">
        <w:rPr>
          <w:rFonts w:ascii="Times New Roman" w:hAnsi="Times New Roman"/>
          <w:sz w:val="24"/>
          <w:szCs w:val="24"/>
          <w:lang w:val="sq-AL" w:eastAsia="fr-FR"/>
        </w:rPr>
        <w:t xml:space="preserve">, duke mos qenë dakord me vlerën e dëmit të llogaritur nga shoqëria e sigurimit, kanë ngritur padi në Gjykatën e Rrethit Gjyqësor Tiranë, me pretendimin se dëmshpërblimi nuk duhej llogaritur sipas rregullores nr. 53/2009, por sipas vendimit </w:t>
      </w:r>
      <w:proofErr w:type="spellStart"/>
      <w:r w:rsidRPr="00F457B9">
        <w:rPr>
          <w:rFonts w:ascii="Times New Roman" w:hAnsi="Times New Roman"/>
          <w:sz w:val="24"/>
          <w:szCs w:val="24"/>
          <w:lang w:val="sq-AL" w:eastAsia="fr-FR"/>
        </w:rPr>
        <w:t>unifikues</w:t>
      </w:r>
      <w:proofErr w:type="spellEnd"/>
      <w:r w:rsidRPr="00F457B9">
        <w:rPr>
          <w:rFonts w:ascii="Times New Roman" w:hAnsi="Times New Roman"/>
          <w:sz w:val="24"/>
          <w:szCs w:val="24"/>
          <w:lang w:val="sq-AL" w:eastAsia="fr-FR"/>
        </w:rPr>
        <w:t xml:space="preserve"> nr. 12, datë 14.09.2007 të Gjykatës së </w:t>
      </w:r>
      <w:r w:rsidR="0052329D" w:rsidRPr="00F457B9">
        <w:rPr>
          <w:rFonts w:ascii="Times New Roman" w:hAnsi="Times New Roman"/>
          <w:sz w:val="24"/>
          <w:szCs w:val="24"/>
          <w:lang w:val="sq-AL" w:eastAsia="fr-FR"/>
        </w:rPr>
        <w:t>Lartë, përkatësisht në vlerat 4.</w:t>
      </w:r>
      <w:r w:rsidRPr="00F457B9">
        <w:rPr>
          <w:rFonts w:ascii="Times New Roman" w:hAnsi="Times New Roman"/>
          <w:sz w:val="24"/>
          <w:szCs w:val="24"/>
          <w:lang w:val="sq-AL" w:eastAsia="fr-FR"/>
        </w:rPr>
        <w:t>159</w:t>
      </w:r>
      <w:r w:rsidR="0052329D" w:rsidRPr="00F457B9">
        <w:rPr>
          <w:rFonts w:ascii="Times New Roman" w:hAnsi="Times New Roman"/>
          <w:sz w:val="24"/>
          <w:szCs w:val="24"/>
          <w:lang w:val="sq-AL" w:eastAsia="fr-FR"/>
        </w:rPr>
        <w:t>.</w:t>
      </w:r>
      <w:r w:rsidRPr="00F457B9">
        <w:rPr>
          <w:rFonts w:ascii="Times New Roman" w:hAnsi="Times New Roman"/>
          <w:sz w:val="24"/>
          <w:szCs w:val="24"/>
          <w:lang w:val="sq-AL" w:eastAsia="fr-FR"/>
        </w:rPr>
        <w:t>638 lekë dhe 3</w:t>
      </w:r>
      <w:r w:rsidR="0052329D" w:rsidRPr="00F457B9">
        <w:rPr>
          <w:rFonts w:ascii="Times New Roman" w:hAnsi="Times New Roman"/>
          <w:sz w:val="24"/>
          <w:szCs w:val="24"/>
          <w:lang w:val="sq-AL" w:eastAsia="fr-FR"/>
        </w:rPr>
        <w:t>.</w:t>
      </w:r>
      <w:r w:rsidRPr="00F457B9">
        <w:rPr>
          <w:rFonts w:ascii="Times New Roman" w:hAnsi="Times New Roman"/>
          <w:sz w:val="24"/>
          <w:szCs w:val="24"/>
          <w:lang w:val="sq-AL" w:eastAsia="fr-FR"/>
        </w:rPr>
        <w:t>614</w:t>
      </w:r>
      <w:r w:rsidR="0052329D" w:rsidRPr="00F457B9">
        <w:rPr>
          <w:rFonts w:ascii="Times New Roman" w:hAnsi="Times New Roman"/>
          <w:sz w:val="24"/>
          <w:szCs w:val="24"/>
          <w:lang w:val="sq-AL" w:eastAsia="fr-FR"/>
        </w:rPr>
        <w:t>.</w:t>
      </w:r>
      <w:r w:rsidRPr="00F457B9">
        <w:rPr>
          <w:rFonts w:ascii="Times New Roman" w:hAnsi="Times New Roman"/>
          <w:sz w:val="24"/>
          <w:szCs w:val="24"/>
          <w:lang w:val="sq-AL" w:eastAsia="fr-FR"/>
        </w:rPr>
        <w:t xml:space="preserve">174 lekë. </w:t>
      </w:r>
    </w:p>
    <w:p w:rsidR="007C0C8E" w:rsidRPr="00F457B9" w:rsidRDefault="007C0C8E"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eastAsia="fr-FR"/>
        </w:rPr>
        <w:t>Gjykata e Rrethit Gjyqësor Tiranë, me vendimin nr. 11056, datë 16.11.2012, ka vendosur pranimin e padisë dhe detyrimin e shoqërisë së sigurimeve të paguajë diferencën e shumës së plotë të dëmit, me arsyetimin se rregullorja nuk zbatohej në rastin konkret, pasi k</w:t>
      </w:r>
      <w:r w:rsidR="0077112B" w:rsidRPr="00F457B9">
        <w:rPr>
          <w:rFonts w:ascii="Times New Roman" w:hAnsi="Times New Roman"/>
          <w:sz w:val="24"/>
          <w:szCs w:val="24"/>
          <w:lang w:val="sq-AL" w:eastAsia="fr-FR"/>
        </w:rPr>
        <w:t>ishte</w:t>
      </w:r>
      <w:r w:rsidRPr="00F457B9">
        <w:rPr>
          <w:rFonts w:ascii="Times New Roman" w:hAnsi="Times New Roman"/>
          <w:sz w:val="24"/>
          <w:szCs w:val="24"/>
          <w:lang w:val="sq-AL" w:eastAsia="fr-FR"/>
        </w:rPr>
        <w:t xml:space="preserve"> hyrë në fuqi pas botimit </w:t>
      </w:r>
      <w:r w:rsidR="00AD2689">
        <w:rPr>
          <w:rFonts w:ascii="Times New Roman" w:hAnsi="Times New Roman"/>
          <w:sz w:val="24"/>
          <w:szCs w:val="24"/>
          <w:lang w:val="sq-AL" w:eastAsia="fr-FR"/>
        </w:rPr>
        <w:t>t</w:t>
      </w:r>
      <w:r w:rsidR="00EA0D1E">
        <w:rPr>
          <w:rFonts w:ascii="Times New Roman" w:hAnsi="Times New Roman"/>
          <w:sz w:val="24"/>
          <w:szCs w:val="24"/>
          <w:lang w:val="sq-AL" w:eastAsia="fr-FR"/>
        </w:rPr>
        <w:t>ë</w:t>
      </w:r>
      <w:r w:rsidR="00AD2689">
        <w:rPr>
          <w:rFonts w:ascii="Times New Roman" w:hAnsi="Times New Roman"/>
          <w:sz w:val="24"/>
          <w:szCs w:val="24"/>
          <w:lang w:val="sq-AL" w:eastAsia="fr-FR"/>
        </w:rPr>
        <w:t xml:space="preserve"> saj </w:t>
      </w:r>
      <w:r w:rsidRPr="00F457B9">
        <w:rPr>
          <w:rFonts w:ascii="Times New Roman" w:hAnsi="Times New Roman"/>
          <w:sz w:val="24"/>
          <w:szCs w:val="24"/>
          <w:lang w:val="sq-AL" w:eastAsia="fr-FR"/>
        </w:rPr>
        <w:t xml:space="preserve">në Fletoren Zyrtare, </w:t>
      </w:r>
      <w:r w:rsidR="000E7428" w:rsidRPr="00F457B9">
        <w:rPr>
          <w:rFonts w:ascii="Times New Roman" w:hAnsi="Times New Roman"/>
          <w:sz w:val="24"/>
          <w:szCs w:val="24"/>
          <w:lang w:val="sq-AL" w:eastAsia="fr-FR"/>
        </w:rPr>
        <w:t xml:space="preserve">pra </w:t>
      </w:r>
      <w:r w:rsidRPr="00F457B9">
        <w:rPr>
          <w:rFonts w:ascii="Times New Roman" w:hAnsi="Times New Roman"/>
          <w:sz w:val="24"/>
          <w:szCs w:val="24"/>
          <w:lang w:val="sq-AL" w:eastAsia="fr-FR"/>
        </w:rPr>
        <w:t xml:space="preserve">pas aksidentit. </w:t>
      </w:r>
    </w:p>
    <w:p w:rsidR="007C0C8E" w:rsidRPr="00F457B9" w:rsidRDefault="007C0C8E"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eastAsia="fr-FR"/>
        </w:rPr>
        <w:t>Mbi ankimin e shoqërisë së sigurimeve, Gjykata e Apelit Tiranë</w:t>
      </w:r>
      <w:r w:rsidR="00AD268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me vendimin nr. 584, datë 26.02.2014</w:t>
      </w:r>
      <w:r w:rsidR="00AD268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ka vendosur ndryshimin e vendimit </w:t>
      </w:r>
      <w:r w:rsidR="00AD2689">
        <w:rPr>
          <w:rFonts w:ascii="Times New Roman" w:hAnsi="Times New Roman"/>
          <w:sz w:val="24"/>
          <w:szCs w:val="24"/>
          <w:lang w:val="sq-AL" w:eastAsia="fr-FR"/>
        </w:rPr>
        <w:t>t</w:t>
      </w:r>
      <w:r w:rsidR="00EA0D1E">
        <w:rPr>
          <w:rFonts w:ascii="Times New Roman" w:hAnsi="Times New Roman"/>
          <w:sz w:val="24"/>
          <w:szCs w:val="24"/>
          <w:lang w:val="sq-AL" w:eastAsia="fr-FR"/>
        </w:rPr>
        <w:t>ë</w:t>
      </w:r>
      <w:r w:rsidR="00AD2689">
        <w:rPr>
          <w:rFonts w:ascii="Times New Roman" w:hAnsi="Times New Roman"/>
          <w:sz w:val="24"/>
          <w:szCs w:val="24"/>
          <w:lang w:val="sq-AL" w:eastAsia="fr-FR"/>
        </w:rPr>
        <w:t xml:space="preserve"> gjykat</w:t>
      </w:r>
      <w:r w:rsidR="00EA0D1E">
        <w:rPr>
          <w:rFonts w:ascii="Times New Roman" w:hAnsi="Times New Roman"/>
          <w:sz w:val="24"/>
          <w:szCs w:val="24"/>
          <w:lang w:val="sq-AL" w:eastAsia="fr-FR"/>
        </w:rPr>
        <w:t>ë</w:t>
      </w:r>
      <w:r w:rsidR="00AD2689">
        <w:rPr>
          <w:rFonts w:ascii="Times New Roman" w:hAnsi="Times New Roman"/>
          <w:sz w:val="24"/>
          <w:szCs w:val="24"/>
          <w:lang w:val="sq-AL" w:eastAsia="fr-FR"/>
        </w:rPr>
        <w:t>s s</w:t>
      </w:r>
      <w:r w:rsidR="00EA0D1E">
        <w:rPr>
          <w:rFonts w:ascii="Times New Roman" w:hAnsi="Times New Roman"/>
          <w:sz w:val="24"/>
          <w:szCs w:val="24"/>
          <w:lang w:val="sq-AL" w:eastAsia="fr-FR"/>
        </w:rPr>
        <w:t>ë</w:t>
      </w:r>
      <w:r w:rsidR="00AD2689">
        <w:rPr>
          <w:rFonts w:ascii="Times New Roman" w:hAnsi="Times New Roman"/>
          <w:sz w:val="24"/>
          <w:szCs w:val="24"/>
          <w:lang w:val="sq-AL" w:eastAsia="fr-FR"/>
        </w:rPr>
        <w:t xml:space="preserve"> shkall</w:t>
      </w:r>
      <w:r w:rsidR="00EA0D1E">
        <w:rPr>
          <w:rFonts w:ascii="Times New Roman" w:hAnsi="Times New Roman"/>
          <w:sz w:val="24"/>
          <w:szCs w:val="24"/>
          <w:lang w:val="sq-AL" w:eastAsia="fr-FR"/>
        </w:rPr>
        <w:t>ë</w:t>
      </w:r>
      <w:r w:rsidR="00AD2689">
        <w:rPr>
          <w:rFonts w:ascii="Times New Roman" w:hAnsi="Times New Roman"/>
          <w:sz w:val="24"/>
          <w:szCs w:val="24"/>
          <w:lang w:val="sq-AL" w:eastAsia="fr-FR"/>
        </w:rPr>
        <w:t>s s</w:t>
      </w:r>
      <w:r w:rsidR="00EA0D1E">
        <w:rPr>
          <w:rFonts w:ascii="Times New Roman" w:hAnsi="Times New Roman"/>
          <w:sz w:val="24"/>
          <w:szCs w:val="24"/>
          <w:lang w:val="sq-AL" w:eastAsia="fr-FR"/>
        </w:rPr>
        <w:t>ë</w:t>
      </w:r>
      <w:r w:rsidR="00AD2689">
        <w:rPr>
          <w:rFonts w:ascii="Times New Roman" w:hAnsi="Times New Roman"/>
          <w:sz w:val="24"/>
          <w:szCs w:val="24"/>
          <w:lang w:val="sq-AL" w:eastAsia="fr-FR"/>
        </w:rPr>
        <w:t xml:space="preserve"> par</w:t>
      </w:r>
      <w:r w:rsidR="00EA0D1E">
        <w:rPr>
          <w:rFonts w:ascii="Times New Roman" w:hAnsi="Times New Roman"/>
          <w:sz w:val="24"/>
          <w:szCs w:val="24"/>
          <w:lang w:val="sq-AL" w:eastAsia="fr-FR"/>
        </w:rPr>
        <w:t>ë</w:t>
      </w:r>
      <w:r w:rsidR="00AD2689">
        <w:rPr>
          <w:rFonts w:ascii="Times New Roman" w:hAnsi="Times New Roman"/>
          <w:sz w:val="24"/>
          <w:szCs w:val="24"/>
          <w:lang w:val="sq-AL" w:eastAsia="fr-FR"/>
        </w:rPr>
        <w:t xml:space="preserve"> </w:t>
      </w:r>
      <w:r w:rsidRPr="00F457B9">
        <w:rPr>
          <w:rFonts w:ascii="Times New Roman" w:hAnsi="Times New Roman"/>
          <w:sz w:val="24"/>
          <w:szCs w:val="24"/>
          <w:lang w:val="sq-AL" w:eastAsia="fr-FR"/>
        </w:rPr>
        <w:t>dhe rrëzimin e padisë, me arsyetimin se rregullorja nr. 53/2009 k</w:t>
      </w:r>
      <w:r w:rsidR="0077112B" w:rsidRPr="00F457B9">
        <w:rPr>
          <w:rFonts w:ascii="Times New Roman" w:hAnsi="Times New Roman"/>
          <w:sz w:val="24"/>
          <w:szCs w:val="24"/>
          <w:lang w:val="sq-AL" w:eastAsia="fr-FR"/>
        </w:rPr>
        <w:t>ishte</w:t>
      </w:r>
      <w:r w:rsidRPr="00F457B9">
        <w:rPr>
          <w:rFonts w:ascii="Times New Roman" w:hAnsi="Times New Roman"/>
          <w:sz w:val="24"/>
          <w:szCs w:val="24"/>
          <w:lang w:val="sq-AL" w:eastAsia="fr-FR"/>
        </w:rPr>
        <w:t xml:space="preserve"> hyrë në fuqi me publikimin </w:t>
      </w:r>
      <w:r w:rsidR="00AD2689">
        <w:rPr>
          <w:rFonts w:ascii="Times New Roman" w:hAnsi="Times New Roman"/>
          <w:sz w:val="24"/>
          <w:szCs w:val="24"/>
          <w:lang w:val="sq-AL" w:eastAsia="fr-FR"/>
        </w:rPr>
        <w:t xml:space="preserve">e saj </w:t>
      </w:r>
      <w:r w:rsidRPr="00F457B9">
        <w:rPr>
          <w:rFonts w:ascii="Times New Roman" w:hAnsi="Times New Roman"/>
          <w:sz w:val="24"/>
          <w:szCs w:val="24"/>
          <w:lang w:val="sq-AL" w:eastAsia="fr-FR"/>
        </w:rPr>
        <w:t xml:space="preserve">në faqen zyrtare të AMF-së, </w:t>
      </w:r>
      <w:r w:rsidR="00C14721">
        <w:rPr>
          <w:rFonts w:ascii="Times New Roman" w:hAnsi="Times New Roman"/>
          <w:sz w:val="24"/>
          <w:szCs w:val="24"/>
          <w:lang w:val="sq-AL" w:eastAsia="fr-FR"/>
        </w:rPr>
        <w:t xml:space="preserve">pra </w:t>
      </w:r>
      <w:r w:rsidRPr="00F457B9">
        <w:rPr>
          <w:rFonts w:ascii="Times New Roman" w:hAnsi="Times New Roman"/>
          <w:sz w:val="24"/>
          <w:szCs w:val="24"/>
          <w:lang w:val="sq-AL" w:eastAsia="fr-FR"/>
        </w:rPr>
        <w:t xml:space="preserve">para aksidentit.  </w:t>
      </w:r>
      <w:r w:rsidR="00AD2689">
        <w:rPr>
          <w:rFonts w:ascii="Times New Roman" w:hAnsi="Times New Roman"/>
          <w:sz w:val="24"/>
          <w:szCs w:val="24"/>
          <w:lang w:val="sq-AL" w:eastAsia="fr-FR"/>
        </w:rPr>
        <w:t>Kundër këtij vendimi</w:t>
      </w:r>
      <w:r w:rsidR="006D7AA8" w:rsidRPr="00F457B9">
        <w:rPr>
          <w:rFonts w:ascii="Times New Roman" w:hAnsi="Times New Roman"/>
          <w:sz w:val="24"/>
          <w:szCs w:val="24"/>
          <w:lang w:val="sq-AL" w:eastAsia="fr-FR"/>
        </w:rPr>
        <w:t xml:space="preserve"> t</w:t>
      </w:r>
      <w:r w:rsidRPr="00F457B9">
        <w:rPr>
          <w:rFonts w:ascii="Times New Roman" w:hAnsi="Times New Roman"/>
          <w:sz w:val="24"/>
          <w:szCs w:val="24"/>
          <w:lang w:val="sq-AL" w:eastAsia="fr-FR"/>
        </w:rPr>
        <w:t>rashëgimtarët</w:t>
      </w:r>
      <w:r w:rsidR="00AD2689">
        <w:rPr>
          <w:rFonts w:ascii="Times New Roman" w:hAnsi="Times New Roman"/>
          <w:sz w:val="24"/>
          <w:szCs w:val="24"/>
          <w:lang w:val="sq-AL" w:eastAsia="fr-FR"/>
        </w:rPr>
        <w:t xml:space="preserve"> e vik</w:t>
      </w:r>
      <w:r w:rsidR="00C14721">
        <w:rPr>
          <w:rFonts w:ascii="Times New Roman" w:hAnsi="Times New Roman"/>
          <w:sz w:val="24"/>
          <w:szCs w:val="24"/>
          <w:lang w:val="sq-AL" w:eastAsia="fr-FR"/>
        </w:rPr>
        <w:t>t</w:t>
      </w:r>
      <w:r w:rsidR="00AD2689">
        <w:rPr>
          <w:rFonts w:ascii="Times New Roman" w:hAnsi="Times New Roman"/>
          <w:sz w:val="24"/>
          <w:szCs w:val="24"/>
          <w:lang w:val="sq-AL" w:eastAsia="fr-FR"/>
        </w:rPr>
        <w:t>imave</w:t>
      </w:r>
      <w:r w:rsidRPr="00F457B9">
        <w:rPr>
          <w:rFonts w:ascii="Times New Roman" w:hAnsi="Times New Roman"/>
          <w:sz w:val="24"/>
          <w:szCs w:val="24"/>
          <w:lang w:val="sq-AL" w:eastAsia="fr-FR"/>
        </w:rPr>
        <w:t>, në datën 20.03.2014</w:t>
      </w:r>
      <w:r w:rsidR="006D7AA8" w:rsidRPr="00F457B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kanë ushtruar rekurs në Gjykatën e Lartë. </w:t>
      </w:r>
    </w:p>
    <w:p w:rsidR="007C0C8E" w:rsidRPr="00F457B9" w:rsidRDefault="007C0C8E"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eastAsia="fr-FR"/>
        </w:rPr>
        <w:t>Gjatë kohës që pritej shqyrtimi i rekursit, Kuvendi i Shqipërisë</w:t>
      </w:r>
      <w:r w:rsidR="006D7AA8" w:rsidRPr="00F457B9">
        <w:rPr>
          <w:rFonts w:ascii="Times New Roman" w:hAnsi="Times New Roman"/>
          <w:sz w:val="24"/>
          <w:szCs w:val="24"/>
          <w:lang w:val="sq-AL" w:eastAsia="fr-FR"/>
        </w:rPr>
        <w:t xml:space="preserve"> </w:t>
      </w:r>
      <w:r w:rsidRPr="00F457B9">
        <w:rPr>
          <w:rFonts w:ascii="Times New Roman" w:hAnsi="Times New Roman"/>
          <w:sz w:val="24"/>
          <w:szCs w:val="24"/>
          <w:lang w:val="sq-AL" w:eastAsia="fr-FR"/>
        </w:rPr>
        <w:t>ka miratuar ligjin nr. 32/2021, datë 16.03.2021 “Për sigurimin e detyrueshëm në sektorin e transportit” (</w:t>
      </w:r>
      <w:r w:rsidRPr="00F457B9">
        <w:rPr>
          <w:rFonts w:ascii="Times New Roman" w:hAnsi="Times New Roman"/>
          <w:i/>
          <w:sz w:val="24"/>
          <w:szCs w:val="24"/>
          <w:lang w:val="sq-AL" w:eastAsia="fr-FR"/>
        </w:rPr>
        <w:t>ligji nr. 32/2021</w:t>
      </w:r>
      <w:r w:rsidRPr="00F457B9">
        <w:rPr>
          <w:rFonts w:ascii="Times New Roman" w:hAnsi="Times New Roman"/>
          <w:sz w:val="24"/>
          <w:szCs w:val="24"/>
          <w:lang w:val="sq-AL" w:eastAsia="fr-FR"/>
        </w:rPr>
        <w:t xml:space="preserve">), i cili </w:t>
      </w:r>
      <w:r w:rsidR="00DA6C48" w:rsidRPr="00F457B9">
        <w:rPr>
          <w:rFonts w:ascii="Times New Roman" w:hAnsi="Times New Roman"/>
          <w:sz w:val="24"/>
          <w:szCs w:val="24"/>
          <w:lang w:val="sq-AL" w:eastAsia="fr-FR"/>
        </w:rPr>
        <w:t>ka shfuqizuar ligjin nr. 10076/2009</w:t>
      </w:r>
      <w:r w:rsidRPr="00F457B9">
        <w:rPr>
          <w:rFonts w:ascii="Times New Roman" w:hAnsi="Times New Roman"/>
          <w:sz w:val="24"/>
          <w:szCs w:val="24"/>
          <w:lang w:val="sq-AL" w:eastAsia="fr-FR"/>
        </w:rPr>
        <w:t xml:space="preserve"> </w:t>
      </w:r>
      <w:r w:rsidR="00DA6C48" w:rsidRPr="00F457B9">
        <w:rPr>
          <w:rFonts w:ascii="Times New Roman" w:hAnsi="Times New Roman"/>
          <w:sz w:val="24"/>
          <w:szCs w:val="24"/>
          <w:lang w:val="sq-AL" w:eastAsia="fr-FR"/>
        </w:rPr>
        <w:t xml:space="preserve">dhe </w:t>
      </w:r>
      <w:r w:rsidR="00DA6C48">
        <w:rPr>
          <w:rFonts w:ascii="Times New Roman" w:hAnsi="Times New Roman"/>
          <w:sz w:val="24"/>
          <w:szCs w:val="24"/>
          <w:lang w:val="sq-AL" w:eastAsia="fr-FR"/>
        </w:rPr>
        <w:t xml:space="preserve">ka </w:t>
      </w:r>
      <w:r w:rsidRPr="00F457B9">
        <w:rPr>
          <w:rFonts w:ascii="Times New Roman" w:hAnsi="Times New Roman"/>
          <w:sz w:val="24"/>
          <w:szCs w:val="24"/>
          <w:lang w:val="sq-AL" w:eastAsia="fr-FR"/>
        </w:rPr>
        <w:t xml:space="preserve">hyrë në fuqi në datën 01.07.2021. Në zbatim të këtij ligji, bordi i AMF-së ka miratuar </w:t>
      </w:r>
      <w:r w:rsidR="00DA6C48">
        <w:rPr>
          <w:rFonts w:ascii="Times New Roman" w:hAnsi="Times New Roman"/>
          <w:sz w:val="24"/>
          <w:szCs w:val="24"/>
          <w:lang w:val="sq-AL" w:eastAsia="fr-FR"/>
        </w:rPr>
        <w:t xml:space="preserve">me </w:t>
      </w:r>
      <w:r w:rsidRPr="00F457B9">
        <w:rPr>
          <w:rFonts w:ascii="Times New Roman" w:hAnsi="Times New Roman"/>
          <w:sz w:val="24"/>
          <w:szCs w:val="24"/>
          <w:lang w:val="sq-AL" w:eastAsia="fr-FR"/>
        </w:rPr>
        <w:t xml:space="preserve">vendimin nr. 125, datë 28.07.2021 </w:t>
      </w:r>
      <w:r w:rsidR="00DA6C48">
        <w:rPr>
          <w:rFonts w:ascii="Times New Roman" w:hAnsi="Times New Roman"/>
          <w:sz w:val="24"/>
          <w:szCs w:val="24"/>
          <w:lang w:val="sq-AL" w:eastAsia="fr-FR"/>
        </w:rPr>
        <w:t xml:space="preserve">rregulloren </w:t>
      </w:r>
      <w:r w:rsidRPr="00F457B9">
        <w:rPr>
          <w:rFonts w:ascii="Times New Roman" w:hAnsi="Times New Roman"/>
          <w:sz w:val="24"/>
          <w:szCs w:val="24"/>
          <w:lang w:val="sq-AL" w:eastAsia="fr-FR"/>
        </w:rPr>
        <w:t xml:space="preserve">“Për </w:t>
      </w:r>
      <w:r w:rsidRPr="00F457B9">
        <w:rPr>
          <w:rFonts w:ascii="Times New Roman" w:hAnsi="Times New Roman"/>
          <w:sz w:val="24"/>
          <w:szCs w:val="24"/>
          <w:lang w:val="sq-AL"/>
        </w:rPr>
        <w:t>përcaktimin e rregullave dhe metodologjisë së llogaritjes së dëmshpërblimit që mbulohet nga kontrata e sigurimit të detyrueshëm në sektorin e transportit</w:t>
      </w:r>
      <w:r w:rsidRPr="00F457B9">
        <w:rPr>
          <w:rFonts w:ascii="Times New Roman" w:hAnsi="Times New Roman"/>
          <w:sz w:val="24"/>
          <w:szCs w:val="24"/>
          <w:lang w:val="sq-AL" w:eastAsia="fr-FR"/>
        </w:rPr>
        <w:t xml:space="preserve">”. </w:t>
      </w:r>
      <w:r w:rsidRPr="00F457B9">
        <w:rPr>
          <w:rFonts w:ascii="Times New Roman" w:hAnsi="Times New Roman"/>
          <w:sz w:val="24"/>
          <w:szCs w:val="24"/>
          <w:lang w:val="sq-AL"/>
        </w:rPr>
        <w:t xml:space="preserve">Në dispozitat e fundit </w:t>
      </w:r>
      <w:r w:rsidR="00DA6C48">
        <w:rPr>
          <w:rFonts w:ascii="Times New Roman" w:hAnsi="Times New Roman"/>
          <w:sz w:val="24"/>
          <w:szCs w:val="24"/>
          <w:lang w:val="sq-AL"/>
        </w:rPr>
        <w:t>rregullorja</w:t>
      </w:r>
      <w:r w:rsidRPr="00F457B9">
        <w:rPr>
          <w:rFonts w:ascii="Times New Roman" w:hAnsi="Times New Roman"/>
          <w:sz w:val="24"/>
          <w:szCs w:val="24"/>
          <w:lang w:val="sq-AL"/>
        </w:rPr>
        <w:t xml:space="preserve"> parashikon se kërkesat për dëmshpërblim me datë aksidenti përpara hyrjes në fuqi </w:t>
      </w:r>
      <w:r w:rsidR="006865E8" w:rsidRPr="00F457B9">
        <w:rPr>
          <w:rFonts w:ascii="Times New Roman" w:hAnsi="Times New Roman"/>
          <w:sz w:val="24"/>
          <w:szCs w:val="24"/>
          <w:lang w:val="sq-AL"/>
        </w:rPr>
        <w:t>t</w:t>
      </w:r>
      <w:r w:rsidR="00545209" w:rsidRPr="00F457B9">
        <w:rPr>
          <w:rFonts w:ascii="Times New Roman" w:hAnsi="Times New Roman"/>
          <w:sz w:val="24"/>
          <w:szCs w:val="24"/>
          <w:lang w:val="sq-AL"/>
        </w:rPr>
        <w:t>ë</w:t>
      </w:r>
      <w:r w:rsidR="006865E8" w:rsidRPr="00F457B9">
        <w:rPr>
          <w:rFonts w:ascii="Times New Roman" w:hAnsi="Times New Roman"/>
          <w:sz w:val="24"/>
          <w:szCs w:val="24"/>
          <w:lang w:val="sq-AL"/>
        </w:rPr>
        <w:t xml:space="preserve"> </w:t>
      </w:r>
      <w:r w:rsidRPr="00F457B9">
        <w:rPr>
          <w:rFonts w:ascii="Times New Roman" w:hAnsi="Times New Roman"/>
          <w:sz w:val="24"/>
          <w:szCs w:val="24"/>
          <w:lang w:val="sq-AL"/>
        </w:rPr>
        <w:t xml:space="preserve">ligjit nr. 32/2021 do të trajtohen sipas legjislacionit në fuqi në datën e aksidentit (neni 56) dhe se </w:t>
      </w:r>
      <w:r w:rsidR="00DA6C48">
        <w:rPr>
          <w:rFonts w:ascii="Times New Roman" w:hAnsi="Times New Roman"/>
          <w:sz w:val="24"/>
          <w:szCs w:val="24"/>
          <w:lang w:val="sq-AL"/>
        </w:rPr>
        <w:t>ajo</w:t>
      </w:r>
      <w:r w:rsidRPr="00F457B9">
        <w:rPr>
          <w:rFonts w:ascii="Times New Roman" w:hAnsi="Times New Roman"/>
          <w:sz w:val="24"/>
          <w:szCs w:val="24"/>
          <w:lang w:val="sq-AL"/>
        </w:rPr>
        <w:t xml:space="preserve"> hyn në fuqi pas botimit në Fletoren Zyrtare (neni 57). </w:t>
      </w:r>
      <w:r w:rsidR="00DA6C48">
        <w:rPr>
          <w:rFonts w:ascii="Times New Roman" w:hAnsi="Times New Roman"/>
          <w:sz w:val="24"/>
          <w:szCs w:val="24"/>
          <w:lang w:val="sq-AL"/>
        </w:rPr>
        <w:t>Ky akt</w:t>
      </w:r>
      <w:r w:rsidRPr="00F457B9">
        <w:rPr>
          <w:rFonts w:ascii="Times New Roman" w:hAnsi="Times New Roman"/>
          <w:sz w:val="24"/>
          <w:szCs w:val="24"/>
          <w:lang w:val="sq-AL"/>
        </w:rPr>
        <w:t xml:space="preserve"> është botuar në Fletoren Zyrtare nr. 122, datë 03.08.2021. </w:t>
      </w:r>
    </w:p>
    <w:p w:rsidR="007C0C8E" w:rsidRPr="00F457B9" w:rsidRDefault="007C0C8E"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eastAsia="fr-FR"/>
        </w:rPr>
        <w:t>Në seancën e datës 23.02.2022, Kolegji Civil i Gjykatës së Lartë (</w:t>
      </w:r>
      <w:r w:rsidRPr="00F457B9">
        <w:rPr>
          <w:rFonts w:ascii="Times New Roman" w:hAnsi="Times New Roman"/>
          <w:i/>
          <w:sz w:val="24"/>
          <w:szCs w:val="24"/>
          <w:lang w:val="sq-AL" w:eastAsia="fr-FR"/>
        </w:rPr>
        <w:t>gjykata referuese</w:t>
      </w:r>
      <w:r w:rsidRPr="00F457B9">
        <w:rPr>
          <w:rFonts w:ascii="Times New Roman" w:hAnsi="Times New Roman"/>
          <w:sz w:val="24"/>
          <w:szCs w:val="24"/>
          <w:lang w:val="sq-AL" w:eastAsia="fr-FR"/>
        </w:rPr>
        <w:t>), gjatë shqyrtimit të rekursit në dhomë këshillimi, bazuar në nenin 145, pika 2</w:t>
      </w:r>
      <w:r w:rsidR="00AD268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të Kushtetutës, ka vendosur pezullimin e gjykimit dhe në datën 01.06.2022 ka dërguar çështjen e kushtetutshmërisë së nenit 13</w:t>
      </w:r>
      <w:r w:rsidR="007D03FA" w:rsidRPr="00F457B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pika 1</w:t>
      </w:r>
      <w:r w:rsidR="007D03FA" w:rsidRPr="00F457B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të ligjit nr. </w:t>
      </w:r>
      <w:r w:rsidR="000621A1" w:rsidRPr="00F457B9">
        <w:rPr>
          <w:rFonts w:ascii="Times New Roman" w:hAnsi="Times New Roman"/>
          <w:sz w:val="24"/>
          <w:szCs w:val="24"/>
          <w:lang w:val="sq-AL" w:eastAsia="fr-FR"/>
        </w:rPr>
        <w:t>10076/2009</w:t>
      </w:r>
      <w:r w:rsidRPr="00F457B9">
        <w:rPr>
          <w:rFonts w:ascii="Times New Roman" w:hAnsi="Times New Roman"/>
          <w:sz w:val="24"/>
          <w:szCs w:val="24"/>
          <w:lang w:val="sq-AL" w:eastAsia="fr-FR"/>
        </w:rPr>
        <w:t xml:space="preserve"> në Gjykatën Kushtetuese</w:t>
      </w:r>
      <w:r w:rsidR="000621A1" w:rsidRPr="00F457B9">
        <w:rPr>
          <w:rFonts w:ascii="Times New Roman" w:hAnsi="Times New Roman"/>
          <w:sz w:val="24"/>
          <w:szCs w:val="24"/>
          <w:lang w:val="sq-AL" w:eastAsia="fr-FR"/>
        </w:rPr>
        <w:t xml:space="preserve"> (</w:t>
      </w:r>
      <w:r w:rsidR="000621A1" w:rsidRPr="00F457B9">
        <w:rPr>
          <w:rFonts w:ascii="Times New Roman" w:hAnsi="Times New Roman"/>
          <w:i/>
          <w:sz w:val="24"/>
          <w:szCs w:val="24"/>
          <w:lang w:val="sq-AL" w:eastAsia="fr-FR"/>
        </w:rPr>
        <w:t>Gjykata</w:t>
      </w:r>
      <w:r w:rsidR="000621A1" w:rsidRPr="00F457B9">
        <w:rPr>
          <w:rFonts w:ascii="Times New Roman" w:hAnsi="Times New Roman"/>
          <w:sz w:val="24"/>
          <w:szCs w:val="24"/>
          <w:lang w:val="sq-AL" w:eastAsia="fr-FR"/>
        </w:rPr>
        <w:t>)</w:t>
      </w:r>
      <w:r w:rsidRPr="00F457B9">
        <w:rPr>
          <w:rFonts w:ascii="Times New Roman" w:hAnsi="Times New Roman"/>
          <w:sz w:val="24"/>
          <w:szCs w:val="24"/>
          <w:lang w:val="sq-AL" w:eastAsia="fr-FR"/>
        </w:rPr>
        <w:t xml:space="preserve">. Dispozita e </w:t>
      </w:r>
      <w:r w:rsidR="006D7AA8" w:rsidRPr="00F457B9">
        <w:rPr>
          <w:rFonts w:ascii="Times New Roman" w:hAnsi="Times New Roman"/>
          <w:sz w:val="24"/>
          <w:szCs w:val="24"/>
          <w:lang w:val="sq-AL" w:eastAsia="fr-FR"/>
        </w:rPr>
        <w:t xml:space="preserve">kundërshtuar </w:t>
      </w:r>
      <w:r w:rsidRPr="00F457B9">
        <w:rPr>
          <w:rFonts w:ascii="Times New Roman" w:hAnsi="Times New Roman"/>
          <w:sz w:val="24"/>
          <w:szCs w:val="24"/>
          <w:lang w:val="sq-AL" w:eastAsia="fr-FR"/>
        </w:rPr>
        <w:t>parashikon</w:t>
      </w:r>
      <w:r w:rsidR="005C4595" w:rsidRPr="00F457B9">
        <w:rPr>
          <w:rFonts w:ascii="Times New Roman" w:hAnsi="Times New Roman"/>
          <w:sz w:val="24"/>
          <w:szCs w:val="24"/>
          <w:lang w:val="sq-AL" w:eastAsia="fr-FR"/>
        </w:rPr>
        <w:t>te</w:t>
      </w:r>
      <w:r w:rsidRPr="00F457B9">
        <w:rPr>
          <w:rFonts w:ascii="Times New Roman" w:hAnsi="Times New Roman"/>
          <w:sz w:val="24"/>
          <w:szCs w:val="24"/>
          <w:lang w:val="sq-AL" w:eastAsia="fr-FR"/>
        </w:rPr>
        <w:t xml:space="preserve"> se: “</w:t>
      </w:r>
      <w:r w:rsidRPr="00F457B9">
        <w:rPr>
          <w:rFonts w:ascii="Times New Roman" w:hAnsi="Times New Roman"/>
          <w:i/>
          <w:sz w:val="24"/>
          <w:szCs w:val="24"/>
          <w:lang w:val="sq-AL" w:eastAsia="fr-FR"/>
        </w:rPr>
        <w:t>Rregullat për trajtimin e dëmeve, që mbulohen nga kontrata e sigurimit të detyrueshëm, sipas pikës 1 të nenit 2 të këtij ligji, miratohen me vendim të autoritetit.</w:t>
      </w:r>
      <w:r w:rsidRPr="00F457B9">
        <w:rPr>
          <w:rFonts w:ascii="Times New Roman" w:hAnsi="Times New Roman"/>
          <w:sz w:val="24"/>
          <w:szCs w:val="24"/>
          <w:lang w:val="sq-AL" w:eastAsia="fr-FR"/>
        </w:rPr>
        <w:t>”</w:t>
      </w:r>
      <w:r w:rsidRPr="00F457B9">
        <w:rPr>
          <w:rFonts w:ascii="Times New Roman" w:hAnsi="Times New Roman"/>
          <w:noProof/>
          <w:sz w:val="24"/>
          <w:szCs w:val="24"/>
        </w:rPr>
        <w:drawing>
          <wp:anchor distT="0" distB="0" distL="114300" distR="114300" simplePos="0" relativeHeight="251659264" behindDoc="0" locked="0" layoutInCell="1" allowOverlap="0" wp14:anchorId="203E809A" wp14:editId="18D85D74">
            <wp:simplePos x="0" y="0"/>
            <wp:positionH relativeFrom="page">
              <wp:posOffset>7458075</wp:posOffset>
            </wp:positionH>
            <wp:positionV relativeFrom="page">
              <wp:posOffset>5839460</wp:posOffset>
            </wp:positionV>
            <wp:extent cx="3175"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457B9">
        <w:rPr>
          <w:rFonts w:ascii="Times New Roman" w:hAnsi="Times New Roman"/>
          <w:noProof/>
          <w:sz w:val="24"/>
          <w:szCs w:val="24"/>
        </w:rPr>
        <w:drawing>
          <wp:anchor distT="0" distB="0" distL="114300" distR="114300" simplePos="0" relativeHeight="251660288" behindDoc="0" locked="0" layoutInCell="1" allowOverlap="0" wp14:anchorId="3F85E5E2" wp14:editId="0ED0F887">
            <wp:simplePos x="0" y="0"/>
            <wp:positionH relativeFrom="page">
              <wp:posOffset>7482840</wp:posOffset>
            </wp:positionH>
            <wp:positionV relativeFrom="page">
              <wp:posOffset>5568950</wp:posOffset>
            </wp:positionV>
            <wp:extent cx="3175" cy="3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457B9">
        <w:rPr>
          <w:rFonts w:ascii="Times New Roman" w:hAnsi="Times New Roman"/>
          <w:noProof/>
          <w:sz w:val="24"/>
          <w:szCs w:val="24"/>
        </w:rPr>
        <w:drawing>
          <wp:anchor distT="0" distB="0" distL="114300" distR="114300" simplePos="0" relativeHeight="251661312" behindDoc="0" locked="0" layoutInCell="1" allowOverlap="0" wp14:anchorId="01DB1C54" wp14:editId="4DDA685B">
            <wp:simplePos x="0" y="0"/>
            <wp:positionH relativeFrom="page">
              <wp:posOffset>7458075</wp:posOffset>
            </wp:positionH>
            <wp:positionV relativeFrom="page">
              <wp:posOffset>6156960</wp:posOffset>
            </wp:positionV>
            <wp:extent cx="3175" cy="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F457B9">
        <w:rPr>
          <w:rFonts w:ascii="Times New Roman" w:hAnsi="Times New Roman"/>
          <w:noProof/>
          <w:sz w:val="24"/>
          <w:szCs w:val="24"/>
        </w:rPr>
        <w:drawing>
          <wp:anchor distT="0" distB="0" distL="114300" distR="114300" simplePos="0" relativeHeight="251662336" behindDoc="0" locked="0" layoutInCell="1" allowOverlap="0" wp14:anchorId="4EE23A7C" wp14:editId="57EA8634">
            <wp:simplePos x="0" y="0"/>
            <wp:positionH relativeFrom="page">
              <wp:posOffset>7451725</wp:posOffset>
            </wp:positionH>
            <wp:positionV relativeFrom="page">
              <wp:posOffset>6225540</wp:posOffset>
            </wp:positionV>
            <wp:extent cx="6350" cy="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F457B9">
        <w:rPr>
          <w:rFonts w:ascii="Times New Roman" w:hAnsi="Times New Roman"/>
          <w:noProof/>
          <w:sz w:val="24"/>
          <w:szCs w:val="24"/>
        </w:rPr>
        <w:drawing>
          <wp:anchor distT="0" distB="0" distL="114300" distR="114300" simplePos="0" relativeHeight="251663360" behindDoc="0" locked="0" layoutInCell="1" allowOverlap="0" wp14:anchorId="5B2B6CF4" wp14:editId="2BFFB458">
            <wp:simplePos x="0" y="0"/>
            <wp:positionH relativeFrom="page">
              <wp:posOffset>7433310</wp:posOffset>
            </wp:positionH>
            <wp:positionV relativeFrom="page">
              <wp:posOffset>6459220</wp:posOffset>
            </wp:positionV>
            <wp:extent cx="3175" cy="3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457B9">
        <w:rPr>
          <w:rFonts w:ascii="Times New Roman" w:hAnsi="Times New Roman"/>
          <w:sz w:val="24"/>
          <w:szCs w:val="24"/>
          <w:lang w:val="sq-AL" w:eastAsia="fr-FR"/>
        </w:rPr>
        <w:t xml:space="preserve">. </w:t>
      </w:r>
    </w:p>
    <w:p w:rsidR="000621A1" w:rsidRPr="00F457B9" w:rsidRDefault="006D7AA8"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eastAsia="fr-FR"/>
        </w:rPr>
        <w:t>Në datën 01.07.2022, p</w:t>
      </w:r>
      <w:r w:rsidR="007C0C8E" w:rsidRPr="00F457B9">
        <w:rPr>
          <w:rFonts w:ascii="Times New Roman" w:hAnsi="Times New Roman"/>
          <w:sz w:val="24"/>
          <w:szCs w:val="24"/>
          <w:lang w:val="sq-AL" w:eastAsia="fr-FR"/>
        </w:rPr>
        <w:t xml:space="preserve">as regjistrimit të çështjes, </w:t>
      </w:r>
      <w:r w:rsidRPr="00F457B9">
        <w:rPr>
          <w:rFonts w:ascii="Times New Roman" w:hAnsi="Times New Roman"/>
          <w:sz w:val="24"/>
          <w:szCs w:val="24"/>
          <w:lang w:val="sq-AL" w:eastAsia="fr-FR"/>
        </w:rPr>
        <w:t>në Gjykatë</w:t>
      </w:r>
      <w:r w:rsidR="007C0C8E" w:rsidRPr="00F457B9">
        <w:rPr>
          <w:rFonts w:ascii="Times New Roman" w:hAnsi="Times New Roman"/>
          <w:sz w:val="24"/>
          <w:szCs w:val="24"/>
          <w:lang w:val="sq-AL" w:eastAsia="fr-FR"/>
        </w:rPr>
        <w:t xml:space="preserve"> është depozituar shkresa nr. 4 </w:t>
      </w:r>
      <w:proofErr w:type="spellStart"/>
      <w:r w:rsidR="007C0C8E" w:rsidRPr="00F457B9">
        <w:rPr>
          <w:rFonts w:ascii="Times New Roman" w:hAnsi="Times New Roman"/>
          <w:sz w:val="24"/>
          <w:szCs w:val="24"/>
          <w:lang w:val="sq-AL" w:eastAsia="fr-FR"/>
        </w:rPr>
        <w:t>prot</w:t>
      </w:r>
      <w:proofErr w:type="spellEnd"/>
      <w:r w:rsidR="007C0C8E" w:rsidRPr="00F457B9">
        <w:rPr>
          <w:rFonts w:ascii="Times New Roman" w:hAnsi="Times New Roman"/>
          <w:sz w:val="24"/>
          <w:szCs w:val="24"/>
          <w:lang w:val="sq-AL" w:eastAsia="fr-FR"/>
        </w:rPr>
        <w:t>., datë 30.06.2022 e Shoqatës së Siguruesve të Shqipërisë, e cila ka sh</w:t>
      </w:r>
      <w:r w:rsidR="000E7428" w:rsidRPr="00F457B9">
        <w:rPr>
          <w:rFonts w:ascii="Times New Roman" w:hAnsi="Times New Roman"/>
          <w:sz w:val="24"/>
          <w:szCs w:val="24"/>
          <w:lang w:val="sq-AL" w:eastAsia="fr-FR"/>
        </w:rPr>
        <w:t>faqur</w:t>
      </w:r>
      <w:r w:rsidR="007C0C8E" w:rsidRPr="00F457B9">
        <w:rPr>
          <w:rFonts w:ascii="Times New Roman" w:hAnsi="Times New Roman"/>
          <w:sz w:val="24"/>
          <w:szCs w:val="24"/>
          <w:lang w:val="sq-AL" w:eastAsia="fr-FR"/>
        </w:rPr>
        <w:t xml:space="preserve"> interes për të marrë pjesë në gjykimin kushtetues dhe ka shprehur qëndrimin se çështja nuk duhet të kalojë për shqyrtim në seancë plenare. Sipas saj, gjykata referuese nuk përmbush kriteret paraprake të legjitimimit që kanë të bëjnë me lidhjen e drejtpërdrejtë të dispozitës ligjore të referuar me zgjidhjen e çështjes, si dhe me arsyet bindëse të </w:t>
      </w:r>
      <w:proofErr w:type="spellStart"/>
      <w:r w:rsidR="007C0C8E" w:rsidRPr="00F457B9">
        <w:rPr>
          <w:rFonts w:ascii="Times New Roman" w:hAnsi="Times New Roman"/>
          <w:sz w:val="24"/>
          <w:szCs w:val="24"/>
          <w:lang w:val="sq-AL" w:eastAsia="fr-FR"/>
        </w:rPr>
        <w:t>antikushtetutshmërisë</w:t>
      </w:r>
      <w:proofErr w:type="spellEnd"/>
      <w:r w:rsidR="007C0C8E" w:rsidRPr="00F457B9">
        <w:rPr>
          <w:rFonts w:ascii="Times New Roman" w:hAnsi="Times New Roman"/>
          <w:sz w:val="24"/>
          <w:szCs w:val="24"/>
          <w:lang w:val="sq-AL" w:eastAsia="fr-FR"/>
        </w:rPr>
        <w:t xml:space="preserve"> së dispozitës së kundërshtuar. </w:t>
      </w:r>
    </w:p>
    <w:p w:rsidR="00A17E48" w:rsidRPr="00F457B9" w:rsidRDefault="000621A1"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eastAsia="fr-FR"/>
        </w:rPr>
      </w:pPr>
      <w:r w:rsidRPr="00F457B9">
        <w:rPr>
          <w:rFonts w:ascii="Times New Roman" w:hAnsi="Times New Roman"/>
          <w:sz w:val="24"/>
          <w:szCs w:val="24"/>
          <w:lang w:val="sq-AL"/>
        </w:rPr>
        <w:t xml:space="preserve">Kolegji i Gjykatës në datën 08.07.2022, </w:t>
      </w:r>
      <w:r w:rsidRPr="00F457B9">
        <w:rPr>
          <w:rFonts w:ascii="Times New Roman" w:eastAsia="Times New Roman" w:hAnsi="Times New Roman"/>
          <w:sz w:val="24"/>
          <w:szCs w:val="24"/>
          <w:lang w:val="sq-AL"/>
        </w:rPr>
        <w:t>bazuar në nenin 31, pika 3, të ligjit nr. 8577/2000, ka vendosur kalimin e çështjes për shqyrtim paraprak në Mbledhjen e Gjyqtarëve.</w:t>
      </w:r>
      <w:r w:rsidR="00A17E48" w:rsidRPr="00F457B9">
        <w:rPr>
          <w:rFonts w:ascii="Times New Roman" w:hAnsi="Times New Roman"/>
          <w:sz w:val="24"/>
          <w:szCs w:val="24"/>
          <w:lang w:val="sq-AL" w:eastAsia="fr-FR"/>
        </w:rPr>
        <w:t xml:space="preserve"> </w:t>
      </w:r>
    </w:p>
    <w:bookmarkEnd w:id="0"/>
    <w:p w:rsidR="00A17E48" w:rsidRPr="00F457B9" w:rsidRDefault="00A17E48" w:rsidP="00F457B9">
      <w:pPr>
        <w:pStyle w:val="ListParagraph"/>
        <w:tabs>
          <w:tab w:val="left" w:pos="0"/>
        </w:tabs>
        <w:spacing w:after="0" w:line="360" w:lineRule="auto"/>
        <w:ind w:left="0"/>
        <w:jc w:val="center"/>
        <w:rPr>
          <w:rFonts w:ascii="Times New Roman" w:eastAsia="Times New Roman" w:hAnsi="Times New Roman"/>
          <w:b/>
          <w:sz w:val="24"/>
          <w:szCs w:val="24"/>
          <w:lang w:val="sq-AL"/>
        </w:rPr>
      </w:pPr>
    </w:p>
    <w:p w:rsidR="00A17E48" w:rsidRPr="00F457B9" w:rsidRDefault="00A17E48" w:rsidP="00F457B9">
      <w:pPr>
        <w:pStyle w:val="ListParagraph"/>
        <w:tabs>
          <w:tab w:val="left" w:pos="0"/>
        </w:tabs>
        <w:spacing w:after="0" w:line="360" w:lineRule="auto"/>
        <w:ind w:left="0"/>
        <w:jc w:val="center"/>
        <w:rPr>
          <w:rFonts w:ascii="Times New Roman" w:eastAsia="Times New Roman" w:hAnsi="Times New Roman"/>
          <w:b/>
          <w:sz w:val="24"/>
          <w:szCs w:val="24"/>
          <w:lang w:val="sq-AL"/>
        </w:rPr>
      </w:pPr>
      <w:r w:rsidRPr="00F457B9">
        <w:rPr>
          <w:rFonts w:ascii="Times New Roman" w:eastAsia="Times New Roman" w:hAnsi="Times New Roman"/>
          <w:b/>
          <w:sz w:val="24"/>
          <w:szCs w:val="24"/>
          <w:lang w:val="sq-AL"/>
        </w:rPr>
        <w:t>II</w:t>
      </w:r>
    </w:p>
    <w:p w:rsidR="00A17E48" w:rsidRPr="00F457B9" w:rsidRDefault="00A17E48" w:rsidP="00F457B9">
      <w:pPr>
        <w:tabs>
          <w:tab w:val="left" w:pos="0"/>
          <w:tab w:val="left" w:pos="1080"/>
        </w:tabs>
        <w:spacing w:after="0" w:line="360" w:lineRule="auto"/>
        <w:contextualSpacing/>
        <w:jc w:val="center"/>
        <w:rPr>
          <w:rFonts w:ascii="Times New Roman" w:hAnsi="Times New Roman"/>
          <w:b/>
          <w:sz w:val="24"/>
          <w:szCs w:val="24"/>
          <w:lang w:val="sq-AL"/>
        </w:rPr>
      </w:pPr>
      <w:r w:rsidRPr="00F457B9">
        <w:rPr>
          <w:rFonts w:ascii="Times New Roman" w:hAnsi="Times New Roman"/>
          <w:b/>
          <w:sz w:val="24"/>
          <w:szCs w:val="24"/>
          <w:lang w:val="sq-AL"/>
        </w:rPr>
        <w:t>Pretendimet e gjykat</w:t>
      </w:r>
      <w:r w:rsidR="00B32F59" w:rsidRPr="00F457B9">
        <w:rPr>
          <w:rFonts w:ascii="Times New Roman" w:hAnsi="Times New Roman"/>
          <w:b/>
          <w:sz w:val="24"/>
          <w:szCs w:val="24"/>
          <w:lang w:val="sq-AL"/>
        </w:rPr>
        <w:t>ë</w:t>
      </w:r>
      <w:r w:rsidRPr="00F457B9">
        <w:rPr>
          <w:rFonts w:ascii="Times New Roman" w:hAnsi="Times New Roman"/>
          <w:b/>
          <w:sz w:val="24"/>
          <w:szCs w:val="24"/>
          <w:lang w:val="sq-AL"/>
        </w:rPr>
        <w:t>s referuese</w:t>
      </w:r>
    </w:p>
    <w:p w:rsidR="00A17E48" w:rsidRPr="00F457B9" w:rsidRDefault="00A17E48" w:rsidP="00F457B9">
      <w:pPr>
        <w:pStyle w:val="ListParagraph"/>
        <w:numPr>
          <w:ilvl w:val="0"/>
          <w:numId w:val="5"/>
        </w:numPr>
        <w:tabs>
          <w:tab w:val="left" w:pos="1080"/>
        </w:tabs>
        <w:spacing w:after="0" w:line="360" w:lineRule="auto"/>
        <w:ind w:left="0" w:firstLine="720"/>
        <w:jc w:val="both"/>
        <w:rPr>
          <w:rFonts w:ascii="Times New Roman" w:hAnsi="Times New Roman"/>
          <w:sz w:val="24"/>
          <w:szCs w:val="24"/>
          <w:lang w:val="sq-AL"/>
        </w:rPr>
      </w:pPr>
      <w:r w:rsidRPr="00F457B9">
        <w:rPr>
          <w:rFonts w:ascii="Times New Roman" w:hAnsi="Times New Roman"/>
          <w:b/>
          <w:i/>
          <w:sz w:val="24"/>
          <w:szCs w:val="24"/>
          <w:lang w:val="sq-AL" w:eastAsia="fr-FR"/>
        </w:rPr>
        <w:t>Gjykata referuese</w:t>
      </w:r>
      <w:r w:rsidR="007C0C8E" w:rsidRPr="00F457B9">
        <w:rPr>
          <w:rFonts w:ascii="Times New Roman" w:hAnsi="Times New Roman"/>
          <w:sz w:val="24"/>
          <w:szCs w:val="24"/>
          <w:lang w:val="sq-AL" w:eastAsia="fr-FR"/>
        </w:rPr>
        <w:t>, n</w:t>
      </w:r>
      <w:r w:rsidR="00D0548E" w:rsidRPr="00F457B9">
        <w:rPr>
          <w:rFonts w:ascii="Times New Roman" w:hAnsi="Times New Roman"/>
          <w:sz w:val="24"/>
          <w:szCs w:val="24"/>
          <w:lang w:val="sq-AL" w:eastAsia="fr-FR"/>
        </w:rPr>
        <w:t>ë</w:t>
      </w:r>
      <w:r w:rsidR="007C0C8E" w:rsidRPr="00F457B9">
        <w:rPr>
          <w:rFonts w:ascii="Times New Roman" w:hAnsi="Times New Roman"/>
          <w:sz w:val="24"/>
          <w:szCs w:val="24"/>
          <w:lang w:val="sq-AL" w:eastAsia="fr-FR"/>
        </w:rPr>
        <w:t xml:space="preserve"> m</w:t>
      </w:r>
      <w:r w:rsidR="00D0548E" w:rsidRPr="00F457B9">
        <w:rPr>
          <w:rFonts w:ascii="Times New Roman" w:hAnsi="Times New Roman"/>
          <w:sz w:val="24"/>
          <w:szCs w:val="24"/>
          <w:lang w:val="sq-AL" w:eastAsia="fr-FR"/>
        </w:rPr>
        <w:t>ë</w:t>
      </w:r>
      <w:r w:rsidR="007C0C8E" w:rsidRPr="00F457B9">
        <w:rPr>
          <w:rFonts w:ascii="Times New Roman" w:hAnsi="Times New Roman"/>
          <w:sz w:val="24"/>
          <w:szCs w:val="24"/>
          <w:lang w:val="sq-AL" w:eastAsia="fr-FR"/>
        </w:rPr>
        <w:t>nyr</w:t>
      </w:r>
      <w:r w:rsidR="00D0548E" w:rsidRPr="00F457B9">
        <w:rPr>
          <w:rFonts w:ascii="Times New Roman" w:hAnsi="Times New Roman"/>
          <w:sz w:val="24"/>
          <w:szCs w:val="24"/>
          <w:lang w:val="sq-AL" w:eastAsia="fr-FR"/>
        </w:rPr>
        <w:t>ë</w:t>
      </w:r>
      <w:r w:rsidR="007C0C8E" w:rsidRPr="00F457B9">
        <w:rPr>
          <w:rFonts w:ascii="Times New Roman" w:hAnsi="Times New Roman"/>
          <w:sz w:val="24"/>
          <w:szCs w:val="24"/>
          <w:lang w:val="sq-AL" w:eastAsia="fr-FR"/>
        </w:rPr>
        <w:t xml:space="preserve"> t</w:t>
      </w:r>
      <w:r w:rsidR="00D0548E" w:rsidRPr="00F457B9">
        <w:rPr>
          <w:rFonts w:ascii="Times New Roman" w:hAnsi="Times New Roman"/>
          <w:sz w:val="24"/>
          <w:szCs w:val="24"/>
          <w:lang w:val="sq-AL" w:eastAsia="fr-FR"/>
        </w:rPr>
        <w:t>ë</w:t>
      </w:r>
      <w:r w:rsidR="007C0C8E" w:rsidRPr="00F457B9">
        <w:rPr>
          <w:rFonts w:ascii="Times New Roman" w:hAnsi="Times New Roman"/>
          <w:sz w:val="24"/>
          <w:szCs w:val="24"/>
          <w:lang w:val="sq-AL" w:eastAsia="fr-FR"/>
        </w:rPr>
        <w:t xml:space="preserve"> p</w:t>
      </w:r>
      <w:r w:rsidR="00D0548E" w:rsidRPr="00F457B9">
        <w:rPr>
          <w:rFonts w:ascii="Times New Roman" w:hAnsi="Times New Roman"/>
          <w:sz w:val="24"/>
          <w:szCs w:val="24"/>
          <w:lang w:val="sq-AL" w:eastAsia="fr-FR"/>
        </w:rPr>
        <w:t>ë</w:t>
      </w:r>
      <w:r w:rsidR="007C0C8E" w:rsidRPr="00F457B9">
        <w:rPr>
          <w:rFonts w:ascii="Times New Roman" w:hAnsi="Times New Roman"/>
          <w:sz w:val="24"/>
          <w:szCs w:val="24"/>
          <w:lang w:val="sq-AL" w:eastAsia="fr-FR"/>
        </w:rPr>
        <w:t>rmbledhur</w:t>
      </w:r>
      <w:r w:rsidR="000E7428" w:rsidRPr="00F457B9">
        <w:rPr>
          <w:rFonts w:ascii="Times New Roman" w:hAnsi="Times New Roman"/>
          <w:sz w:val="24"/>
          <w:szCs w:val="24"/>
          <w:lang w:val="sq-AL" w:eastAsia="fr-FR"/>
        </w:rPr>
        <w:t>,</w:t>
      </w:r>
      <w:r w:rsidR="007C0C8E" w:rsidRPr="00F457B9">
        <w:rPr>
          <w:rFonts w:ascii="Times New Roman" w:hAnsi="Times New Roman"/>
          <w:sz w:val="24"/>
          <w:szCs w:val="24"/>
          <w:lang w:val="sq-AL" w:eastAsia="fr-FR"/>
        </w:rPr>
        <w:t xml:space="preserve"> ka </w:t>
      </w:r>
      <w:r w:rsidRPr="00F457B9">
        <w:rPr>
          <w:rFonts w:ascii="Times New Roman" w:eastAsia="Times New Roman" w:hAnsi="Times New Roman"/>
          <w:sz w:val="24"/>
          <w:szCs w:val="24"/>
          <w:lang w:val="sq-AL"/>
        </w:rPr>
        <w:t>parashtruar se</w:t>
      </w:r>
      <w:r w:rsidR="007C0C8E" w:rsidRPr="00F457B9">
        <w:rPr>
          <w:rFonts w:ascii="Times New Roman" w:eastAsia="Times New Roman" w:hAnsi="Times New Roman"/>
          <w:sz w:val="24"/>
          <w:szCs w:val="24"/>
          <w:lang w:val="sq-AL"/>
        </w:rPr>
        <w:t xml:space="preserve"> neni 13</w:t>
      </w:r>
      <w:r w:rsidR="006E429D" w:rsidRPr="00F457B9">
        <w:rPr>
          <w:rFonts w:ascii="Times New Roman" w:eastAsia="Times New Roman" w:hAnsi="Times New Roman"/>
          <w:sz w:val="24"/>
          <w:szCs w:val="24"/>
          <w:lang w:val="sq-AL"/>
        </w:rPr>
        <w:t>,</w:t>
      </w:r>
      <w:r w:rsidR="007C0C8E" w:rsidRPr="00F457B9">
        <w:rPr>
          <w:rFonts w:ascii="Times New Roman" w:eastAsia="Times New Roman" w:hAnsi="Times New Roman"/>
          <w:sz w:val="24"/>
          <w:szCs w:val="24"/>
          <w:lang w:val="sq-AL"/>
        </w:rPr>
        <w:t xml:space="preserve"> pika 1</w:t>
      </w:r>
      <w:r w:rsidR="00AD2689">
        <w:rPr>
          <w:rFonts w:ascii="Times New Roman" w:eastAsia="Times New Roman" w:hAnsi="Times New Roman"/>
          <w:sz w:val="24"/>
          <w:szCs w:val="24"/>
          <w:lang w:val="sq-AL"/>
        </w:rPr>
        <w:t>,</w:t>
      </w:r>
      <w:r w:rsidR="007C0C8E" w:rsidRPr="00F457B9">
        <w:rPr>
          <w:rFonts w:ascii="Times New Roman" w:eastAsia="Times New Roman" w:hAnsi="Times New Roman"/>
          <w:sz w:val="24"/>
          <w:szCs w:val="24"/>
          <w:lang w:val="sq-AL"/>
        </w:rPr>
        <w:t xml:space="preserve"> i ligjit nr. 10076/2009</w:t>
      </w:r>
      <w:r w:rsidR="00476A7C" w:rsidRPr="00F457B9">
        <w:rPr>
          <w:rFonts w:ascii="Times New Roman" w:eastAsia="Times New Roman" w:hAnsi="Times New Roman"/>
          <w:sz w:val="24"/>
          <w:szCs w:val="24"/>
          <w:lang w:val="sq-AL"/>
        </w:rPr>
        <w:t xml:space="preserve">, si dhe </w:t>
      </w:r>
      <w:r w:rsidR="00476A7C" w:rsidRPr="00F457B9">
        <w:rPr>
          <w:rFonts w:ascii="Times New Roman" w:hAnsi="Times New Roman"/>
          <w:sz w:val="24"/>
          <w:szCs w:val="24"/>
          <w:lang w:val="sq-AL"/>
        </w:rPr>
        <w:t>neni 11, pika 1</w:t>
      </w:r>
      <w:r w:rsidR="00AD2689">
        <w:rPr>
          <w:rFonts w:ascii="Times New Roman" w:hAnsi="Times New Roman"/>
          <w:sz w:val="24"/>
          <w:szCs w:val="24"/>
          <w:lang w:val="sq-AL"/>
        </w:rPr>
        <w:t>, i</w:t>
      </w:r>
      <w:r w:rsidR="00476A7C" w:rsidRPr="00F457B9">
        <w:rPr>
          <w:rFonts w:ascii="Times New Roman" w:hAnsi="Times New Roman"/>
          <w:sz w:val="24"/>
          <w:szCs w:val="24"/>
          <w:lang w:val="sq-AL"/>
        </w:rPr>
        <w:t xml:space="preserve"> ligjit nr. 32/2021 (q</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duhet shqyrtuar me nism</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n e Gjykat</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s bazuar n</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nenin 48, pika 2</w:t>
      </w:r>
      <w:r w:rsidR="00AD2689">
        <w:rPr>
          <w:rFonts w:ascii="Times New Roman" w:hAnsi="Times New Roman"/>
          <w:sz w:val="24"/>
          <w:szCs w:val="24"/>
          <w:lang w:val="sq-AL"/>
        </w:rPr>
        <w:t>, të ligjit nr. 8577/2000)</w:t>
      </w:r>
      <w:r w:rsidR="00476A7C" w:rsidRPr="00F457B9">
        <w:rPr>
          <w:rFonts w:ascii="Times New Roman" w:hAnsi="Times New Roman"/>
          <w:sz w:val="24"/>
          <w:szCs w:val="24"/>
          <w:lang w:val="sq-AL"/>
        </w:rPr>
        <w:t xml:space="preserve"> cenojn</w:t>
      </w:r>
      <w:r w:rsidR="00F85711" w:rsidRPr="00F457B9">
        <w:rPr>
          <w:rFonts w:ascii="Times New Roman" w:hAnsi="Times New Roman"/>
          <w:sz w:val="24"/>
          <w:szCs w:val="24"/>
          <w:lang w:val="sq-AL"/>
        </w:rPr>
        <w:t>ë</w:t>
      </w:r>
      <w:r w:rsidRPr="00F457B9">
        <w:rPr>
          <w:rFonts w:ascii="Times New Roman" w:eastAsia="Times New Roman" w:hAnsi="Times New Roman"/>
          <w:sz w:val="24"/>
          <w:szCs w:val="24"/>
          <w:lang w:val="sq-AL"/>
        </w:rPr>
        <w:t>:</w:t>
      </w:r>
    </w:p>
    <w:p w:rsidR="00476A7C" w:rsidRPr="00F457B9" w:rsidRDefault="007C0C8E" w:rsidP="00F457B9">
      <w:pPr>
        <w:pStyle w:val="ListParagraph"/>
        <w:numPr>
          <w:ilvl w:val="1"/>
          <w:numId w:val="5"/>
        </w:numPr>
        <w:tabs>
          <w:tab w:val="left" w:pos="1080"/>
        </w:tabs>
        <w:spacing w:after="0" w:line="360" w:lineRule="auto"/>
        <w:ind w:left="1440" w:hanging="720"/>
        <w:jc w:val="both"/>
        <w:rPr>
          <w:rFonts w:ascii="Times New Roman" w:hAnsi="Times New Roman"/>
          <w:sz w:val="24"/>
          <w:szCs w:val="24"/>
          <w:lang w:val="sq-AL"/>
        </w:rPr>
      </w:pPr>
      <w:r w:rsidRPr="00F457B9">
        <w:rPr>
          <w:rFonts w:ascii="Times New Roman" w:hAnsi="Times New Roman"/>
          <w:i/>
          <w:sz w:val="24"/>
          <w:szCs w:val="24"/>
          <w:lang w:val="sq-AL"/>
        </w:rPr>
        <w:t>Parimin e sigurisë juridike</w:t>
      </w:r>
      <w:r w:rsidRPr="00F457B9">
        <w:rPr>
          <w:rFonts w:ascii="Times New Roman" w:hAnsi="Times New Roman"/>
          <w:sz w:val="24"/>
          <w:szCs w:val="24"/>
          <w:lang w:val="sq-AL"/>
        </w:rPr>
        <w:t>, pasi ligjvënësi</w:t>
      </w:r>
      <w:r w:rsidR="00AD2689">
        <w:rPr>
          <w:rFonts w:ascii="Times New Roman" w:hAnsi="Times New Roman"/>
          <w:sz w:val="24"/>
          <w:szCs w:val="24"/>
          <w:lang w:val="sq-AL"/>
        </w:rPr>
        <w:t>,</w:t>
      </w:r>
      <w:r w:rsidRPr="00F457B9">
        <w:rPr>
          <w:rFonts w:ascii="Times New Roman" w:hAnsi="Times New Roman"/>
          <w:sz w:val="24"/>
          <w:szCs w:val="24"/>
          <w:lang w:val="sq-AL"/>
        </w:rPr>
        <w:t xml:space="preserve"> në kundërshtim me pikën 1 të nenit 118 të Kushtetutës</w:t>
      </w:r>
      <w:r w:rsidR="004324B5">
        <w:rPr>
          <w:rFonts w:ascii="Times New Roman" w:hAnsi="Times New Roman"/>
          <w:sz w:val="24"/>
          <w:szCs w:val="24"/>
          <w:lang w:val="sq-AL"/>
        </w:rPr>
        <w:t>,</w:t>
      </w:r>
      <w:r w:rsidRPr="00F457B9">
        <w:rPr>
          <w:rFonts w:ascii="Times New Roman" w:hAnsi="Times New Roman"/>
          <w:sz w:val="24"/>
          <w:szCs w:val="24"/>
          <w:lang w:val="sq-AL"/>
        </w:rPr>
        <w:t xml:space="preserve"> të interpretuar në raport me nen</w:t>
      </w:r>
      <w:r w:rsidR="0086654C" w:rsidRPr="00F457B9">
        <w:rPr>
          <w:rFonts w:ascii="Times New Roman" w:hAnsi="Times New Roman"/>
          <w:sz w:val="24"/>
          <w:szCs w:val="24"/>
          <w:lang w:val="sq-AL"/>
        </w:rPr>
        <w:t>et</w:t>
      </w:r>
      <w:r w:rsidRPr="00F457B9">
        <w:rPr>
          <w:rFonts w:ascii="Times New Roman" w:hAnsi="Times New Roman"/>
          <w:sz w:val="24"/>
          <w:szCs w:val="24"/>
          <w:lang w:val="sq-AL"/>
        </w:rPr>
        <w:t xml:space="preserve"> 6 dhe 81, pika </w:t>
      </w:r>
      <w:r w:rsidR="00DA6C48">
        <w:rPr>
          <w:rFonts w:ascii="Times New Roman" w:hAnsi="Times New Roman"/>
          <w:sz w:val="24"/>
          <w:szCs w:val="24"/>
          <w:lang w:val="sq-AL"/>
        </w:rPr>
        <w:t>2</w:t>
      </w:r>
      <w:r w:rsidRPr="00F457B9">
        <w:rPr>
          <w:rFonts w:ascii="Times New Roman" w:hAnsi="Times New Roman"/>
          <w:sz w:val="24"/>
          <w:szCs w:val="24"/>
          <w:lang w:val="sq-AL"/>
        </w:rPr>
        <w:t>, shkronja “a”</w:t>
      </w:r>
      <w:r w:rsidR="004324B5">
        <w:rPr>
          <w:rFonts w:ascii="Times New Roman" w:hAnsi="Times New Roman"/>
          <w:sz w:val="24"/>
          <w:szCs w:val="24"/>
          <w:lang w:val="sq-AL"/>
        </w:rPr>
        <w:t>,</w:t>
      </w:r>
      <w:r w:rsidRPr="00F457B9">
        <w:rPr>
          <w:rFonts w:ascii="Times New Roman" w:hAnsi="Times New Roman"/>
          <w:sz w:val="24"/>
          <w:szCs w:val="24"/>
          <w:lang w:val="sq-AL"/>
        </w:rPr>
        <w:t xml:space="preserve"> të saj, i ka deleguar pushtetin legjislativ AMF-s</w:t>
      </w:r>
      <w:r w:rsidR="00D0548E" w:rsidRPr="00F457B9">
        <w:rPr>
          <w:rFonts w:ascii="Times New Roman" w:hAnsi="Times New Roman"/>
          <w:sz w:val="24"/>
          <w:szCs w:val="24"/>
          <w:lang w:val="sq-AL"/>
        </w:rPr>
        <w:t>ë</w:t>
      </w:r>
      <w:r w:rsidRPr="00F457B9">
        <w:rPr>
          <w:rFonts w:ascii="Times New Roman" w:hAnsi="Times New Roman"/>
          <w:sz w:val="24"/>
          <w:szCs w:val="24"/>
          <w:lang w:val="sq-AL"/>
        </w:rPr>
        <w:t>, q</w:t>
      </w:r>
      <w:r w:rsidR="00D0548E" w:rsidRPr="00F457B9">
        <w:rPr>
          <w:rFonts w:ascii="Times New Roman" w:hAnsi="Times New Roman"/>
          <w:sz w:val="24"/>
          <w:szCs w:val="24"/>
          <w:lang w:val="sq-AL"/>
        </w:rPr>
        <w:t>ë</w:t>
      </w:r>
      <w:r w:rsidRPr="00F457B9">
        <w:rPr>
          <w:rFonts w:ascii="Times New Roman" w:hAnsi="Times New Roman"/>
          <w:sz w:val="24"/>
          <w:szCs w:val="24"/>
          <w:lang w:val="sq-AL"/>
        </w:rPr>
        <w:t xml:space="preserve"> nuk </w:t>
      </w:r>
      <w:r w:rsidR="00D0548E" w:rsidRPr="00F457B9">
        <w:rPr>
          <w:rFonts w:ascii="Times New Roman" w:hAnsi="Times New Roman"/>
          <w:sz w:val="24"/>
          <w:szCs w:val="24"/>
          <w:lang w:val="sq-AL"/>
        </w:rPr>
        <w:t>ë</w:t>
      </w:r>
      <w:r w:rsidRPr="00F457B9">
        <w:rPr>
          <w:rFonts w:ascii="Times New Roman" w:hAnsi="Times New Roman"/>
          <w:sz w:val="24"/>
          <w:szCs w:val="24"/>
          <w:lang w:val="sq-AL"/>
        </w:rPr>
        <w:t>sht</w:t>
      </w:r>
      <w:r w:rsidR="00D0548E" w:rsidRPr="00F457B9">
        <w:rPr>
          <w:rFonts w:ascii="Times New Roman" w:hAnsi="Times New Roman"/>
          <w:sz w:val="24"/>
          <w:szCs w:val="24"/>
          <w:lang w:val="sq-AL"/>
        </w:rPr>
        <w:t>ë</w:t>
      </w:r>
      <w:r w:rsidRPr="00F457B9">
        <w:rPr>
          <w:rFonts w:ascii="Times New Roman" w:hAnsi="Times New Roman"/>
          <w:sz w:val="24"/>
          <w:szCs w:val="24"/>
          <w:lang w:val="sq-AL"/>
        </w:rPr>
        <w:t xml:space="preserve"> institucion i parashikuar në Kushtetutë</w:t>
      </w:r>
      <w:r w:rsidR="00476A7C" w:rsidRPr="00F457B9">
        <w:rPr>
          <w:rFonts w:ascii="Times New Roman" w:hAnsi="Times New Roman"/>
          <w:sz w:val="24"/>
          <w:szCs w:val="24"/>
          <w:lang w:val="sq-AL"/>
        </w:rPr>
        <w:t>, duke e b</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r</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t</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drejt</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n pozitive m</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pak t</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w:t>
      </w:r>
      <w:proofErr w:type="spellStart"/>
      <w:r w:rsidR="00476A7C" w:rsidRPr="00F457B9">
        <w:rPr>
          <w:rFonts w:ascii="Times New Roman" w:hAnsi="Times New Roman"/>
          <w:sz w:val="24"/>
          <w:szCs w:val="24"/>
          <w:lang w:val="sq-AL"/>
        </w:rPr>
        <w:t>aksesueshme</w:t>
      </w:r>
      <w:proofErr w:type="spellEnd"/>
      <w:r w:rsidR="00476A7C" w:rsidRPr="00F457B9">
        <w:rPr>
          <w:rFonts w:ascii="Times New Roman" w:hAnsi="Times New Roman"/>
          <w:sz w:val="24"/>
          <w:szCs w:val="24"/>
          <w:lang w:val="sq-AL"/>
        </w:rPr>
        <w:t xml:space="preserve"> dhe m</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pak t</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 xml:space="preserve"> parashikueshme p</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r individ</w:t>
      </w:r>
      <w:r w:rsidR="00F85711" w:rsidRPr="00F457B9">
        <w:rPr>
          <w:rFonts w:ascii="Times New Roman" w:hAnsi="Times New Roman"/>
          <w:sz w:val="24"/>
          <w:szCs w:val="24"/>
          <w:lang w:val="sq-AL"/>
        </w:rPr>
        <w:t>ë</w:t>
      </w:r>
      <w:r w:rsidR="00476A7C" w:rsidRPr="00F457B9">
        <w:rPr>
          <w:rFonts w:ascii="Times New Roman" w:hAnsi="Times New Roman"/>
          <w:sz w:val="24"/>
          <w:szCs w:val="24"/>
          <w:lang w:val="sq-AL"/>
        </w:rPr>
        <w:t>t</w:t>
      </w:r>
      <w:r w:rsidRPr="00F457B9">
        <w:rPr>
          <w:rFonts w:ascii="Times New Roman" w:hAnsi="Times New Roman"/>
          <w:sz w:val="24"/>
          <w:szCs w:val="24"/>
          <w:lang w:val="sq-AL"/>
        </w:rPr>
        <w:t xml:space="preserve">. </w:t>
      </w:r>
    </w:p>
    <w:p w:rsidR="007C0C8E" w:rsidRPr="00F457B9" w:rsidRDefault="00476A7C" w:rsidP="00F457B9">
      <w:pPr>
        <w:pStyle w:val="ListParagraph"/>
        <w:numPr>
          <w:ilvl w:val="1"/>
          <w:numId w:val="5"/>
        </w:numPr>
        <w:tabs>
          <w:tab w:val="left" w:pos="1080"/>
        </w:tabs>
        <w:spacing w:after="0" w:line="360" w:lineRule="auto"/>
        <w:ind w:left="1440" w:hanging="720"/>
        <w:jc w:val="both"/>
        <w:rPr>
          <w:rFonts w:ascii="Times New Roman" w:hAnsi="Times New Roman"/>
          <w:sz w:val="24"/>
          <w:szCs w:val="24"/>
          <w:lang w:val="sq-AL"/>
        </w:rPr>
      </w:pPr>
      <w:r w:rsidRPr="00F457B9">
        <w:rPr>
          <w:rFonts w:ascii="Times New Roman" w:hAnsi="Times New Roman"/>
          <w:i/>
          <w:sz w:val="24"/>
          <w:szCs w:val="24"/>
          <w:lang w:val="sq-AL"/>
        </w:rPr>
        <w:t>P</w:t>
      </w:r>
      <w:r w:rsidR="007C0C8E" w:rsidRPr="00F457B9">
        <w:rPr>
          <w:rFonts w:ascii="Times New Roman" w:hAnsi="Times New Roman"/>
          <w:i/>
          <w:sz w:val="24"/>
          <w:szCs w:val="24"/>
          <w:lang w:val="sq-AL"/>
        </w:rPr>
        <w:t>arimet e shtetit të së drejtës</w:t>
      </w:r>
      <w:r w:rsidR="004324B5">
        <w:rPr>
          <w:rFonts w:ascii="Times New Roman" w:hAnsi="Times New Roman"/>
          <w:i/>
          <w:sz w:val="24"/>
          <w:szCs w:val="24"/>
          <w:lang w:val="sq-AL"/>
        </w:rPr>
        <w:t>,</w:t>
      </w:r>
      <w:r w:rsidR="007C0C8E" w:rsidRPr="00F457B9">
        <w:rPr>
          <w:rFonts w:ascii="Times New Roman" w:hAnsi="Times New Roman"/>
          <w:i/>
          <w:sz w:val="24"/>
          <w:szCs w:val="24"/>
          <w:lang w:val="sq-AL"/>
        </w:rPr>
        <w:t xml:space="preserve"> </w:t>
      </w:r>
      <w:r w:rsidR="0086654C" w:rsidRPr="00F457B9">
        <w:rPr>
          <w:rFonts w:ascii="Times New Roman" w:hAnsi="Times New Roman"/>
          <w:sz w:val="24"/>
          <w:szCs w:val="24"/>
          <w:lang w:val="sq-AL"/>
        </w:rPr>
        <w:t>t</w:t>
      </w:r>
      <w:r w:rsidR="00AA1ACC" w:rsidRPr="00F457B9">
        <w:rPr>
          <w:rFonts w:ascii="Times New Roman" w:hAnsi="Times New Roman"/>
          <w:sz w:val="24"/>
          <w:szCs w:val="24"/>
          <w:lang w:val="sq-AL"/>
        </w:rPr>
        <w:t>ë</w:t>
      </w:r>
      <w:r w:rsidR="0086654C" w:rsidRPr="00F457B9">
        <w:rPr>
          <w:rFonts w:ascii="Times New Roman" w:hAnsi="Times New Roman"/>
          <w:sz w:val="24"/>
          <w:szCs w:val="24"/>
          <w:lang w:val="sq-AL"/>
        </w:rPr>
        <w:t xml:space="preserve"> sanksionuar nga neni 4 i Kushtetut</w:t>
      </w:r>
      <w:r w:rsidR="00AA1ACC" w:rsidRPr="00F457B9">
        <w:rPr>
          <w:rFonts w:ascii="Times New Roman" w:hAnsi="Times New Roman"/>
          <w:sz w:val="24"/>
          <w:szCs w:val="24"/>
          <w:lang w:val="sq-AL"/>
        </w:rPr>
        <w:t>ë</w:t>
      </w:r>
      <w:r w:rsidR="0086654C" w:rsidRPr="00F457B9">
        <w:rPr>
          <w:rFonts w:ascii="Times New Roman" w:hAnsi="Times New Roman"/>
          <w:sz w:val="24"/>
          <w:szCs w:val="24"/>
          <w:lang w:val="sq-AL"/>
        </w:rPr>
        <w:t xml:space="preserve">s </w:t>
      </w:r>
      <w:r w:rsidR="007C0C8E" w:rsidRPr="00F457B9">
        <w:rPr>
          <w:rFonts w:ascii="Times New Roman" w:hAnsi="Times New Roman"/>
          <w:sz w:val="24"/>
          <w:szCs w:val="24"/>
          <w:lang w:val="sq-AL"/>
        </w:rPr>
        <w:t xml:space="preserve">dhe </w:t>
      </w:r>
      <w:r w:rsidR="007C0C8E" w:rsidRPr="00F457B9">
        <w:rPr>
          <w:rFonts w:ascii="Times New Roman" w:hAnsi="Times New Roman"/>
          <w:i/>
          <w:sz w:val="24"/>
          <w:szCs w:val="24"/>
          <w:lang w:val="sq-AL"/>
        </w:rPr>
        <w:t>të kushtetutshmërisë institucionale</w:t>
      </w:r>
      <w:r w:rsidR="004324B5">
        <w:rPr>
          <w:rFonts w:ascii="Times New Roman" w:hAnsi="Times New Roman"/>
          <w:i/>
          <w:sz w:val="24"/>
          <w:szCs w:val="24"/>
          <w:lang w:val="sq-AL"/>
        </w:rPr>
        <w:t>,</w:t>
      </w:r>
      <w:r w:rsidRPr="00F457B9">
        <w:rPr>
          <w:rFonts w:ascii="Times New Roman" w:hAnsi="Times New Roman"/>
          <w:sz w:val="24"/>
          <w:szCs w:val="24"/>
          <w:lang w:val="sq-AL"/>
        </w:rPr>
        <w:t xml:space="preserve"> p</w:t>
      </w:r>
      <w:r w:rsidR="00F85711" w:rsidRPr="00F457B9">
        <w:rPr>
          <w:rFonts w:ascii="Times New Roman" w:hAnsi="Times New Roman"/>
          <w:sz w:val="24"/>
          <w:szCs w:val="24"/>
          <w:lang w:val="sq-AL"/>
        </w:rPr>
        <w:t>ë</w:t>
      </w:r>
      <w:r w:rsidRPr="00F457B9">
        <w:rPr>
          <w:rFonts w:ascii="Times New Roman" w:hAnsi="Times New Roman"/>
          <w:sz w:val="24"/>
          <w:szCs w:val="24"/>
          <w:lang w:val="sq-AL"/>
        </w:rPr>
        <w:t>r shkak se delegimi legjislativ te nj</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institucion  q</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nuk </w:t>
      </w:r>
      <w:r w:rsidR="00F85711" w:rsidRPr="00F457B9">
        <w:rPr>
          <w:rFonts w:ascii="Times New Roman" w:hAnsi="Times New Roman"/>
          <w:sz w:val="24"/>
          <w:szCs w:val="24"/>
          <w:lang w:val="sq-AL"/>
        </w:rPr>
        <w:t>ë</w:t>
      </w:r>
      <w:r w:rsidRPr="00F457B9">
        <w:rPr>
          <w:rFonts w:ascii="Times New Roman" w:hAnsi="Times New Roman"/>
          <w:sz w:val="24"/>
          <w:szCs w:val="24"/>
          <w:lang w:val="sq-AL"/>
        </w:rPr>
        <w:t>sht</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i parashikuar n</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Kushtetut</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cenon kufijt</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dhe baz</w:t>
      </w:r>
      <w:r w:rsidR="00F85711" w:rsidRPr="00F457B9">
        <w:rPr>
          <w:rFonts w:ascii="Times New Roman" w:hAnsi="Times New Roman"/>
          <w:sz w:val="24"/>
          <w:szCs w:val="24"/>
          <w:lang w:val="sq-AL"/>
        </w:rPr>
        <w:t>ë</w:t>
      </w:r>
      <w:r w:rsidRPr="00F457B9">
        <w:rPr>
          <w:rFonts w:ascii="Times New Roman" w:hAnsi="Times New Roman"/>
          <w:sz w:val="24"/>
          <w:szCs w:val="24"/>
          <w:lang w:val="sq-AL"/>
        </w:rPr>
        <w:t>n e veprimtaris</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s</w:t>
      </w:r>
      <w:r w:rsidR="00F85711" w:rsidRPr="00F457B9">
        <w:rPr>
          <w:rFonts w:ascii="Times New Roman" w:hAnsi="Times New Roman"/>
          <w:sz w:val="24"/>
          <w:szCs w:val="24"/>
          <w:lang w:val="sq-AL"/>
        </w:rPr>
        <w:t>ë</w:t>
      </w:r>
      <w:r w:rsidRPr="00F457B9">
        <w:rPr>
          <w:rFonts w:ascii="Times New Roman" w:hAnsi="Times New Roman"/>
          <w:sz w:val="24"/>
          <w:szCs w:val="24"/>
          <w:lang w:val="sq-AL"/>
        </w:rPr>
        <w:t xml:space="preserve"> </w:t>
      </w:r>
      <w:r w:rsidR="00417526" w:rsidRPr="00F457B9">
        <w:rPr>
          <w:rFonts w:ascii="Times New Roman" w:hAnsi="Times New Roman"/>
          <w:sz w:val="24"/>
          <w:szCs w:val="24"/>
          <w:lang w:val="sq-AL"/>
        </w:rPr>
        <w:t>shtetit</w:t>
      </w:r>
      <w:r w:rsidRPr="00F457B9">
        <w:rPr>
          <w:rFonts w:ascii="Times New Roman" w:hAnsi="Times New Roman"/>
          <w:sz w:val="24"/>
          <w:szCs w:val="24"/>
          <w:lang w:val="sq-AL"/>
        </w:rPr>
        <w:t xml:space="preserve">. </w:t>
      </w:r>
    </w:p>
    <w:p w:rsidR="00A17E48" w:rsidRPr="00F457B9" w:rsidRDefault="007C0C8E" w:rsidP="00F457B9">
      <w:pPr>
        <w:pStyle w:val="ListParagraph"/>
        <w:numPr>
          <w:ilvl w:val="1"/>
          <w:numId w:val="5"/>
        </w:numPr>
        <w:tabs>
          <w:tab w:val="left" w:pos="1080"/>
        </w:tabs>
        <w:spacing w:after="0" w:line="360" w:lineRule="auto"/>
        <w:ind w:left="1440" w:hanging="720"/>
        <w:jc w:val="both"/>
        <w:rPr>
          <w:rFonts w:ascii="Times New Roman" w:hAnsi="Times New Roman"/>
          <w:sz w:val="24"/>
          <w:szCs w:val="24"/>
          <w:lang w:val="sq-AL"/>
        </w:rPr>
      </w:pPr>
      <w:r w:rsidRPr="00F457B9">
        <w:rPr>
          <w:rFonts w:ascii="Times New Roman" w:hAnsi="Times New Roman"/>
          <w:sz w:val="24"/>
          <w:szCs w:val="24"/>
          <w:lang w:val="sq-AL" w:eastAsia="fr-FR"/>
        </w:rPr>
        <w:t>Rregullat kushtetuese t</w:t>
      </w:r>
      <w:r w:rsidR="00D0548E" w:rsidRPr="00F457B9">
        <w:rPr>
          <w:rFonts w:ascii="Times New Roman" w:hAnsi="Times New Roman"/>
          <w:sz w:val="24"/>
          <w:szCs w:val="24"/>
          <w:lang w:val="sq-AL" w:eastAsia="fr-FR"/>
        </w:rPr>
        <w:t>ë</w:t>
      </w:r>
      <w:r w:rsidRPr="00F457B9">
        <w:rPr>
          <w:rFonts w:ascii="Times New Roman" w:hAnsi="Times New Roman"/>
          <w:sz w:val="24"/>
          <w:szCs w:val="24"/>
          <w:lang w:val="sq-AL" w:eastAsia="fr-FR"/>
        </w:rPr>
        <w:t xml:space="preserve"> nxjerrjes s</w:t>
      </w:r>
      <w:r w:rsidR="00D0548E" w:rsidRPr="00F457B9">
        <w:rPr>
          <w:rFonts w:ascii="Times New Roman" w:hAnsi="Times New Roman"/>
          <w:sz w:val="24"/>
          <w:szCs w:val="24"/>
          <w:lang w:val="sq-AL" w:eastAsia="fr-FR"/>
        </w:rPr>
        <w:t>ë</w:t>
      </w:r>
      <w:r w:rsidRPr="00F457B9">
        <w:rPr>
          <w:rFonts w:ascii="Times New Roman" w:hAnsi="Times New Roman"/>
          <w:sz w:val="24"/>
          <w:szCs w:val="24"/>
          <w:lang w:val="sq-AL" w:eastAsia="fr-FR"/>
        </w:rPr>
        <w:t xml:space="preserve"> akteve n</w:t>
      </w:r>
      <w:r w:rsidR="00D0548E" w:rsidRPr="00F457B9">
        <w:rPr>
          <w:rFonts w:ascii="Times New Roman" w:hAnsi="Times New Roman"/>
          <w:sz w:val="24"/>
          <w:szCs w:val="24"/>
          <w:lang w:val="sq-AL" w:eastAsia="fr-FR"/>
        </w:rPr>
        <w:t>ë</w:t>
      </w:r>
      <w:r w:rsidRPr="00F457B9">
        <w:rPr>
          <w:rFonts w:ascii="Times New Roman" w:hAnsi="Times New Roman"/>
          <w:sz w:val="24"/>
          <w:szCs w:val="24"/>
          <w:lang w:val="sq-AL" w:eastAsia="fr-FR"/>
        </w:rPr>
        <w:t>nligjore, pasi r</w:t>
      </w:r>
      <w:r w:rsidR="00A17E48" w:rsidRPr="00F457B9">
        <w:rPr>
          <w:rFonts w:ascii="Times New Roman" w:hAnsi="Times New Roman"/>
          <w:sz w:val="24"/>
          <w:szCs w:val="24"/>
          <w:lang w:val="sq-AL" w:eastAsia="fr-FR"/>
        </w:rPr>
        <w:t>regullorja nr. 53/2009</w:t>
      </w:r>
      <w:r w:rsidR="004324B5">
        <w:rPr>
          <w:rFonts w:ascii="Times New Roman" w:hAnsi="Times New Roman"/>
          <w:sz w:val="24"/>
          <w:szCs w:val="24"/>
          <w:lang w:val="sq-AL" w:eastAsia="fr-FR"/>
        </w:rPr>
        <w:t>,</w:t>
      </w:r>
      <w:r w:rsidR="00A17E48" w:rsidRPr="00F457B9">
        <w:rPr>
          <w:rFonts w:ascii="Times New Roman" w:hAnsi="Times New Roman"/>
          <w:sz w:val="24"/>
          <w:szCs w:val="24"/>
          <w:lang w:val="sq-AL" w:eastAsia="fr-FR"/>
        </w:rPr>
        <w:t xml:space="preserve"> pavarësisht emërtimit, nuk është </w:t>
      </w:r>
      <w:r w:rsidR="00E628F8" w:rsidRPr="00F457B9">
        <w:rPr>
          <w:rFonts w:ascii="Times New Roman" w:hAnsi="Times New Roman"/>
          <w:sz w:val="24"/>
          <w:szCs w:val="24"/>
          <w:lang w:val="sq-AL" w:eastAsia="fr-FR"/>
        </w:rPr>
        <w:t xml:space="preserve">akt i </w:t>
      </w:r>
      <w:r w:rsidR="00A17E48" w:rsidRPr="00F457B9">
        <w:rPr>
          <w:rFonts w:ascii="Times New Roman" w:hAnsi="Times New Roman"/>
          <w:sz w:val="24"/>
          <w:szCs w:val="24"/>
          <w:lang w:val="sq-AL" w:eastAsia="fr-FR"/>
        </w:rPr>
        <w:t>institucioneve qendrore</w:t>
      </w:r>
      <w:r w:rsidR="004324B5">
        <w:rPr>
          <w:rFonts w:ascii="Times New Roman" w:hAnsi="Times New Roman"/>
          <w:sz w:val="24"/>
          <w:szCs w:val="24"/>
          <w:lang w:val="sq-AL" w:eastAsia="fr-FR"/>
        </w:rPr>
        <w:t>,</w:t>
      </w:r>
      <w:r w:rsidR="00E628F8" w:rsidRPr="00F457B9">
        <w:rPr>
          <w:rFonts w:ascii="Times New Roman" w:hAnsi="Times New Roman"/>
          <w:sz w:val="24"/>
          <w:szCs w:val="24"/>
          <w:lang w:val="sq-AL" w:eastAsia="fr-FR"/>
        </w:rPr>
        <w:t xml:space="preserve"> sipas </w:t>
      </w:r>
      <w:r w:rsidR="00A17E48" w:rsidRPr="00F457B9">
        <w:rPr>
          <w:rFonts w:ascii="Times New Roman" w:hAnsi="Times New Roman"/>
          <w:sz w:val="24"/>
          <w:szCs w:val="24"/>
          <w:lang w:val="sq-AL" w:eastAsia="fr-FR"/>
        </w:rPr>
        <w:t>nenit 119 të Kushtetutës</w:t>
      </w:r>
      <w:r w:rsidR="00E628F8" w:rsidRPr="00F457B9">
        <w:rPr>
          <w:rFonts w:ascii="Times New Roman" w:hAnsi="Times New Roman"/>
          <w:sz w:val="24"/>
          <w:szCs w:val="24"/>
          <w:lang w:val="sq-AL" w:eastAsia="fr-FR"/>
        </w:rPr>
        <w:t xml:space="preserve"> dhe n</w:t>
      </w:r>
      <w:r w:rsidR="00D0548E" w:rsidRPr="00F457B9">
        <w:rPr>
          <w:rFonts w:ascii="Times New Roman" w:hAnsi="Times New Roman"/>
          <w:sz w:val="24"/>
          <w:szCs w:val="24"/>
          <w:lang w:val="sq-AL" w:eastAsia="fr-FR"/>
        </w:rPr>
        <w:t>ë</w:t>
      </w:r>
      <w:r w:rsidR="00E628F8" w:rsidRPr="00F457B9">
        <w:rPr>
          <w:rFonts w:ascii="Times New Roman" w:hAnsi="Times New Roman"/>
          <w:sz w:val="24"/>
          <w:szCs w:val="24"/>
          <w:lang w:val="sq-AL" w:eastAsia="fr-FR"/>
        </w:rPr>
        <w:t xml:space="preserve"> p</w:t>
      </w:r>
      <w:r w:rsidR="00D0548E" w:rsidRPr="00F457B9">
        <w:rPr>
          <w:rFonts w:ascii="Times New Roman" w:hAnsi="Times New Roman"/>
          <w:sz w:val="24"/>
          <w:szCs w:val="24"/>
          <w:lang w:val="sq-AL" w:eastAsia="fr-FR"/>
        </w:rPr>
        <w:t>ë</w:t>
      </w:r>
      <w:r w:rsidR="00E628F8" w:rsidRPr="00F457B9">
        <w:rPr>
          <w:rFonts w:ascii="Times New Roman" w:hAnsi="Times New Roman"/>
          <w:sz w:val="24"/>
          <w:szCs w:val="24"/>
          <w:lang w:val="sq-AL" w:eastAsia="fr-FR"/>
        </w:rPr>
        <w:t>rmbajtje</w:t>
      </w:r>
      <w:r w:rsidR="000E7428" w:rsidRPr="00F457B9">
        <w:rPr>
          <w:rFonts w:ascii="Times New Roman" w:hAnsi="Times New Roman"/>
          <w:sz w:val="24"/>
          <w:szCs w:val="24"/>
          <w:lang w:val="sq-AL" w:eastAsia="fr-FR"/>
        </w:rPr>
        <w:t xml:space="preserve"> asaj</w:t>
      </w:r>
      <w:r w:rsidR="00E628F8" w:rsidRPr="00F457B9">
        <w:rPr>
          <w:rFonts w:ascii="Times New Roman" w:hAnsi="Times New Roman"/>
          <w:sz w:val="24"/>
          <w:szCs w:val="24"/>
          <w:lang w:val="sq-AL" w:eastAsia="fr-FR"/>
        </w:rPr>
        <w:t xml:space="preserve"> i </w:t>
      </w:r>
      <w:r w:rsidR="00D0548E" w:rsidRPr="00F457B9">
        <w:rPr>
          <w:rFonts w:ascii="Times New Roman" w:hAnsi="Times New Roman"/>
          <w:sz w:val="24"/>
          <w:szCs w:val="24"/>
          <w:lang w:val="sq-AL" w:eastAsia="fr-FR"/>
        </w:rPr>
        <w:t>ë</w:t>
      </w:r>
      <w:r w:rsidR="00E628F8" w:rsidRPr="00F457B9">
        <w:rPr>
          <w:rFonts w:ascii="Times New Roman" w:hAnsi="Times New Roman"/>
          <w:sz w:val="24"/>
          <w:szCs w:val="24"/>
          <w:lang w:val="sq-AL" w:eastAsia="fr-FR"/>
        </w:rPr>
        <w:t>sht</w:t>
      </w:r>
      <w:r w:rsidR="00D0548E" w:rsidRPr="00F457B9">
        <w:rPr>
          <w:rFonts w:ascii="Times New Roman" w:hAnsi="Times New Roman"/>
          <w:sz w:val="24"/>
          <w:szCs w:val="24"/>
          <w:lang w:val="sq-AL" w:eastAsia="fr-FR"/>
        </w:rPr>
        <w:t>ë</w:t>
      </w:r>
      <w:r w:rsidR="00E628F8" w:rsidRPr="00F457B9">
        <w:rPr>
          <w:rFonts w:ascii="Times New Roman" w:hAnsi="Times New Roman"/>
          <w:sz w:val="24"/>
          <w:szCs w:val="24"/>
          <w:lang w:val="sq-AL" w:eastAsia="fr-FR"/>
        </w:rPr>
        <w:t xml:space="preserve"> dh</w:t>
      </w:r>
      <w:r w:rsidR="00D0548E" w:rsidRPr="00F457B9">
        <w:rPr>
          <w:rFonts w:ascii="Times New Roman" w:hAnsi="Times New Roman"/>
          <w:sz w:val="24"/>
          <w:szCs w:val="24"/>
          <w:lang w:val="sq-AL" w:eastAsia="fr-FR"/>
        </w:rPr>
        <w:t>ë</w:t>
      </w:r>
      <w:r w:rsidR="00E628F8" w:rsidRPr="00F457B9">
        <w:rPr>
          <w:rFonts w:ascii="Times New Roman" w:hAnsi="Times New Roman"/>
          <w:sz w:val="24"/>
          <w:szCs w:val="24"/>
          <w:lang w:val="sq-AL" w:eastAsia="fr-FR"/>
        </w:rPr>
        <w:t>n</w:t>
      </w:r>
      <w:r w:rsidR="00D0548E" w:rsidRPr="00F457B9">
        <w:rPr>
          <w:rFonts w:ascii="Times New Roman" w:hAnsi="Times New Roman"/>
          <w:sz w:val="24"/>
          <w:szCs w:val="24"/>
          <w:lang w:val="sq-AL" w:eastAsia="fr-FR"/>
        </w:rPr>
        <w:t>ë</w:t>
      </w:r>
      <w:r w:rsidR="00E628F8" w:rsidRPr="00F457B9">
        <w:rPr>
          <w:rFonts w:ascii="Times New Roman" w:hAnsi="Times New Roman"/>
          <w:sz w:val="24"/>
          <w:szCs w:val="24"/>
          <w:lang w:val="sq-AL" w:eastAsia="fr-FR"/>
        </w:rPr>
        <w:t xml:space="preserve"> e</w:t>
      </w:r>
      <w:r w:rsidR="00A17E48" w:rsidRPr="00F457B9">
        <w:rPr>
          <w:rFonts w:ascii="Times New Roman" w:hAnsi="Times New Roman"/>
          <w:sz w:val="24"/>
          <w:szCs w:val="24"/>
          <w:lang w:val="sq-AL" w:eastAsia="fr-FR"/>
        </w:rPr>
        <w:t xml:space="preserve">fekt juridik </w:t>
      </w:r>
      <w:proofErr w:type="spellStart"/>
      <w:r w:rsidR="00A17E48" w:rsidRPr="00F457B9">
        <w:rPr>
          <w:rFonts w:ascii="Times New Roman" w:hAnsi="Times New Roman"/>
          <w:i/>
          <w:sz w:val="24"/>
          <w:szCs w:val="24"/>
          <w:lang w:val="sq-AL" w:eastAsia="fr-FR"/>
        </w:rPr>
        <w:t>erga</w:t>
      </w:r>
      <w:proofErr w:type="spellEnd"/>
      <w:r w:rsidR="00A17E48" w:rsidRPr="00F457B9">
        <w:rPr>
          <w:rFonts w:ascii="Times New Roman" w:hAnsi="Times New Roman"/>
          <w:i/>
          <w:sz w:val="24"/>
          <w:szCs w:val="24"/>
          <w:lang w:val="sq-AL" w:eastAsia="fr-FR"/>
        </w:rPr>
        <w:t xml:space="preserve"> </w:t>
      </w:r>
      <w:proofErr w:type="spellStart"/>
      <w:r w:rsidR="00A17E48" w:rsidRPr="00F457B9">
        <w:rPr>
          <w:rFonts w:ascii="Times New Roman" w:hAnsi="Times New Roman"/>
          <w:i/>
          <w:sz w:val="24"/>
          <w:szCs w:val="24"/>
          <w:lang w:val="sq-AL" w:eastAsia="fr-FR"/>
        </w:rPr>
        <w:t>omnes</w:t>
      </w:r>
      <w:proofErr w:type="spellEnd"/>
      <w:r w:rsidR="00A17E48" w:rsidRPr="00F457B9">
        <w:rPr>
          <w:rFonts w:ascii="Times New Roman" w:hAnsi="Times New Roman"/>
          <w:sz w:val="24"/>
          <w:szCs w:val="24"/>
          <w:lang w:val="sq-AL" w:eastAsia="fr-FR"/>
        </w:rPr>
        <w:t xml:space="preserve"> te të tretët, individët dhe subjekt</w:t>
      </w:r>
      <w:r w:rsidR="006E429D" w:rsidRPr="00F457B9">
        <w:rPr>
          <w:rFonts w:ascii="Times New Roman" w:hAnsi="Times New Roman"/>
          <w:sz w:val="24"/>
          <w:szCs w:val="24"/>
          <w:lang w:val="sq-AL" w:eastAsia="fr-FR"/>
        </w:rPr>
        <w:t>e</w:t>
      </w:r>
      <w:r w:rsidR="00A17E48" w:rsidRPr="00F457B9">
        <w:rPr>
          <w:rFonts w:ascii="Times New Roman" w:hAnsi="Times New Roman"/>
          <w:sz w:val="24"/>
          <w:szCs w:val="24"/>
          <w:lang w:val="sq-AL" w:eastAsia="fr-FR"/>
        </w:rPr>
        <w:t>t e ligjit nr. 10076/2009.</w:t>
      </w:r>
    </w:p>
    <w:p w:rsidR="00A17E48" w:rsidRPr="00F457B9" w:rsidRDefault="00A17E48" w:rsidP="00F457B9">
      <w:pPr>
        <w:pStyle w:val="ListParagraph"/>
        <w:tabs>
          <w:tab w:val="left" w:pos="1080"/>
        </w:tabs>
        <w:spacing w:after="0" w:line="360" w:lineRule="auto"/>
        <w:jc w:val="both"/>
        <w:rPr>
          <w:rFonts w:ascii="Times New Roman" w:eastAsia="Times New Roman" w:hAnsi="Times New Roman"/>
          <w:sz w:val="24"/>
          <w:szCs w:val="24"/>
          <w:lang w:val="sq-AL"/>
        </w:rPr>
      </w:pPr>
    </w:p>
    <w:p w:rsidR="00A17E48" w:rsidRPr="00F457B9" w:rsidRDefault="00A17E48" w:rsidP="00F457B9">
      <w:pPr>
        <w:spacing w:after="0" w:line="360" w:lineRule="auto"/>
        <w:ind w:left="90"/>
        <w:jc w:val="center"/>
        <w:rPr>
          <w:rFonts w:ascii="Times New Roman" w:eastAsia="Times New Roman" w:hAnsi="Times New Roman"/>
          <w:b/>
          <w:sz w:val="24"/>
          <w:szCs w:val="24"/>
          <w:lang w:val="sq-AL"/>
        </w:rPr>
      </w:pPr>
      <w:r w:rsidRPr="00F457B9">
        <w:rPr>
          <w:rFonts w:ascii="Times New Roman" w:eastAsia="Times New Roman" w:hAnsi="Times New Roman"/>
          <w:b/>
          <w:sz w:val="24"/>
          <w:szCs w:val="24"/>
          <w:lang w:val="sq-AL"/>
        </w:rPr>
        <w:t>III</w:t>
      </w:r>
    </w:p>
    <w:p w:rsidR="00A17E48" w:rsidRPr="00F457B9" w:rsidRDefault="00A17E48" w:rsidP="00F457B9">
      <w:pPr>
        <w:spacing w:after="0" w:line="360" w:lineRule="auto"/>
        <w:jc w:val="center"/>
        <w:rPr>
          <w:rFonts w:ascii="Times New Roman" w:eastAsia="Times New Roman" w:hAnsi="Times New Roman"/>
          <w:b/>
          <w:sz w:val="24"/>
          <w:szCs w:val="24"/>
          <w:lang w:val="sq-AL"/>
        </w:rPr>
      </w:pPr>
      <w:r w:rsidRPr="00F457B9">
        <w:rPr>
          <w:rFonts w:ascii="Times New Roman" w:eastAsia="Times New Roman" w:hAnsi="Times New Roman"/>
          <w:b/>
          <w:sz w:val="24"/>
          <w:szCs w:val="24"/>
          <w:lang w:val="sq-AL"/>
        </w:rPr>
        <w:t>Vlerësimi i Mbledhjes së Gjyqtarëve</w:t>
      </w:r>
    </w:p>
    <w:p w:rsidR="00A17E48" w:rsidRPr="00F457B9" w:rsidRDefault="00A17E48" w:rsidP="00F457B9">
      <w:pPr>
        <w:pStyle w:val="ListParagraph"/>
        <w:numPr>
          <w:ilvl w:val="0"/>
          <w:numId w:val="3"/>
        </w:numPr>
        <w:tabs>
          <w:tab w:val="left" w:pos="1080"/>
        </w:tabs>
        <w:spacing w:after="0" w:line="360" w:lineRule="auto"/>
        <w:ind w:left="0" w:firstLine="720"/>
        <w:jc w:val="both"/>
        <w:rPr>
          <w:rFonts w:ascii="Times New Roman" w:hAnsi="Times New Roman"/>
          <w:i/>
          <w:sz w:val="24"/>
          <w:szCs w:val="24"/>
          <w:lang w:val="sq-AL" w:eastAsia="fr-FR"/>
        </w:rPr>
      </w:pPr>
      <w:r w:rsidRPr="00F457B9">
        <w:rPr>
          <w:rFonts w:ascii="Times New Roman" w:hAnsi="Times New Roman"/>
          <w:i/>
          <w:sz w:val="24"/>
          <w:szCs w:val="24"/>
          <w:lang w:val="sq-AL" w:eastAsia="fr-FR"/>
        </w:rPr>
        <w:t>Për legjitimimin e gjykat</w:t>
      </w:r>
      <w:r w:rsidR="00B32F59" w:rsidRPr="00F457B9">
        <w:rPr>
          <w:rFonts w:ascii="Times New Roman" w:hAnsi="Times New Roman"/>
          <w:i/>
          <w:sz w:val="24"/>
          <w:szCs w:val="24"/>
          <w:lang w:val="sq-AL" w:eastAsia="fr-FR"/>
        </w:rPr>
        <w:t>ë</w:t>
      </w:r>
      <w:r w:rsidRPr="00F457B9">
        <w:rPr>
          <w:rFonts w:ascii="Times New Roman" w:hAnsi="Times New Roman"/>
          <w:i/>
          <w:sz w:val="24"/>
          <w:szCs w:val="24"/>
          <w:lang w:val="sq-AL" w:eastAsia="fr-FR"/>
        </w:rPr>
        <w:t>s referuese</w:t>
      </w:r>
    </w:p>
    <w:p w:rsidR="00316CF1" w:rsidRPr="00F457B9" w:rsidRDefault="00355321" w:rsidP="00F457B9">
      <w:pPr>
        <w:pStyle w:val="ListParagraph"/>
        <w:numPr>
          <w:ilvl w:val="0"/>
          <w:numId w:val="5"/>
        </w:numPr>
        <w:tabs>
          <w:tab w:val="left" w:pos="1080"/>
        </w:tabs>
        <w:suppressAutoHyphens/>
        <w:spacing w:after="0" w:line="360" w:lineRule="auto"/>
        <w:ind w:left="0" w:firstLine="720"/>
        <w:jc w:val="both"/>
        <w:rPr>
          <w:rFonts w:ascii="Times New Roman" w:hAnsi="Times New Roman"/>
          <w:i/>
          <w:sz w:val="24"/>
          <w:szCs w:val="24"/>
          <w:lang w:val="sq-AL"/>
        </w:rPr>
      </w:pPr>
      <w:r w:rsidRPr="00F457B9">
        <w:rPr>
          <w:rFonts w:ascii="Times New Roman" w:hAnsi="Times New Roman"/>
          <w:sz w:val="24"/>
          <w:szCs w:val="24"/>
          <w:lang w:val="sq-AL"/>
        </w:rPr>
        <w:t>Nenet 145, pika 2 dhe 134, pika 1, shkronja “dh”, të Kushtetutës</w:t>
      </w:r>
      <w:r w:rsidR="0077112B" w:rsidRPr="00F457B9">
        <w:rPr>
          <w:rFonts w:ascii="Times New Roman" w:hAnsi="Times New Roman"/>
          <w:sz w:val="24"/>
          <w:szCs w:val="24"/>
          <w:lang w:val="sq-AL"/>
        </w:rPr>
        <w:t xml:space="preserve"> parashikojn</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se Gjykata vihet n</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l</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vizje me k</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rkes</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t</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gjykatave t</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juridiksionit t</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zakonsh</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m, kur gjyqtar</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t gjat</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gjykimit çmojn</w:t>
      </w:r>
      <w:r w:rsidR="002F6628" w:rsidRPr="00F457B9">
        <w:rPr>
          <w:rFonts w:ascii="Times New Roman" w:hAnsi="Times New Roman"/>
          <w:sz w:val="24"/>
          <w:szCs w:val="24"/>
          <w:lang w:val="sq-AL"/>
        </w:rPr>
        <w:t>ë</w:t>
      </w:r>
      <w:r w:rsidR="0077112B" w:rsidRPr="00F457B9">
        <w:rPr>
          <w:rFonts w:ascii="Times New Roman" w:hAnsi="Times New Roman"/>
          <w:sz w:val="24"/>
          <w:szCs w:val="24"/>
          <w:lang w:val="sq-AL"/>
        </w:rPr>
        <w:t xml:space="preserve"> se </w:t>
      </w:r>
      <w:r w:rsidR="00DC42C1" w:rsidRPr="00F457B9">
        <w:rPr>
          <w:rFonts w:ascii="Times New Roman" w:hAnsi="Times New Roman"/>
          <w:sz w:val="24"/>
          <w:szCs w:val="24"/>
          <w:lang w:val="sq-AL"/>
        </w:rPr>
        <w:t>ligjet vijnë në kundërshtim me Kushtetutën. N</w:t>
      </w:r>
      <w:r w:rsidR="00950C85" w:rsidRPr="00F457B9">
        <w:rPr>
          <w:rFonts w:ascii="Times New Roman" w:hAnsi="Times New Roman"/>
          <w:sz w:val="24"/>
          <w:szCs w:val="24"/>
          <w:lang w:val="sq-AL"/>
        </w:rPr>
        <w:t>ë</w:t>
      </w:r>
      <w:r w:rsidR="00DC42C1" w:rsidRPr="00F457B9">
        <w:rPr>
          <w:rFonts w:ascii="Times New Roman" w:hAnsi="Times New Roman"/>
          <w:sz w:val="24"/>
          <w:szCs w:val="24"/>
          <w:lang w:val="sq-AL"/>
        </w:rPr>
        <w:t xml:space="preserve"> k</w:t>
      </w:r>
      <w:r w:rsidR="00950C85" w:rsidRPr="00F457B9">
        <w:rPr>
          <w:rFonts w:ascii="Times New Roman" w:hAnsi="Times New Roman"/>
          <w:sz w:val="24"/>
          <w:szCs w:val="24"/>
          <w:lang w:val="sq-AL"/>
        </w:rPr>
        <w:t>ë</w:t>
      </w:r>
      <w:r w:rsidR="00DC42C1" w:rsidRPr="00F457B9">
        <w:rPr>
          <w:rFonts w:ascii="Times New Roman" w:hAnsi="Times New Roman"/>
          <w:sz w:val="24"/>
          <w:szCs w:val="24"/>
          <w:lang w:val="sq-AL"/>
        </w:rPr>
        <w:t>t</w:t>
      </w:r>
      <w:r w:rsidR="00950C85" w:rsidRPr="00F457B9">
        <w:rPr>
          <w:rFonts w:ascii="Times New Roman" w:hAnsi="Times New Roman"/>
          <w:sz w:val="24"/>
          <w:szCs w:val="24"/>
          <w:lang w:val="sq-AL"/>
        </w:rPr>
        <w:t>ë</w:t>
      </w:r>
      <w:r w:rsidR="00DC42C1" w:rsidRPr="00F457B9">
        <w:rPr>
          <w:rFonts w:ascii="Times New Roman" w:hAnsi="Times New Roman"/>
          <w:sz w:val="24"/>
          <w:szCs w:val="24"/>
          <w:lang w:val="sq-AL"/>
        </w:rPr>
        <w:t xml:space="preserve"> rast, ata nuk i zbatojnë ato, </w:t>
      </w:r>
      <w:r w:rsidR="004324B5">
        <w:rPr>
          <w:rFonts w:ascii="Times New Roman" w:hAnsi="Times New Roman"/>
          <w:sz w:val="24"/>
          <w:szCs w:val="24"/>
          <w:lang w:val="sq-AL"/>
        </w:rPr>
        <w:t xml:space="preserve">por </w:t>
      </w:r>
      <w:r w:rsidR="00DC42C1" w:rsidRPr="00F457B9">
        <w:rPr>
          <w:rFonts w:ascii="Times New Roman" w:hAnsi="Times New Roman"/>
          <w:sz w:val="24"/>
          <w:szCs w:val="24"/>
          <w:lang w:val="sq-AL"/>
        </w:rPr>
        <w:t>pezullojnë gjykimin dhe ia dërgojnë çështjen Gjykatës</w:t>
      </w:r>
      <w:r w:rsidR="00316CF1" w:rsidRPr="00F457B9">
        <w:rPr>
          <w:rFonts w:ascii="Times New Roman" w:hAnsi="Times New Roman"/>
          <w:sz w:val="24"/>
          <w:szCs w:val="24"/>
          <w:lang w:val="sq-AL"/>
        </w:rPr>
        <w:t xml:space="preserve">. </w:t>
      </w:r>
    </w:p>
    <w:p w:rsidR="00634DE7" w:rsidRPr="00F457B9" w:rsidRDefault="00634DE7" w:rsidP="00F457B9">
      <w:pPr>
        <w:pStyle w:val="ListParagraph"/>
        <w:numPr>
          <w:ilvl w:val="0"/>
          <w:numId w:val="5"/>
        </w:numPr>
        <w:tabs>
          <w:tab w:val="left" w:pos="1080"/>
          <w:tab w:val="left" w:pos="1530"/>
        </w:tabs>
        <w:suppressAutoHyphens/>
        <w:spacing w:after="0" w:line="360" w:lineRule="auto"/>
        <w:ind w:left="0" w:firstLine="720"/>
        <w:jc w:val="both"/>
        <w:rPr>
          <w:rFonts w:ascii="Times New Roman" w:hAnsi="Times New Roman"/>
          <w:i/>
          <w:sz w:val="24"/>
          <w:szCs w:val="24"/>
          <w:lang w:val="sq-AL"/>
        </w:rPr>
      </w:pPr>
      <w:r w:rsidRPr="00F457B9">
        <w:rPr>
          <w:rFonts w:ascii="Times New Roman" w:hAnsi="Times New Roman"/>
          <w:sz w:val="24"/>
          <w:szCs w:val="24"/>
          <w:lang w:val="sq-AL"/>
        </w:rPr>
        <w:t xml:space="preserve">Gjykata </w:t>
      </w:r>
      <w:r w:rsidRPr="00F457B9">
        <w:rPr>
          <w:rFonts w:ascii="Times New Roman" w:hAnsi="Times New Roman"/>
          <w:sz w:val="24"/>
          <w:szCs w:val="24"/>
          <w:shd w:val="clear" w:color="auto" w:fill="FFFFFF"/>
          <w:lang w:val="sq-AL"/>
        </w:rPr>
        <w:t xml:space="preserve">ka zhvilluar disa kritere </w:t>
      </w:r>
      <w:proofErr w:type="spellStart"/>
      <w:r w:rsidRPr="00F457B9">
        <w:rPr>
          <w:rFonts w:ascii="Times New Roman" w:hAnsi="Times New Roman"/>
          <w:sz w:val="24"/>
          <w:szCs w:val="24"/>
          <w:lang w:val="sq-AL"/>
        </w:rPr>
        <w:t>kumulative</w:t>
      </w:r>
      <w:proofErr w:type="spellEnd"/>
      <w:r w:rsidRPr="00F457B9">
        <w:rPr>
          <w:rFonts w:ascii="Times New Roman" w:hAnsi="Times New Roman"/>
          <w:sz w:val="24"/>
          <w:szCs w:val="24"/>
          <w:lang w:val="sq-AL"/>
        </w:rPr>
        <w:t xml:space="preserve"> për legjitimimin e gjykatës referuese për inicimin e kontrollit </w:t>
      </w:r>
      <w:proofErr w:type="spellStart"/>
      <w:r w:rsidRPr="00F457B9">
        <w:rPr>
          <w:rFonts w:ascii="Times New Roman" w:hAnsi="Times New Roman"/>
          <w:sz w:val="24"/>
          <w:szCs w:val="24"/>
          <w:lang w:val="sq-AL"/>
        </w:rPr>
        <w:t>incidental</w:t>
      </w:r>
      <w:proofErr w:type="spellEnd"/>
      <w:r w:rsidRPr="00F457B9">
        <w:rPr>
          <w:rFonts w:ascii="Times New Roman" w:hAnsi="Times New Roman"/>
          <w:sz w:val="24"/>
          <w:szCs w:val="24"/>
          <w:lang w:val="sq-AL"/>
        </w:rPr>
        <w:t xml:space="preserve"> të normës ligjore për pajtueshmëri me Kushtetutën. Sipas tyre, gjykata referuese duhet që gjatë procesit gjyqësor që zhvillohet pranë saj: (i) </w:t>
      </w:r>
      <w:r w:rsidRPr="00F457B9">
        <w:rPr>
          <w:rFonts w:ascii="Times New Roman" w:hAnsi="Times New Roman"/>
          <w:bCs/>
          <w:sz w:val="24"/>
          <w:szCs w:val="24"/>
          <w:lang w:val="sq-AL"/>
        </w:rPr>
        <w:t xml:space="preserve">të ketë identifikuar ligjin që do të zbatohet për zgjidhjen e </w:t>
      </w:r>
      <w:r w:rsidR="0077112B" w:rsidRPr="00F457B9">
        <w:rPr>
          <w:rFonts w:ascii="Times New Roman" w:hAnsi="Times New Roman"/>
          <w:bCs/>
          <w:sz w:val="24"/>
          <w:szCs w:val="24"/>
          <w:lang w:val="sq-AL"/>
        </w:rPr>
        <w:t xml:space="preserve">gjykimit </w:t>
      </w:r>
      <w:r w:rsidRPr="00F457B9">
        <w:rPr>
          <w:rFonts w:ascii="Times New Roman" w:hAnsi="Times New Roman"/>
          <w:bCs/>
          <w:sz w:val="24"/>
          <w:szCs w:val="24"/>
          <w:lang w:val="sq-AL"/>
        </w:rPr>
        <w:t>konkret; (</w:t>
      </w:r>
      <w:proofErr w:type="spellStart"/>
      <w:r w:rsidRPr="00F457B9">
        <w:rPr>
          <w:rFonts w:ascii="Times New Roman" w:hAnsi="Times New Roman"/>
          <w:bCs/>
          <w:sz w:val="24"/>
          <w:szCs w:val="24"/>
          <w:lang w:val="sq-AL"/>
        </w:rPr>
        <w:t>ii</w:t>
      </w:r>
      <w:proofErr w:type="spellEnd"/>
      <w:r w:rsidRPr="00F457B9">
        <w:rPr>
          <w:rFonts w:ascii="Times New Roman" w:hAnsi="Times New Roman"/>
          <w:bCs/>
          <w:sz w:val="24"/>
          <w:szCs w:val="24"/>
          <w:lang w:val="sq-AL"/>
        </w:rPr>
        <w:t xml:space="preserve">) </w:t>
      </w:r>
      <w:r w:rsidRPr="00F457B9">
        <w:rPr>
          <w:rFonts w:ascii="Times New Roman" w:hAnsi="Times New Roman"/>
          <w:sz w:val="24"/>
          <w:szCs w:val="24"/>
          <w:lang w:val="sq-AL"/>
        </w:rPr>
        <w:t>të ketë krijuar bindjen se</w:t>
      </w:r>
      <w:r w:rsidRPr="00F457B9">
        <w:rPr>
          <w:rFonts w:ascii="Times New Roman" w:hAnsi="Times New Roman"/>
          <w:bCs/>
          <w:sz w:val="24"/>
          <w:szCs w:val="24"/>
          <w:lang w:val="sq-AL"/>
        </w:rPr>
        <w:t xml:space="preserve"> </w:t>
      </w:r>
      <w:r w:rsidRPr="00F457B9">
        <w:rPr>
          <w:rFonts w:ascii="Times New Roman" w:hAnsi="Times New Roman"/>
          <w:sz w:val="24"/>
          <w:szCs w:val="24"/>
          <w:lang w:val="sq-AL"/>
        </w:rPr>
        <w:t xml:space="preserve">gjykimi i saj nuk mund të përfundojë në mënyrë të pavarur nga gjykimi në Gjykatën </w:t>
      </w:r>
      <w:r w:rsidRPr="00F457B9">
        <w:rPr>
          <w:rFonts w:ascii="Times New Roman" w:hAnsi="Times New Roman"/>
          <w:bCs/>
          <w:sz w:val="24"/>
          <w:szCs w:val="24"/>
          <w:lang w:val="sq-AL"/>
        </w:rPr>
        <w:t>– pra lidhjen e drejtpërdrejtë midis ligjit dhe çështjes kushtetuese</w:t>
      </w:r>
      <w:r w:rsidRPr="00F457B9">
        <w:rPr>
          <w:rFonts w:ascii="Times New Roman" w:hAnsi="Times New Roman"/>
          <w:sz w:val="24"/>
          <w:szCs w:val="24"/>
          <w:lang w:val="sq-AL"/>
        </w:rPr>
        <w:t>; (</w:t>
      </w:r>
      <w:proofErr w:type="spellStart"/>
      <w:r w:rsidRPr="00F457B9">
        <w:rPr>
          <w:rFonts w:ascii="Times New Roman" w:hAnsi="Times New Roman"/>
          <w:sz w:val="24"/>
          <w:szCs w:val="24"/>
          <w:lang w:val="sq-AL"/>
        </w:rPr>
        <w:t>iii</w:t>
      </w:r>
      <w:proofErr w:type="spellEnd"/>
      <w:r w:rsidRPr="00F457B9">
        <w:rPr>
          <w:rFonts w:ascii="Times New Roman" w:hAnsi="Times New Roman"/>
          <w:sz w:val="24"/>
          <w:szCs w:val="24"/>
          <w:lang w:val="sq-AL"/>
        </w:rPr>
        <w:t xml:space="preserve">) </w:t>
      </w:r>
      <w:r w:rsidRPr="00F457B9">
        <w:rPr>
          <w:rFonts w:ascii="Times New Roman" w:hAnsi="Times New Roman"/>
          <w:bCs/>
          <w:sz w:val="24"/>
          <w:szCs w:val="24"/>
          <w:lang w:val="sq-AL"/>
        </w:rPr>
        <w:t xml:space="preserve">të parashtrojë arsye bindëse për </w:t>
      </w:r>
      <w:proofErr w:type="spellStart"/>
      <w:r w:rsidRPr="00F457B9">
        <w:rPr>
          <w:rFonts w:ascii="Times New Roman" w:hAnsi="Times New Roman"/>
          <w:bCs/>
          <w:sz w:val="24"/>
          <w:szCs w:val="24"/>
          <w:lang w:val="sq-AL"/>
        </w:rPr>
        <w:t>antikushtetutshmërinë</w:t>
      </w:r>
      <w:proofErr w:type="spellEnd"/>
      <w:r w:rsidRPr="00F457B9">
        <w:rPr>
          <w:rFonts w:ascii="Times New Roman" w:hAnsi="Times New Roman"/>
          <w:bCs/>
          <w:sz w:val="24"/>
          <w:szCs w:val="24"/>
          <w:lang w:val="sq-AL"/>
        </w:rPr>
        <w:t xml:space="preserve"> e këtij ligji, duke referuar në normat ose parimet konkrete të Kushtetutës</w:t>
      </w:r>
      <w:r w:rsidR="004324B5">
        <w:rPr>
          <w:rFonts w:ascii="Times New Roman" w:hAnsi="Times New Roman"/>
          <w:bCs/>
          <w:sz w:val="24"/>
          <w:szCs w:val="24"/>
          <w:lang w:val="sq-AL"/>
        </w:rPr>
        <w:t xml:space="preserve">; </w:t>
      </w:r>
      <w:r w:rsidRPr="00F457B9">
        <w:rPr>
          <w:rFonts w:ascii="Times New Roman" w:hAnsi="Times New Roman"/>
          <w:sz w:val="24"/>
          <w:szCs w:val="24"/>
          <w:lang w:val="sq-AL"/>
        </w:rPr>
        <w:t>(</w:t>
      </w:r>
      <w:proofErr w:type="spellStart"/>
      <w:r w:rsidRPr="00F457B9">
        <w:rPr>
          <w:rFonts w:ascii="Times New Roman" w:hAnsi="Times New Roman"/>
          <w:sz w:val="24"/>
          <w:szCs w:val="24"/>
          <w:lang w:val="sq-AL"/>
        </w:rPr>
        <w:t>iv</w:t>
      </w:r>
      <w:proofErr w:type="spellEnd"/>
      <w:r w:rsidRPr="00F457B9">
        <w:rPr>
          <w:rFonts w:ascii="Times New Roman" w:hAnsi="Times New Roman"/>
          <w:sz w:val="24"/>
          <w:szCs w:val="24"/>
          <w:lang w:val="sq-AL"/>
        </w:rPr>
        <w:t>) të ketë bërë të gjitha përpjekjet për ta interpretuar atë në përputhje me Kushtetutën (</w:t>
      </w:r>
      <w:r w:rsidRPr="00F457B9">
        <w:rPr>
          <w:rFonts w:ascii="Times New Roman" w:hAnsi="Times New Roman"/>
          <w:i/>
          <w:sz w:val="24"/>
          <w:szCs w:val="24"/>
          <w:lang w:val="sq-AL"/>
        </w:rPr>
        <w:t>shih vendimet nr. 7, datë 23.02.2021; nr. 1, datë 26.01.2021;</w:t>
      </w:r>
      <w:r w:rsidRPr="00F457B9">
        <w:rPr>
          <w:rFonts w:ascii="Times New Roman" w:hAnsi="Times New Roman"/>
          <w:bCs/>
          <w:i/>
          <w:sz w:val="24"/>
          <w:szCs w:val="24"/>
          <w:lang w:val="sq-AL"/>
        </w:rPr>
        <w:t xml:space="preserve"> </w:t>
      </w:r>
      <w:r w:rsidRPr="00F457B9">
        <w:rPr>
          <w:rFonts w:ascii="Times New Roman" w:hAnsi="Times New Roman"/>
          <w:i/>
          <w:sz w:val="24"/>
          <w:szCs w:val="24"/>
          <w:lang w:val="sq-AL"/>
        </w:rPr>
        <w:t>nr. 8, datë 07.02.2017</w:t>
      </w:r>
      <w:r w:rsidRPr="00F457B9">
        <w:rPr>
          <w:rFonts w:ascii="Times New Roman" w:hAnsi="Times New Roman"/>
          <w:bCs/>
          <w:i/>
          <w:sz w:val="24"/>
          <w:szCs w:val="24"/>
          <w:lang w:val="sq-AL"/>
        </w:rPr>
        <w:t xml:space="preserve"> </w:t>
      </w:r>
      <w:r w:rsidRPr="00F457B9">
        <w:rPr>
          <w:rFonts w:ascii="Times New Roman" w:hAnsi="Times New Roman"/>
          <w:i/>
          <w:sz w:val="24"/>
          <w:szCs w:val="24"/>
          <w:lang w:val="sq-AL"/>
        </w:rPr>
        <w:t>t</w:t>
      </w:r>
      <w:r w:rsidRPr="00F457B9">
        <w:rPr>
          <w:rFonts w:ascii="Times New Roman" w:hAnsi="Times New Roman"/>
          <w:bCs/>
          <w:i/>
          <w:sz w:val="24"/>
          <w:szCs w:val="24"/>
          <w:lang w:val="sq-AL"/>
        </w:rPr>
        <w:t>ë Gjykatës Kushtetuese</w:t>
      </w:r>
      <w:r w:rsidRPr="00F457B9">
        <w:rPr>
          <w:rFonts w:ascii="Times New Roman" w:hAnsi="Times New Roman"/>
          <w:bCs/>
          <w:sz w:val="24"/>
          <w:szCs w:val="24"/>
          <w:lang w:val="sq-AL"/>
        </w:rPr>
        <w:t>)</w:t>
      </w:r>
      <w:r w:rsidRPr="00F457B9">
        <w:rPr>
          <w:rFonts w:ascii="Times New Roman" w:hAnsi="Times New Roman"/>
          <w:sz w:val="24"/>
          <w:szCs w:val="24"/>
          <w:lang w:val="sq-AL"/>
        </w:rPr>
        <w:t xml:space="preserve">. </w:t>
      </w:r>
    </w:p>
    <w:p w:rsidR="00634DE7" w:rsidRPr="00F457B9" w:rsidRDefault="004324B5" w:rsidP="00F457B9">
      <w:pPr>
        <w:pStyle w:val="ListParagraph"/>
        <w:numPr>
          <w:ilvl w:val="0"/>
          <w:numId w:val="5"/>
        </w:numPr>
        <w:tabs>
          <w:tab w:val="left" w:pos="1080"/>
          <w:tab w:val="left" w:pos="1530"/>
        </w:tabs>
        <w:suppressAutoHyphen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Për sa u</w:t>
      </w:r>
      <w:r w:rsidR="00634DE7" w:rsidRPr="00F457B9">
        <w:rPr>
          <w:rFonts w:ascii="Times New Roman" w:hAnsi="Times New Roman"/>
          <w:sz w:val="24"/>
          <w:szCs w:val="24"/>
          <w:lang w:val="sq-AL"/>
        </w:rPr>
        <w:t xml:space="preserve"> takon kritereve </w:t>
      </w:r>
      <w:bookmarkStart w:id="1" w:name="_Hlk108434668"/>
      <w:r w:rsidR="00634DE7" w:rsidRPr="00F457B9">
        <w:rPr>
          <w:rFonts w:ascii="Times New Roman" w:hAnsi="Times New Roman"/>
          <w:sz w:val="24"/>
          <w:szCs w:val="24"/>
          <w:lang w:val="sq-AL"/>
        </w:rPr>
        <w:t>për</w:t>
      </w:r>
      <w:r w:rsidR="0086654C" w:rsidRPr="00F457B9">
        <w:rPr>
          <w:rFonts w:ascii="Times New Roman" w:hAnsi="Times New Roman"/>
          <w:sz w:val="24"/>
          <w:szCs w:val="24"/>
          <w:lang w:val="sq-AL"/>
        </w:rPr>
        <w:t xml:space="preserve"> identifikimin</w:t>
      </w:r>
      <w:r w:rsidR="00634DE7" w:rsidRPr="00F457B9">
        <w:rPr>
          <w:rFonts w:ascii="Times New Roman" w:hAnsi="Times New Roman"/>
          <w:sz w:val="24"/>
          <w:szCs w:val="24"/>
          <w:lang w:val="sq-AL" w:eastAsia="sq-AL"/>
        </w:rPr>
        <w:t xml:space="preserve"> e ligjit të zbatueshëm dhe lidhjen e drejtpërdrejtë </w:t>
      </w:r>
      <w:r w:rsidR="00D75312" w:rsidRPr="00F457B9">
        <w:rPr>
          <w:rFonts w:ascii="Times New Roman" w:hAnsi="Times New Roman"/>
          <w:sz w:val="24"/>
          <w:szCs w:val="24"/>
          <w:lang w:val="sq-AL" w:eastAsia="sq-AL"/>
        </w:rPr>
        <w:t>t</w:t>
      </w:r>
      <w:r w:rsidR="00F01DB6" w:rsidRPr="00F457B9">
        <w:rPr>
          <w:rFonts w:ascii="Times New Roman" w:hAnsi="Times New Roman"/>
          <w:sz w:val="24"/>
          <w:szCs w:val="24"/>
          <w:lang w:val="sq-AL" w:eastAsia="sq-AL"/>
        </w:rPr>
        <w:t>ë</w:t>
      </w:r>
      <w:r w:rsidR="00D75312" w:rsidRPr="00F457B9">
        <w:rPr>
          <w:rFonts w:ascii="Times New Roman" w:hAnsi="Times New Roman"/>
          <w:sz w:val="24"/>
          <w:szCs w:val="24"/>
          <w:lang w:val="sq-AL" w:eastAsia="sq-AL"/>
        </w:rPr>
        <w:t xml:space="preserve"> kushtetutsh</w:t>
      </w:r>
      <w:r w:rsidR="0086654C" w:rsidRPr="00F457B9">
        <w:rPr>
          <w:rFonts w:ascii="Times New Roman" w:hAnsi="Times New Roman"/>
          <w:sz w:val="24"/>
          <w:szCs w:val="24"/>
          <w:lang w:val="sq-AL" w:eastAsia="sq-AL"/>
        </w:rPr>
        <w:t>m</w:t>
      </w:r>
      <w:r w:rsidR="00F01DB6" w:rsidRPr="00F457B9">
        <w:rPr>
          <w:rFonts w:ascii="Times New Roman" w:hAnsi="Times New Roman"/>
          <w:sz w:val="24"/>
          <w:szCs w:val="24"/>
          <w:lang w:val="sq-AL" w:eastAsia="sq-AL"/>
        </w:rPr>
        <w:t>ë</w:t>
      </w:r>
      <w:r w:rsidR="00D75312" w:rsidRPr="00F457B9">
        <w:rPr>
          <w:rFonts w:ascii="Times New Roman" w:hAnsi="Times New Roman"/>
          <w:sz w:val="24"/>
          <w:szCs w:val="24"/>
          <w:lang w:val="sq-AL" w:eastAsia="sq-AL"/>
        </w:rPr>
        <w:t>ris</w:t>
      </w:r>
      <w:r w:rsidR="00F01DB6" w:rsidRPr="00F457B9">
        <w:rPr>
          <w:rFonts w:ascii="Times New Roman" w:hAnsi="Times New Roman"/>
          <w:sz w:val="24"/>
          <w:szCs w:val="24"/>
          <w:lang w:val="sq-AL" w:eastAsia="sq-AL"/>
        </w:rPr>
        <w:t>ë</w:t>
      </w:r>
      <w:r w:rsidR="00D75312" w:rsidRPr="00F457B9">
        <w:rPr>
          <w:rFonts w:ascii="Times New Roman" w:hAnsi="Times New Roman"/>
          <w:sz w:val="24"/>
          <w:szCs w:val="24"/>
          <w:lang w:val="sq-AL" w:eastAsia="sq-AL"/>
        </w:rPr>
        <w:t xml:space="preserve"> s</w:t>
      </w:r>
      <w:r w:rsidR="00F01DB6" w:rsidRPr="00F457B9">
        <w:rPr>
          <w:rFonts w:ascii="Times New Roman" w:hAnsi="Times New Roman"/>
          <w:sz w:val="24"/>
          <w:szCs w:val="24"/>
          <w:lang w:val="sq-AL" w:eastAsia="sq-AL"/>
        </w:rPr>
        <w:t>ë</w:t>
      </w:r>
      <w:r w:rsidR="00D75312" w:rsidRPr="00F457B9">
        <w:rPr>
          <w:rFonts w:ascii="Times New Roman" w:hAnsi="Times New Roman"/>
          <w:sz w:val="24"/>
          <w:szCs w:val="24"/>
          <w:lang w:val="sq-AL" w:eastAsia="sq-AL"/>
        </w:rPr>
        <w:t xml:space="preserve"> tij </w:t>
      </w:r>
      <w:r w:rsidR="00634DE7" w:rsidRPr="00F457B9">
        <w:rPr>
          <w:rFonts w:ascii="Times New Roman" w:hAnsi="Times New Roman"/>
          <w:sz w:val="24"/>
          <w:szCs w:val="24"/>
          <w:lang w:val="sq-AL" w:eastAsia="sq-AL"/>
        </w:rPr>
        <w:t xml:space="preserve">me </w:t>
      </w:r>
      <w:r w:rsidR="0086654C" w:rsidRPr="00F457B9">
        <w:rPr>
          <w:rFonts w:ascii="Times New Roman" w:hAnsi="Times New Roman"/>
          <w:sz w:val="24"/>
          <w:szCs w:val="24"/>
          <w:lang w:val="sq-AL" w:eastAsia="sq-AL"/>
        </w:rPr>
        <w:t>gjykimin</w:t>
      </w:r>
      <w:r w:rsidR="00634DE7" w:rsidRPr="00F457B9">
        <w:rPr>
          <w:rFonts w:ascii="Times New Roman" w:hAnsi="Times New Roman"/>
          <w:sz w:val="24"/>
          <w:szCs w:val="24"/>
          <w:lang w:val="sq-AL" w:eastAsia="sq-AL"/>
        </w:rPr>
        <w:t>, Gjykata ka theksuar se gjykata referuese d</w:t>
      </w:r>
      <w:r w:rsidR="00634DE7" w:rsidRPr="00F457B9">
        <w:rPr>
          <w:rFonts w:ascii="Times New Roman" w:hAnsi="Times New Roman"/>
          <w:sz w:val="24"/>
          <w:szCs w:val="24"/>
          <w:lang w:val="sq-AL"/>
        </w:rPr>
        <w:t xml:space="preserve">uhet të arsyetojë efektin e drejtpërdrejtë që ka dispozita </w:t>
      </w:r>
      <w:r w:rsidR="0086654C" w:rsidRPr="00F457B9">
        <w:rPr>
          <w:rFonts w:ascii="Times New Roman" w:hAnsi="Times New Roman"/>
          <w:sz w:val="24"/>
          <w:szCs w:val="24"/>
          <w:lang w:val="sq-AL"/>
        </w:rPr>
        <w:t xml:space="preserve">ligjore </w:t>
      </w:r>
      <w:r w:rsidR="00634DE7" w:rsidRPr="00F457B9">
        <w:rPr>
          <w:rFonts w:ascii="Times New Roman" w:hAnsi="Times New Roman"/>
          <w:sz w:val="24"/>
          <w:szCs w:val="24"/>
          <w:lang w:val="sq-AL"/>
        </w:rPr>
        <w:t xml:space="preserve">e kundërshtuar si antikushtetuese për gjykimin pranë saj, duke e identifikuar si të zbatueshme për rastin konkret. </w:t>
      </w:r>
      <w:bookmarkEnd w:id="1"/>
      <w:r w:rsidR="00634DE7" w:rsidRPr="00F457B9">
        <w:rPr>
          <w:rFonts w:ascii="Times New Roman" w:hAnsi="Times New Roman"/>
          <w:sz w:val="24"/>
          <w:szCs w:val="24"/>
          <w:lang w:val="sq-AL"/>
        </w:rPr>
        <w:t xml:space="preserve">Kjo nënkupton se kriteri për </w:t>
      </w:r>
      <w:r w:rsidR="00634DE7" w:rsidRPr="00F457B9">
        <w:rPr>
          <w:rFonts w:ascii="Times New Roman" w:hAnsi="Times New Roman"/>
          <w:sz w:val="24"/>
          <w:szCs w:val="24"/>
          <w:lang w:val="sq-AL" w:eastAsia="sq-AL"/>
        </w:rPr>
        <w:t>identifikimin</w:t>
      </w:r>
      <w:r w:rsidR="00634DE7" w:rsidRPr="00F457B9">
        <w:rPr>
          <w:rFonts w:ascii="Times New Roman" w:hAnsi="Times New Roman"/>
          <w:sz w:val="24"/>
          <w:szCs w:val="24"/>
          <w:lang w:val="sq-AL"/>
        </w:rPr>
        <w:t xml:space="preserve"> e dispozitave ligjore që gjykata referuese çmon se bien ndesh me Kushtetutën, nuk konsiderohet i plotësuar thjesht me paraqitjen e tyre formalisht në kërkesë, pasi ato duhet të jenë identifikuar dhe individualizuar se zgjidhin çështjen gjyqësore konkrete (</w:t>
      </w:r>
      <w:r w:rsidR="00634DE7" w:rsidRPr="00F457B9">
        <w:rPr>
          <w:rFonts w:ascii="Times New Roman" w:hAnsi="Times New Roman"/>
          <w:i/>
          <w:sz w:val="24"/>
          <w:szCs w:val="24"/>
          <w:lang w:val="sq-AL"/>
        </w:rPr>
        <w:t xml:space="preserve">shih vendimin </w:t>
      </w:r>
      <w:r>
        <w:rPr>
          <w:rFonts w:ascii="Times New Roman" w:hAnsi="Times New Roman"/>
          <w:i/>
          <w:sz w:val="24"/>
          <w:szCs w:val="24"/>
          <w:lang w:val="sq-AL"/>
        </w:rPr>
        <w:t xml:space="preserve">nr. </w:t>
      </w:r>
      <w:r w:rsidR="00E21154" w:rsidRPr="00F457B9">
        <w:rPr>
          <w:rFonts w:ascii="Times New Roman" w:hAnsi="Times New Roman"/>
          <w:i/>
          <w:sz w:val="24"/>
          <w:szCs w:val="24"/>
          <w:lang w:val="sq-AL"/>
        </w:rPr>
        <w:t>15, dat</w:t>
      </w:r>
      <w:r w:rsidR="00D0548E" w:rsidRPr="00F457B9">
        <w:rPr>
          <w:rFonts w:ascii="Times New Roman" w:hAnsi="Times New Roman"/>
          <w:i/>
          <w:sz w:val="24"/>
          <w:szCs w:val="24"/>
          <w:lang w:val="sq-AL"/>
        </w:rPr>
        <w:t>ë</w:t>
      </w:r>
      <w:r w:rsidR="00E21154" w:rsidRPr="00F457B9">
        <w:rPr>
          <w:rFonts w:ascii="Times New Roman" w:hAnsi="Times New Roman"/>
          <w:i/>
          <w:sz w:val="24"/>
          <w:szCs w:val="24"/>
          <w:lang w:val="sq-AL"/>
        </w:rPr>
        <w:t xml:space="preserve"> 22.06.2022 t</w:t>
      </w:r>
      <w:r w:rsidR="00D0548E" w:rsidRPr="00F457B9">
        <w:rPr>
          <w:rFonts w:ascii="Times New Roman" w:hAnsi="Times New Roman"/>
          <w:i/>
          <w:sz w:val="24"/>
          <w:szCs w:val="24"/>
          <w:lang w:val="sq-AL"/>
        </w:rPr>
        <w:t>ë</w:t>
      </w:r>
      <w:r w:rsidR="00E21154" w:rsidRPr="00F457B9">
        <w:rPr>
          <w:rFonts w:ascii="Times New Roman" w:hAnsi="Times New Roman"/>
          <w:i/>
          <w:sz w:val="24"/>
          <w:szCs w:val="24"/>
          <w:lang w:val="sq-AL"/>
        </w:rPr>
        <w:t xml:space="preserve"> Gjykat</w:t>
      </w:r>
      <w:r w:rsidR="00D0548E" w:rsidRPr="00F457B9">
        <w:rPr>
          <w:rFonts w:ascii="Times New Roman" w:hAnsi="Times New Roman"/>
          <w:i/>
          <w:sz w:val="24"/>
          <w:szCs w:val="24"/>
          <w:lang w:val="sq-AL"/>
        </w:rPr>
        <w:t>ë</w:t>
      </w:r>
      <w:r w:rsidR="00E21154" w:rsidRPr="00F457B9">
        <w:rPr>
          <w:rFonts w:ascii="Times New Roman" w:hAnsi="Times New Roman"/>
          <w:i/>
          <w:sz w:val="24"/>
          <w:szCs w:val="24"/>
          <w:lang w:val="sq-AL"/>
        </w:rPr>
        <w:t>s Kushtetuese</w:t>
      </w:r>
      <w:r w:rsidR="00E21154" w:rsidRPr="00F457B9">
        <w:rPr>
          <w:rFonts w:ascii="Times New Roman" w:hAnsi="Times New Roman"/>
          <w:sz w:val="24"/>
          <w:szCs w:val="24"/>
          <w:lang w:val="sq-AL"/>
        </w:rPr>
        <w:t>)</w:t>
      </w:r>
      <w:r w:rsidR="00634DE7" w:rsidRPr="00F457B9">
        <w:rPr>
          <w:rFonts w:ascii="Times New Roman" w:hAnsi="Times New Roman"/>
          <w:sz w:val="24"/>
          <w:szCs w:val="24"/>
          <w:lang w:val="sq-AL"/>
        </w:rPr>
        <w:t>.</w:t>
      </w:r>
      <w:r w:rsidR="00634DE7" w:rsidRPr="00F457B9">
        <w:rPr>
          <w:rFonts w:ascii="Times New Roman" w:hAnsi="Times New Roman"/>
          <w:sz w:val="24"/>
          <w:szCs w:val="24"/>
          <w:lang w:val="sq-AL" w:eastAsia="sq-AL"/>
        </w:rPr>
        <w:t xml:space="preserve"> Po kështu, d</w:t>
      </w:r>
      <w:r w:rsidR="00634DE7" w:rsidRPr="00F457B9">
        <w:rPr>
          <w:rFonts w:ascii="Times New Roman" w:hAnsi="Times New Roman"/>
          <w:sz w:val="24"/>
          <w:szCs w:val="24"/>
          <w:shd w:val="clear" w:color="auto" w:fill="FFFFFF"/>
          <w:lang w:val="sq-AL"/>
        </w:rPr>
        <w:t xml:space="preserve">ispozita e kundërshtuar </w:t>
      </w:r>
      <w:r w:rsidR="00634DE7" w:rsidRPr="00F457B9">
        <w:rPr>
          <w:rFonts w:ascii="Times New Roman" w:hAnsi="Times New Roman"/>
          <w:sz w:val="24"/>
          <w:szCs w:val="24"/>
          <w:lang w:val="sq-AL"/>
        </w:rPr>
        <w:t xml:space="preserve">duhet </w:t>
      </w:r>
      <w:r w:rsidR="00634DE7" w:rsidRPr="00F457B9">
        <w:rPr>
          <w:rFonts w:ascii="Times New Roman" w:hAnsi="Times New Roman"/>
          <w:sz w:val="24"/>
          <w:szCs w:val="24"/>
          <w:shd w:val="clear" w:color="auto" w:fill="FFFFFF"/>
          <w:lang w:val="sq-AL"/>
        </w:rPr>
        <w:t>të ketë lidhje me gjykimin në gjykatën referuese në atë masë që ai gjykim nuk mund të përfundojë në mënyrë të pavarur pa u shqyrtuar nga Gjykata kushtetutshmëria e dispozit</w:t>
      </w:r>
      <w:r w:rsidR="00D0548E" w:rsidRPr="00F457B9">
        <w:rPr>
          <w:rFonts w:ascii="Times New Roman" w:hAnsi="Times New Roman"/>
          <w:sz w:val="24"/>
          <w:szCs w:val="24"/>
          <w:shd w:val="clear" w:color="auto" w:fill="FFFFFF"/>
          <w:lang w:val="sq-AL"/>
        </w:rPr>
        <w:t>ë</w:t>
      </w:r>
      <w:r w:rsidR="00634DE7" w:rsidRPr="00F457B9">
        <w:rPr>
          <w:rFonts w:ascii="Times New Roman" w:hAnsi="Times New Roman"/>
          <w:sz w:val="24"/>
          <w:szCs w:val="24"/>
          <w:shd w:val="clear" w:color="auto" w:fill="FFFFFF"/>
          <w:lang w:val="sq-AL"/>
        </w:rPr>
        <w:t>s ligjore (</w:t>
      </w:r>
      <w:r w:rsidR="00634DE7" w:rsidRPr="00F457B9">
        <w:rPr>
          <w:rFonts w:ascii="Times New Roman" w:hAnsi="Times New Roman"/>
          <w:i/>
          <w:iCs/>
          <w:sz w:val="24"/>
          <w:szCs w:val="24"/>
          <w:shd w:val="clear" w:color="auto" w:fill="FFFFFF"/>
          <w:lang w:val="sq-AL"/>
        </w:rPr>
        <w:t xml:space="preserve">shih vendimet nr. 1, datë 26.01.2021; </w:t>
      </w:r>
      <w:r w:rsidRPr="00F457B9">
        <w:rPr>
          <w:rFonts w:ascii="Times New Roman" w:hAnsi="Times New Roman"/>
          <w:i/>
          <w:iCs/>
          <w:sz w:val="24"/>
          <w:szCs w:val="24"/>
          <w:shd w:val="clear" w:color="auto" w:fill="FFFFFF"/>
          <w:lang w:val="sq-AL"/>
        </w:rPr>
        <w:t>nr. 30, datë 25.05.2015</w:t>
      </w:r>
      <w:r>
        <w:rPr>
          <w:rFonts w:ascii="Times New Roman" w:hAnsi="Times New Roman"/>
          <w:i/>
          <w:iCs/>
          <w:sz w:val="24"/>
          <w:szCs w:val="24"/>
          <w:shd w:val="clear" w:color="auto" w:fill="FFFFFF"/>
          <w:lang w:val="sq-AL"/>
        </w:rPr>
        <w:t>;</w:t>
      </w:r>
      <w:r w:rsidRPr="00F457B9">
        <w:rPr>
          <w:rFonts w:ascii="Times New Roman" w:hAnsi="Times New Roman"/>
          <w:i/>
          <w:iCs/>
          <w:sz w:val="24"/>
          <w:szCs w:val="24"/>
          <w:shd w:val="clear" w:color="auto" w:fill="FFFFFF"/>
          <w:lang w:val="sq-AL"/>
        </w:rPr>
        <w:t xml:space="preserve"> </w:t>
      </w:r>
      <w:r w:rsidR="00634DE7" w:rsidRPr="00F457B9">
        <w:rPr>
          <w:rFonts w:ascii="Times New Roman" w:hAnsi="Times New Roman"/>
          <w:i/>
          <w:iCs/>
          <w:sz w:val="24"/>
          <w:szCs w:val="24"/>
          <w:shd w:val="clear" w:color="auto" w:fill="FFFFFF"/>
          <w:lang w:val="sq-AL"/>
        </w:rPr>
        <w:t>nr. 26, datë 22.05.2015 të Gjykatës Kushtetuese</w:t>
      </w:r>
      <w:r w:rsidR="00634DE7" w:rsidRPr="00F457B9">
        <w:rPr>
          <w:rFonts w:ascii="Times New Roman" w:hAnsi="Times New Roman"/>
          <w:sz w:val="24"/>
          <w:szCs w:val="24"/>
          <w:shd w:val="clear" w:color="auto" w:fill="FFFFFF"/>
          <w:lang w:val="sq-AL"/>
        </w:rPr>
        <w:t>)</w:t>
      </w:r>
      <w:r w:rsidR="00634DE7" w:rsidRPr="00F457B9">
        <w:rPr>
          <w:rFonts w:ascii="Times New Roman" w:hAnsi="Times New Roman"/>
          <w:i/>
          <w:iCs/>
          <w:sz w:val="24"/>
          <w:szCs w:val="24"/>
          <w:shd w:val="clear" w:color="auto" w:fill="FFFFFF"/>
          <w:lang w:val="sq-AL"/>
        </w:rPr>
        <w:t>.</w:t>
      </w:r>
      <w:r w:rsidR="00634DE7" w:rsidRPr="00F457B9">
        <w:rPr>
          <w:rFonts w:ascii="Times New Roman" w:hAnsi="Times New Roman"/>
          <w:sz w:val="24"/>
          <w:szCs w:val="24"/>
          <w:shd w:val="clear" w:color="auto" w:fill="FFFFFF"/>
          <w:lang w:val="sq-AL"/>
        </w:rPr>
        <w:t xml:space="preserve"> </w:t>
      </w:r>
    </w:p>
    <w:p w:rsidR="005E496F" w:rsidRPr="00F457B9" w:rsidRDefault="005E496F"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rPr>
        <w:t>Në çështjen konkrete</w:t>
      </w:r>
      <w:r w:rsidR="004324B5">
        <w:rPr>
          <w:rFonts w:ascii="Times New Roman" w:hAnsi="Times New Roman"/>
          <w:sz w:val="24"/>
          <w:szCs w:val="24"/>
          <w:lang w:val="sq-AL"/>
        </w:rPr>
        <w:t xml:space="preserve"> n</w:t>
      </w:r>
      <w:r w:rsidR="00EA0D1E">
        <w:rPr>
          <w:rFonts w:ascii="Times New Roman" w:hAnsi="Times New Roman"/>
          <w:sz w:val="24"/>
          <w:szCs w:val="24"/>
          <w:lang w:val="sq-AL"/>
        </w:rPr>
        <w:t>ë</w:t>
      </w:r>
      <w:r w:rsidR="004324B5">
        <w:rPr>
          <w:rFonts w:ascii="Times New Roman" w:hAnsi="Times New Roman"/>
          <w:sz w:val="24"/>
          <w:szCs w:val="24"/>
          <w:lang w:val="sq-AL"/>
        </w:rPr>
        <w:t xml:space="preserve"> shqyrtim</w:t>
      </w:r>
      <w:r w:rsidRPr="00F457B9">
        <w:rPr>
          <w:rFonts w:ascii="Times New Roman" w:hAnsi="Times New Roman"/>
          <w:sz w:val="24"/>
          <w:szCs w:val="24"/>
          <w:lang w:val="sq-AL"/>
        </w:rPr>
        <w:t>, Mbledhja e Gjyqtarëve</w:t>
      </w:r>
      <w:r w:rsidR="004B190A" w:rsidRPr="00F457B9">
        <w:rPr>
          <w:rFonts w:ascii="Times New Roman" w:hAnsi="Times New Roman"/>
          <w:sz w:val="24"/>
          <w:szCs w:val="24"/>
          <w:lang w:val="sq-AL"/>
        </w:rPr>
        <w:t xml:space="preserve"> vler</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son fillimisht t</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 xml:space="preserve"> ndalet n</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 xml:space="preserve"> fuqin</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 xml:space="preserve"> juridike t</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 xml:space="preserve"> nenit 13, pika 1, të ligjit nr. 10076/2009, kushtetutshm</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ria e t</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 xml:space="preserve"> cilit kund</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 xml:space="preserve">rshtohet </w:t>
      </w:r>
      <w:r w:rsidR="007D03FA" w:rsidRPr="00F457B9">
        <w:rPr>
          <w:rFonts w:ascii="Times New Roman" w:hAnsi="Times New Roman"/>
          <w:sz w:val="24"/>
          <w:szCs w:val="24"/>
          <w:lang w:val="sq-AL"/>
        </w:rPr>
        <w:t>nga gjykata referuese</w:t>
      </w:r>
      <w:r w:rsidRPr="00F457B9">
        <w:rPr>
          <w:rFonts w:ascii="Times New Roman" w:hAnsi="Times New Roman"/>
          <w:sz w:val="24"/>
          <w:szCs w:val="24"/>
          <w:lang w:val="sq-AL"/>
        </w:rPr>
        <w:t xml:space="preserve">. </w:t>
      </w:r>
      <w:r w:rsidR="004B190A" w:rsidRPr="00F457B9">
        <w:rPr>
          <w:rFonts w:ascii="Times New Roman" w:hAnsi="Times New Roman"/>
          <w:sz w:val="24"/>
          <w:szCs w:val="24"/>
          <w:lang w:val="sq-AL"/>
        </w:rPr>
        <w:t>Nga nj</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ra an</w:t>
      </w:r>
      <w:r w:rsidR="00BE1E9D" w:rsidRPr="00F457B9">
        <w:rPr>
          <w:rFonts w:ascii="Times New Roman" w:hAnsi="Times New Roman"/>
          <w:sz w:val="24"/>
          <w:szCs w:val="24"/>
          <w:lang w:val="sq-AL"/>
        </w:rPr>
        <w:t>ë</w:t>
      </w:r>
      <w:r w:rsidR="004B190A" w:rsidRPr="00F457B9">
        <w:rPr>
          <w:rFonts w:ascii="Times New Roman" w:hAnsi="Times New Roman"/>
          <w:sz w:val="24"/>
          <w:szCs w:val="24"/>
          <w:lang w:val="sq-AL"/>
        </w:rPr>
        <w:t>, v</w:t>
      </w:r>
      <w:r w:rsidR="007D03FA" w:rsidRPr="00F457B9">
        <w:rPr>
          <w:rFonts w:ascii="Times New Roman" w:hAnsi="Times New Roman"/>
          <w:sz w:val="24"/>
          <w:szCs w:val="24"/>
          <w:lang w:val="sq-AL"/>
        </w:rPr>
        <w:t xml:space="preserve">erifikimi </w:t>
      </w:r>
      <w:r w:rsidRPr="00F457B9">
        <w:rPr>
          <w:rFonts w:ascii="Times New Roman" w:hAnsi="Times New Roman"/>
          <w:sz w:val="24"/>
          <w:szCs w:val="24"/>
          <w:lang w:val="sq-AL"/>
        </w:rPr>
        <w:t>i fuqisë juridike të ligjit që kundërshtohet merr rëndësi në drejtim të legjitimimit të gjykatës referuese</w:t>
      </w:r>
      <w:r w:rsidR="004324B5">
        <w:rPr>
          <w:rFonts w:ascii="Times New Roman" w:hAnsi="Times New Roman"/>
          <w:sz w:val="24"/>
          <w:szCs w:val="24"/>
          <w:lang w:val="sq-AL"/>
        </w:rPr>
        <w:t>,</w:t>
      </w:r>
      <w:r w:rsidRPr="00F457B9">
        <w:rPr>
          <w:rFonts w:ascii="Times New Roman" w:hAnsi="Times New Roman"/>
          <w:sz w:val="24"/>
          <w:szCs w:val="24"/>
          <w:lang w:val="sq-AL"/>
        </w:rPr>
        <w:t xml:space="preserve"> sepse ka të bëjë jo vetëm me </w:t>
      </w:r>
      <w:r w:rsidR="007D03FA" w:rsidRPr="00F457B9">
        <w:rPr>
          <w:rFonts w:ascii="Times New Roman" w:hAnsi="Times New Roman"/>
          <w:sz w:val="24"/>
          <w:szCs w:val="24"/>
          <w:lang w:val="sq-AL"/>
        </w:rPr>
        <w:t>identifikimin</w:t>
      </w:r>
      <w:r w:rsidRPr="00F457B9">
        <w:rPr>
          <w:rFonts w:ascii="Times New Roman" w:hAnsi="Times New Roman"/>
          <w:sz w:val="24"/>
          <w:szCs w:val="24"/>
          <w:lang w:val="sq-AL"/>
        </w:rPr>
        <w:t xml:space="preserve"> </w:t>
      </w:r>
      <w:r w:rsidR="007D03FA" w:rsidRPr="00F457B9">
        <w:rPr>
          <w:rFonts w:ascii="Times New Roman" w:hAnsi="Times New Roman"/>
          <w:sz w:val="24"/>
          <w:szCs w:val="24"/>
          <w:lang w:val="sq-AL"/>
        </w:rPr>
        <w:t>e</w:t>
      </w:r>
      <w:r w:rsidRPr="00F457B9">
        <w:rPr>
          <w:rFonts w:ascii="Times New Roman" w:hAnsi="Times New Roman"/>
          <w:sz w:val="24"/>
          <w:szCs w:val="24"/>
          <w:lang w:val="sq-AL"/>
        </w:rPr>
        <w:t xml:space="preserve"> ligjit të zbatueshëm, por edhe me lidhjen e drejtpërdrejtë të kushtetutshmërisë së tij me gjykimin konkret. </w:t>
      </w:r>
      <w:r w:rsidR="007D03FA" w:rsidRPr="00F457B9">
        <w:rPr>
          <w:rFonts w:ascii="Times New Roman" w:hAnsi="Times New Roman"/>
          <w:sz w:val="24"/>
          <w:szCs w:val="24"/>
          <w:lang w:val="sq-AL"/>
        </w:rPr>
        <w:t>Nga a</w:t>
      </w:r>
      <w:r w:rsidRPr="00F457B9">
        <w:rPr>
          <w:rFonts w:ascii="Times New Roman" w:hAnsi="Times New Roman"/>
          <w:sz w:val="24"/>
          <w:szCs w:val="24"/>
          <w:lang w:val="sq-AL"/>
        </w:rPr>
        <w:t>na tjetër</w:t>
      </w:r>
      <w:r w:rsidR="007D03FA" w:rsidRPr="00F457B9">
        <w:rPr>
          <w:rFonts w:ascii="Times New Roman" w:hAnsi="Times New Roman"/>
          <w:sz w:val="24"/>
          <w:szCs w:val="24"/>
          <w:lang w:val="sq-AL"/>
        </w:rPr>
        <w:t>, verifikimi i</w:t>
      </w:r>
      <w:r w:rsidRPr="00F457B9">
        <w:rPr>
          <w:rFonts w:ascii="Times New Roman" w:hAnsi="Times New Roman"/>
          <w:sz w:val="24"/>
          <w:szCs w:val="24"/>
          <w:lang w:val="sq-AL"/>
        </w:rPr>
        <w:t xml:space="preserve"> këtij elementi formal lidhet </w:t>
      </w:r>
      <w:r w:rsidR="007D03FA" w:rsidRPr="00F457B9">
        <w:rPr>
          <w:rFonts w:ascii="Times New Roman" w:hAnsi="Times New Roman"/>
          <w:sz w:val="24"/>
          <w:szCs w:val="24"/>
          <w:lang w:val="sq-AL"/>
        </w:rPr>
        <w:t xml:space="preserve">edhe </w:t>
      </w:r>
      <w:r w:rsidRPr="00F457B9">
        <w:rPr>
          <w:rFonts w:ascii="Times New Roman" w:hAnsi="Times New Roman"/>
          <w:sz w:val="24"/>
          <w:szCs w:val="24"/>
          <w:lang w:val="sq-AL"/>
        </w:rPr>
        <w:t xml:space="preserve">me juridiksionin e vetë Gjykatës dhe kufijtë e shqyrtimit të çështjes prej saj. </w:t>
      </w:r>
    </w:p>
    <w:p w:rsidR="005E496F" w:rsidRPr="00F457B9" w:rsidRDefault="00C14721"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Pr>
          <w:rFonts w:ascii="Times New Roman" w:hAnsi="Times New Roman"/>
          <w:sz w:val="24"/>
          <w:szCs w:val="24"/>
          <w:lang w:val="sq-AL" w:eastAsia="fr-FR"/>
        </w:rPr>
        <w:t>Lidhur me kontrollin</w:t>
      </w:r>
      <w:r w:rsidR="005E496F" w:rsidRPr="00F457B9">
        <w:rPr>
          <w:rFonts w:ascii="Times New Roman" w:hAnsi="Times New Roman"/>
          <w:sz w:val="24"/>
          <w:szCs w:val="24"/>
          <w:lang w:val="sq-AL" w:eastAsia="fr-FR"/>
        </w:rPr>
        <w:t xml:space="preserve"> kushtetues të akteve të shfuqizuara, Gjykata në jurisprudencën e saj ka pohuar se</w:t>
      </w:r>
      <w:r w:rsidR="004324B5">
        <w:rPr>
          <w:rFonts w:ascii="Times New Roman" w:hAnsi="Times New Roman"/>
          <w:sz w:val="24"/>
          <w:szCs w:val="24"/>
          <w:lang w:val="sq-AL" w:eastAsia="fr-FR"/>
        </w:rPr>
        <w:t>,</w:t>
      </w:r>
      <w:r w:rsidR="005E496F" w:rsidRPr="00F457B9">
        <w:rPr>
          <w:rFonts w:ascii="Times New Roman" w:hAnsi="Times New Roman"/>
          <w:sz w:val="24"/>
          <w:szCs w:val="24"/>
          <w:lang w:val="sq-AL" w:eastAsia="fr-FR"/>
        </w:rPr>
        <w:t xml:space="preserve"> si rregull, </w:t>
      </w:r>
      <w:r w:rsidR="005E496F" w:rsidRPr="00F457B9">
        <w:rPr>
          <w:rFonts w:ascii="Times New Roman" w:hAnsi="Times New Roman"/>
          <w:sz w:val="24"/>
          <w:szCs w:val="24"/>
          <w:lang w:val="sq-AL"/>
        </w:rPr>
        <w:t>normat juridike i nënshtrohen kontrollit kushtetues nëse janë në fuqi në kohën e kontrollit, ose e thënë ndryshe nëse janë akte të vlefshme që prodhojnë pasoja juridike (</w:t>
      </w:r>
      <w:r w:rsidR="005E496F" w:rsidRPr="00F457B9">
        <w:rPr>
          <w:rFonts w:ascii="Times New Roman" w:hAnsi="Times New Roman"/>
          <w:i/>
          <w:sz w:val="24"/>
          <w:szCs w:val="24"/>
          <w:lang w:val="sq-AL"/>
        </w:rPr>
        <w:t>shih vendimin nr. 9, datë 19.03.2008 të Gjykatës Kushtetuese</w:t>
      </w:r>
      <w:r w:rsidR="004324B5">
        <w:rPr>
          <w:rFonts w:ascii="Times New Roman" w:hAnsi="Times New Roman"/>
          <w:sz w:val="24"/>
          <w:szCs w:val="24"/>
          <w:lang w:val="sq-AL"/>
        </w:rPr>
        <w:t xml:space="preserve">). </w:t>
      </w:r>
      <w:r w:rsidR="005E496F" w:rsidRPr="00F457B9">
        <w:rPr>
          <w:rFonts w:ascii="Times New Roman" w:hAnsi="Times New Roman"/>
          <w:sz w:val="24"/>
          <w:szCs w:val="24"/>
          <w:lang w:val="sq-AL"/>
        </w:rPr>
        <w:t>Përjashtimisht, kontrollit kushtetues i nënshtrohen edhe norma juridike të shfuqizuara</w:t>
      </w:r>
      <w:r w:rsidR="004324B5">
        <w:rPr>
          <w:rFonts w:ascii="Times New Roman" w:hAnsi="Times New Roman"/>
          <w:sz w:val="24"/>
          <w:szCs w:val="24"/>
          <w:lang w:val="sq-AL"/>
        </w:rPr>
        <w:t>,</w:t>
      </w:r>
      <w:r w:rsidR="005E496F" w:rsidRPr="00F457B9">
        <w:rPr>
          <w:rFonts w:ascii="Times New Roman" w:hAnsi="Times New Roman"/>
          <w:sz w:val="24"/>
          <w:szCs w:val="24"/>
          <w:lang w:val="sq-AL"/>
        </w:rPr>
        <w:t xml:space="preserve"> kur këto, si pjesë e së drejtës pozitive, duhet të zbatohen për rregullimin e pasojave juridike që zgjasin në kohë dhe janë të lidhura me ekzekutimin periodik ose me afat të detyrimeve juridike civile që rrjedhin nga marrëdhënie juridike të krijuara në kohën e ligjit të shfuqizuar</w:t>
      </w:r>
      <w:r w:rsidR="005E496F" w:rsidRPr="00F457B9">
        <w:rPr>
          <w:rFonts w:ascii="Times New Roman" w:hAnsi="Times New Roman"/>
          <w:i/>
          <w:sz w:val="24"/>
          <w:szCs w:val="24"/>
          <w:lang w:val="sq-AL"/>
        </w:rPr>
        <w:t xml:space="preserve"> (shih vendimet nr. 8, datë 07.02.2017</w:t>
      </w:r>
      <w:r w:rsidR="005E496F" w:rsidRPr="00F457B9">
        <w:rPr>
          <w:rFonts w:ascii="Times New Roman" w:hAnsi="Times New Roman"/>
          <w:bCs/>
          <w:i/>
          <w:sz w:val="24"/>
          <w:szCs w:val="24"/>
          <w:lang w:val="sq-AL"/>
        </w:rPr>
        <w:t>;</w:t>
      </w:r>
      <w:r w:rsidR="005E496F" w:rsidRPr="00F457B9">
        <w:rPr>
          <w:rFonts w:ascii="Times New Roman" w:hAnsi="Times New Roman"/>
          <w:i/>
          <w:sz w:val="24"/>
          <w:szCs w:val="24"/>
          <w:lang w:val="sq-AL"/>
        </w:rPr>
        <w:t xml:space="preserve"> nr. 2, datë 31.01.2003 të Gjykatës Kushtetuese)</w:t>
      </w:r>
      <w:r w:rsidR="005E496F" w:rsidRPr="00F457B9">
        <w:rPr>
          <w:rFonts w:ascii="Times New Roman" w:hAnsi="Times New Roman"/>
          <w:sz w:val="24"/>
          <w:szCs w:val="24"/>
          <w:lang w:val="sq-AL"/>
        </w:rPr>
        <w:t>.</w:t>
      </w:r>
    </w:p>
    <w:p w:rsidR="00F85711" w:rsidRPr="00F457B9" w:rsidRDefault="00F85711"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sidRPr="00F457B9">
        <w:rPr>
          <w:rFonts w:ascii="Times New Roman" w:eastAsia="Times New Roman" w:hAnsi="Times New Roman"/>
          <w:sz w:val="24"/>
          <w:szCs w:val="24"/>
          <w:lang w:val="sq-AL"/>
        </w:rPr>
        <w:t xml:space="preserve"> </w:t>
      </w:r>
      <w:r w:rsidR="00BE5BA7" w:rsidRPr="00F457B9">
        <w:rPr>
          <w:rFonts w:ascii="Times New Roman" w:eastAsia="Times New Roman" w:hAnsi="Times New Roman"/>
          <w:sz w:val="24"/>
          <w:szCs w:val="24"/>
          <w:lang w:val="sq-AL"/>
        </w:rPr>
        <w:t>G</w:t>
      </w:r>
      <w:r w:rsidRPr="00F457B9">
        <w:rPr>
          <w:rFonts w:ascii="Times New Roman" w:eastAsia="Times New Roman" w:hAnsi="Times New Roman"/>
          <w:sz w:val="24"/>
          <w:szCs w:val="24"/>
          <w:lang w:val="sq-AL"/>
        </w:rPr>
        <w:t xml:space="preserve">jykata referuese </w:t>
      </w:r>
      <w:r w:rsidR="00BE5BA7" w:rsidRPr="00F457B9">
        <w:rPr>
          <w:rFonts w:ascii="Times New Roman" w:eastAsia="Times New Roman" w:hAnsi="Times New Roman"/>
          <w:sz w:val="24"/>
          <w:szCs w:val="24"/>
          <w:lang w:val="sq-AL"/>
        </w:rPr>
        <w:t xml:space="preserve">ka </w:t>
      </w:r>
      <w:r w:rsidRPr="00F457B9">
        <w:rPr>
          <w:rFonts w:ascii="Times New Roman" w:eastAsia="Times New Roman" w:hAnsi="Times New Roman"/>
          <w:sz w:val="24"/>
          <w:szCs w:val="24"/>
          <w:lang w:val="sq-AL"/>
        </w:rPr>
        <w:t>parashtr</w:t>
      </w:r>
      <w:r w:rsidR="00BE5BA7" w:rsidRPr="00F457B9">
        <w:rPr>
          <w:rFonts w:ascii="Times New Roman" w:eastAsia="Times New Roman" w:hAnsi="Times New Roman"/>
          <w:sz w:val="24"/>
          <w:szCs w:val="24"/>
          <w:lang w:val="sq-AL"/>
        </w:rPr>
        <w:t>uar</w:t>
      </w:r>
      <w:r w:rsidRPr="00F457B9">
        <w:rPr>
          <w:rFonts w:ascii="Times New Roman" w:eastAsia="Times New Roman" w:hAnsi="Times New Roman"/>
          <w:sz w:val="24"/>
          <w:szCs w:val="24"/>
          <w:lang w:val="sq-AL"/>
        </w:rPr>
        <w:t xml:space="preserve"> se </w:t>
      </w:r>
      <w:r w:rsidR="00476A7C" w:rsidRPr="00F457B9">
        <w:rPr>
          <w:rFonts w:ascii="Times New Roman" w:eastAsia="Times New Roman" w:hAnsi="Times New Roman"/>
          <w:sz w:val="24"/>
          <w:szCs w:val="24"/>
          <w:lang w:val="sq-AL"/>
        </w:rPr>
        <w:t>ndonëse ligji nr. 10076/2009 është shfuqizuar, pika 1 e nenit 13 të tij</w:t>
      </w:r>
      <w:r w:rsidR="00BE5BA7" w:rsidRPr="00F457B9">
        <w:rPr>
          <w:rFonts w:ascii="Times New Roman" w:eastAsia="Times New Roman" w:hAnsi="Times New Roman"/>
          <w:sz w:val="24"/>
          <w:szCs w:val="24"/>
          <w:lang w:val="sq-AL"/>
        </w:rPr>
        <w:t xml:space="preserve">, në përputhje me jurisprudencën kushtetuese, </w:t>
      </w:r>
      <w:r w:rsidR="00476A7C" w:rsidRPr="00F457B9">
        <w:rPr>
          <w:rFonts w:ascii="Times New Roman" w:eastAsia="Times New Roman" w:hAnsi="Times New Roman"/>
          <w:sz w:val="24"/>
          <w:szCs w:val="24"/>
          <w:lang w:val="sq-AL"/>
        </w:rPr>
        <w:t>duhet t’i nënshtrohet përjashtimisht kontrollit kushtetues</w:t>
      </w:r>
      <w:r w:rsidR="00BE5BA7" w:rsidRPr="00F457B9">
        <w:rPr>
          <w:rFonts w:ascii="Times New Roman" w:eastAsia="Times New Roman" w:hAnsi="Times New Roman"/>
          <w:sz w:val="24"/>
          <w:szCs w:val="24"/>
          <w:lang w:val="sq-AL"/>
        </w:rPr>
        <w:t xml:space="preserve">, </w:t>
      </w:r>
      <w:r w:rsidR="00476A7C" w:rsidRPr="00F457B9">
        <w:rPr>
          <w:rFonts w:ascii="Times New Roman" w:eastAsia="Times New Roman" w:hAnsi="Times New Roman"/>
          <w:sz w:val="24"/>
          <w:szCs w:val="24"/>
          <w:lang w:val="sq-AL"/>
        </w:rPr>
        <w:t xml:space="preserve">pasi i jep legjitimitet kushtetues AMF-së për të rregulluar me akt nënligjor normativ çështjet e së drejtës civile materiale që përcaktojnë mënyrat e përllogaritjes dhe masën e dëmeve pasurore dhe </w:t>
      </w:r>
      <w:proofErr w:type="spellStart"/>
      <w:r w:rsidR="00476A7C" w:rsidRPr="00F457B9">
        <w:rPr>
          <w:rFonts w:ascii="Times New Roman" w:eastAsia="Times New Roman" w:hAnsi="Times New Roman"/>
          <w:sz w:val="24"/>
          <w:szCs w:val="24"/>
          <w:lang w:val="sq-AL"/>
        </w:rPr>
        <w:t>jopasurore</w:t>
      </w:r>
      <w:proofErr w:type="spellEnd"/>
      <w:r w:rsidR="00476A7C" w:rsidRPr="00F457B9">
        <w:rPr>
          <w:rFonts w:ascii="Times New Roman" w:eastAsia="Times New Roman" w:hAnsi="Times New Roman"/>
          <w:sz w:val="24"/>
          <w:szCs w:val="24"/>
          <w:lang w:val="sq-AL"/>
        </w:rPr>
        <w:t xml:space="preserve"> të lindura nga marrëdhëniet </w:t>
      </w:r>
      <w:proofErr w:type="spellStart"/>
      <w:r w:rsidR="00476A7C" w:rsidRPr="00F457B9">
        <w:rPr>
          <w:rFonts w:ascii="Times New Roman" w:eastAsia="Times New Roman" w:hAnsi="Times New Roman"/>
          <w:sz w:val="24"/>
          <w:szCs w:val="24"/>
          <w:lang w:val="sq-AL"/>
        </w:rPr>
        <w:t>jashtëkontraktore</w:t>
      </w:r>
      <w:proofErr w:type="spellEnd"/>
      <w:r w:rsidR="00476A7C" w:rsidRPr="00F457B9">
        <w:rPr>
          <w:rFonts w:ascii="Times New Roman" w:eastAsia="Times New Roman" w:hAnsi="Times New Roman"/>
          <w:sz w:val="24"/>
          <w:szCs w:val="24"/>
          <w:lang w:val="sq-AL"/>
        </w:rPr>
        <w:t xml:space="preserve"> të shpërblimit të dëmit pasuror dhe </w:t>
      </w:r>
      <w:proofErr w:type="spellStart"/>
      <w:r w:rsidR="00476A7C" w:rsidRPr="00F457B9">
        <w:rPr>
          <w:rFonts w:ascii="Times New Roman" w:eastAsia="Times New Roman" w:hAnsi="Times New Roman"/>
          <w:sz w:val="24"/>
          <w:szCs w:val="24"/>
          <w:lang w:val="sq-AL"/>
        </w:rPr>
        <w:t>jopasuror</w:t>
      </w:r>
      <w:proofErr w:type="spellEnd"/>
      <w:r w:rsidR="00476A7C" w:rsidRPr="00F457B9">
        <w:rPr>
          <w:rFonts w:ascii="Times New Roman" w:eastAsia="Times New Roman" w:hAnsi="Times New Roman"/>
          <w:sz w:val="24"/>
          <w:szCs w:val="24"/>
          <w:lang w:val="sq-AL"/>
        </w:rPr>
        <w:t xml:space="preserve">. </w:t>
      </w:r>
      <w:r w:rsidR="004B190A" w:rsidRPr="00F457B9">
        <w:rPr>
          <w:rFonts w:ascii="Times New Roman" w:eastAsia="Times New Roman" w:hAnsi="Times New Roman"/>
          <w:sz w:val="24"/>
          <w:szCs w:val="24"/>
          <w:lang w:val="sq-AL"/>
        </w:rPr>
        <w:t>Neni 13</w:t>
      </w:r>
      <w:r w:rsidR="006D7AA8" w:rsidRPr="00F457B9">
        <w:rPr>
          <w:rFonts w:ascii="Times New Roman" w:eastAsia="Times New Roman" w:hAnsi="Times New Roman"/>
          <w:sz w:val="24"/>
          <w:szCs w:val="24"/>
          <w:lang w:val="sq-AL"/>
        </w:rPr>
        <w:t xml:space="preserve">, </w:t>
      </w:r>
      <w:r w:rsidR="004B190A" w:rsidRPr="00F457B9">
        <w:rPr>
          <w:rFonts w:ascii="Times New Roman" w:eastAsia="Times New Roman" w:hAnsi="Times New Roman"/>
          <w:sz w:val="24"/>
          <w:szCs w:val="24"/>
          <w:lang w:val="sq-AL"/>
        </w:rPr>
        <w:t>pika 1</w:t>
      </w:r>
      <w:r w:rsidR="004324B5">
        <w:rPr>
          <w:rFonts w:ascii="Times New Roman" w:eastAsia="Times New Roman" w:hAnsi="Times New Roman"/>
          <w:sz w:val="24"/>
          <w:szCs w:val="24"/>
          <w:lang w:val="sq-AL"/>
        </w:rPr>
        <w:t>,</w:t>
      </w:r>
      <w:r w:rsidR="004B190A" w:rsidRPr="00F457B9">
        <w:rPr>
          <w:rFonts w:ascii="Times New Roman" w:eastAsia="Times New Roman" w:hAnsi="Times New Roman"/>
          <w:sz w:val="24"/>
          <w:szCs w:val="24"/>
          <w:lang w:val="sq-AL"/>
        </w:rPr>
        <w:t xml:space="preserve"> </w:t>
      </w:r>
      <w:r w:rsidR="006D7AA8" w:rsidRPr="00F457B9">
        <w:rPr>
          <w:rFonts w:ascii="Times New Roman" w:eastAsia="Times New Roman" w:hAnsi="Times New Roman"/>
          <w:sz w:val="24"/>
          <w:szCs w:val="24"/>
          <w:lang w:val="sq-AL"/>
        </w:rPr>
        <w:t xml:space="preserve">i ligjit nr. 10076/2009 </w:t>
      </w:r>
      <w:r w:rsidR="00BE1E9D" w:rsidRPr="00F457B9">
        <w:rPr>
          <w:rFonts w:ascii="Times New Roman" w:eastAsia="Times New Roman" w:hAnsi="Times New Roman"/>
          <w:sz w:val="24"/>
          <w:szCs w:val="24"/>
          <w:lang w:val="sq-AL"/>
        </w:rPr>
        <w:t>ë</w:t>
      </w:r>
      <w:r w:rsidR="004B190A" w:rsidRPr="00F457B9">
        <w:rPr>
          <w:rFonts w:ascii="Times New Roman" w:eastAsia="Times New Roman" w:hAnsi="Times New Roman"/>
          <w:sz w:val="24"/>
          <w:szCs w:val="24"/>
          <w:lang w:val="sq-AL"/>
        </w:rPr>
        <w:t>sht</w:t>
      </w:r>
      <w:r w:rsidR="00BE1E9D" w:rsidRPr="00F457B9">
        <w:rPr>
          <w:rFonts w:ascii="Times New Roman" w:eastAsia="Times New Roman" w:hAnsi="Times New Roman"/>
          <w:sz w:val="24"/>
          <w:szCs w:val="24"/>
          <w:lang w:val="sq-AL"/>
        </w:rPr>
        <w:t>ë</w:t>
      </w:r>
      <w:r w:rsidR="004B190A" w:rsidRPr="00F457B9">
        <w:rPr>
          <w:rFonts w:ascii="Times New Roman" w:eastAsia="Times New Roman" w:hAnsi="Times New Roman"/>
          <w:sz w:val="24"/>
          <w:szCs w:val="24"/>
          <w:lang w:val="sq-AL"/>
        </w:rPr>
        <w:t xml:space="preserve"> drejtp</w:t>
      </w:r>
      <w:r w:rsidR="00BE1E9D" w:rsidRPr="00F457B9">
        <w:rPr>
          <w:rFonts w:ascii="Times New Roman" w:eastAsia="Times New Roman" w:hAnsi="Times New Roman"/>
          <w:sz w:val="24"/>
          <w:szCs w:val="24"/>
          <w:lang w:val="sq-AL"/>
        </w:rPr>
        <w:t>ë</w:t>
      </w:r>
      <w:r w:rsidR="004B190A" w:rsidRPr="00F457B9">
        <w:rPr>
          <w:rFonts w:ascii="Times New Roman" w:eastAsia="Times New Roman" w:hAnsi="Times New Roman"/>
          <w:sz w:val="24"/>
          <w:szCs w:val="24"/>
          <w:lang w:val="sq-AL"/>
        </w:rPr>
        <w:t>rdrejt i zbatuesh</w:t>
      </w:r>
      <w:r w:rsidR="00BE1E9D" w:rsidRPr="00F457B9">
        <w:rPr>
          <w:rFonts w:ascii="Times New Roman" w:eastAsia="Times New Roman" w:hAnsi="Times New Roman"/>
          <w:sz w:val="24"/>
          <w:szCs w:val="24"/>
          <w:lang w:val="sq-AL"/>
        </w:rPr>
        <w:t>ë</w:t>
      </w:r>
      <w:r w:rsidR="004B190A" w:rsidRPr="00F457B9">
        <w:rPr>
          <w:rFonts w:ascii="Times New Roman" w:eastAsia="Times New Roman" w:hAnsi="Times New Roman"/>
          <w:sz w:val="24"/>
          <w:szCs w:val="24"/>
          <w:lang w:val="sq-AL"/>
        </w:rPr>
        <w:t xml:space="preserve">m </w:t>
      </w:r>
      <w:r w:rsidR="00476A7C" w:rsidRPr="00F457B9">
        <w:rPr>
          <w:rFonts w:ascii="Times New Roman" w:eastAsia="Times New Roman" w:hAnsi="Times New Roman"/>
          <w:sz w:val="24"/>
          <w:szCs w:val="24"/>
          <w:lang w:val="sq-AL"/>
        </w:rPr>
        <w:t>në gjykim</w:t>
      </w:r>
      <w:r w:rsidR="004324B5">
        <w:rPr>
          <w:rFonts w:ascii="Times New Roman" w:eastAsia="Times New Roman" w:hAnsi="Times New Roman"/>
          <w:sz w:val="24"/>
          <w:szCs w:val="24"/>
          <w:lang w:val="sq-AL"/>
        </w:rPr>
        <w:t>,</w:t>
      </w:r>
      <w:r w:rsidR="00476A7C" w:rsidRPr="00F457B9">
        <w:rPr>
          <w:rFonts w:ascii="Times New Roman" w:eastAsia="Times New Roman" w:hAnsi="Times New Roman"/>
          <w:sz w:val="24"/>
          <w:szCs w:val="24"/>
          <w:lang w:val="sq-AL"/>
        </w:rPr>
        <w:t xml:space="preserve"> pasi ka bërë të detyruesh</w:t>
      </w:r>
      <w:r w:rsidR="00EA0D1E">
        <w:rPr>
          <w:rFonts w:ascii="Times New Roman" w:eastAsia="Times New Roman" w:hAnsi="Times New Roman"/>
          <w:sz w:val="24"/>
          <w:szCs w:val="24"/>
          <w:lang w:val="sq-AL"/>
        </w:rPr>
        <w:t>ë</w:t>
      </w:r>
      <w:r w:rsidR="00476A7C" w:rsidRPr="00F457B9">
        <w:rPr>
          <w:rFonts w:ascii="Times New Roman" w:eastAsia="Times New Roman" w:hAnsi="Times New Roman"/>
          <w:sz w:val="24"/>
          <w:szCs w:val="24"/>
          <w:lang w:val="sq-AL"/>
        </w:rPr>
        <w:t xml:space="preserve">m për gjykatat zbatimin e një pjese të së drejtës pozitive për zgjidhjen e çështjes, sipas nenit 16 të Kodit të Procedurës Civile </w:t>
      </w:r>
      <w:r w:rsidR="00476A7C" w:rsidRPr="00F457B9">
        <w:rPr>
          <w:rFonts w:ascii="Times New Roman" w:eastAsia="Times New Roman" w:hAnsi="Times New Roman"/>
          <w:i/>
          <w:sz w:val="24"/>
          <w:szCs w:val="24"/>
          <w:lang w:val="sq-AL"/>
        </w:rPr>
        <w:t>(shih paragrafin 44 të vendim</w:t>
      </w:r>
      <w:r w:rsidRPr="00F457B9">
        <w:rPr>
          <w:rFonts w:ascii="Times New Roman" w:eastAsia="Times New Roman" w:hAnsi="Times New Roman"/>
          <w:i/>
          <w:sz w:val="24"/>
          <w:szCs w:val="24"/>
          <w:lang w:val="sq-AL"/>
        </w:rPr>
        <w:t>i</w:t>
      </w:r>
      <w:r w:rsidR="00476A7C" w:rsidRPr="00F457B9">
        <w:rPr>
          <w:rFonts w:ascii="Times New Roman" w:eastAsia="Times New Roman" w:hAnsi="Times New Roman"/>
          <w:i/>
          <w:sz w:val="24"/>
          <w:szCs w:val="24"/>
          <w:lang w:val="sq-AL"/>
        </w:rPr>
        <w:t>t të Gjykatës së Lartë</w:t>
      </w:r>
      <w:r w:rsidR="00476A7C" w:rsidRPr="00F457B9">
        <w:rPr>
          <w:rFonts w:ascii="Times New Roman" w:eastAsia="Times New Roman" w:hAnsi="Times New Roman"/>
          <w:sz w:val="24"/>
          <w:szCs w:val="24"/>
          <w:lang w:val="sq-AL"/>
        </w:rPr>
        <w:t>).</w:t>
      </w:r>
      <w:r w:rsidR="00B242C4" w:rsidRPr="00F457B9">
        <w:rPr>
          <w:rFonts w:ascii="Times New Roman" w:eastAsia="Times New Roman" w:hAnsi="Times New Roman"/>
          <w:sz w:val="24"/>
          <w:szCs w:val="24"/>
          <w:lang w:val="sq-AL"/>
        </w:rPr>
        <w:t xml:space="preserve"> </w:t>
      </w:r>
      <w:r w:rsidR="00B242C4" w:rsidRPr="00F457B9">
        <w:rPr>
          <w:rFonts w:ascii="Times New Roman" w:hAnsi="Times New Roman"/>
          <w:sz w:val="24"/>
          <w:szCs w:val="24"/>
          <w:lang w:val="sq-AL"/>
        </w:rPr>
        <w:t xml:space="preserve">Po kështu, </w:t>
      </w:r>
      <w:r w:rsidR="00B242C4" w:rsidRPr="00F457B9">
        <w:rPr>
          <w:rFonts w:ascii="Times New Roman" w:hAnsi="Times New Roman"/>
          <w:sz w:val="24"/>
          <w:szCs w:val="24"/>
          <w:lang w:val="sq-AL" w:eastAsia="fr-FR"/>
        </w:rPr>
        <w:t xml:space="preserve">gjykata referuese ka parashtruar se në gjykimin që ajo po zhvillon zbatohet rregullorja nr. 53/2009. Dispozita ligjore e kundërshtuar </w:t>
      </w:r>
      <w:r w:rsidR="00B242C4" w:rsidRPr="00F457B9">
        <w:rPr>
          <w:rFonts w:ascii="Times New Roman" w:eastAsia="Times New Roman" w:hAnsi="Times New Roman"/>
          <w:sz w:val="24"/>
          <w:szCs w:val="24"/>
          <w:lang w:val="sq-AL"/>
        </w:rPr>
        <w:t>ka autorizuar nxjerrjen e rregullores nga AMF-ja, që nuk është as organ kushtetues dhe as institucion i parashikuar nga Kushtetuta</w:t>
      </w:r>
      <w:r w:rsidR="00B242C4" w:rsidRPr="00F457B9">
        <w:rPr>
          <w:rFonts w:ascii="Times New Roman" w:eastAsia="Times New Roman" w:hAnsi="Times New Roman"/>
          <w:i/>
          <w:sz w:val="24"/>
          <w:szCs w:val="24"/>
          <w:lang w:val="sq-AL"/>
        </w:rPr>
        <w:t xml:space="preserve"> (shih </w:t>
      </w:r>
      <w:r w:rsidR="001312FE" w:rsidRPr="00F457B9">
        <w:rPr>
          <w:rFonts w:ascii="Times New Roman" w:eastAsia="Times New Roman" w:hAnsi="Times New Roman"/>
          <w:i/>
          <w:sz w:val="24"/>
          <w:szCs w:val="24"/>
          <w:lang w:val="sq-AL"/>
        </w:rPr>
        <w:t xml:space="preserve">po aty, </w:t>
      </w:r>
      <w:r w:rsidR="00B242C4" w:rsidRPr="00F457B9">
        <w:rPr>
          <w:rFonts w:ascii="Times New Roman" w:eastAsia="Times New Roman" w:hAnsi="Times New Roman"/>
          <w:i/>
          <w:sz w:val="24"/>
          <w:szCs w:val="24"/>
          <w:lang w:val="sq-AL"/>
        </w:rPr>
        <w:t>paragrafin 32)</w:t>
      </w:r>
      <w:r w:rsidR="00B242C4" w:rsidRPr="00F457B9">
        <w:rPr>
          <w:rFonts w:ascii="Times New Roman" w:hAnsi="Times New Roman"/>
          <w:sz w:val="24"/>
          <w:szCs w:val="24"/>
          <w:lang w:val="sq-AL" w:eastAsia="fr-FR"/>
        </w:rPr>
        <w:t xml:space="preserve">. Sipas </w:t>
      </w:r>
      <w:r w:rsidR="001312FE" w:rsidRPr="00F457B9">
        <w:rPr>
          <w:rFonts w:ascii="Times New Roman" w:hAnsi="Times New Roman"/>
          <w:sz w:val="24"/>
          <w:szCs w:val="24"/>
          <w:lang w:val="sq-AL" w:eastAsia="fr-FR"/>
        </w:rPr>
        <w:t xml:space="preserve">saj, </w:t>
      </w:r>
      <w:r w:rsidR="00B242C4" w:rsidRPr="00F457B9">
        <w:rPr>
          <w:rFonts w:ascii="Times New Roman" w:hAnsi="Times New Roman"/>
          <w:sz w:val="24"/>
          <w:szCs w:val="24"/>
          <w:lang w:val="sq-AL" w:eastAsia="fr-FR"/>
        </w:rPr>
        <w:t>Kuvendi ka shkelur nenet 81 dhe 118 të Kushtetutës në delegimin e pushtetit normativ një institucioni që nuk ka zotësi kushtetuese për të prodhuar akte nënligjore normative (</w:t>
      </w:r>
      <w:r w:rsidR="00B242C4" w:rsidRPr="00F457B9">
        <w:rPr>
          <w:rFonts w:ascii="Times New Roman" w:hAnsi="Times New Roman"/>
          <w:i/>
          <w:sz w:val="24"/>
          <w:szCs w:val="24"/>
          <w:lang w:val="sq-AL" w:eastAsia="fr-FR"/>
        </w:rPr>
        <w:t>shih po aty, paragrafin 34</w:t>
      </w:r>
      <w:r w:rsidR="00B242C4" w:rsidRPr="00F457B9">
        <w:rPr>
          <w:rFonts w:ascii="Times New Roman" w:hAnsi="Times New Roman"/>
          <w:sz w:val="24"/>
          <w:szCs w:val="24"/>
          <w:lang w:val="sq-AL" w:eastAsia="fr-FR"/>
        </w:rPr>
        <w:t xml:space="preserve">). </w:t>
      </w:r>
      <w:r w:rsidR="001312FE" w:rsidRPr="00F457B9">
        <w:rPr>
          <w:rFonts w:ascii="Times New Roman" w:hAnsi="Times New Roman"/>
          <w:sz w:val="24"/>
          <w:szCs w:val="24"/>
          <w:lang w:val="sq-AL" w:eastAsia="fr-FR"/>
        </w:rPr>
        <w:t>Analiza e kushtetutshm</w:t>
      </w:r>
      <w:r w:rsidR="008D549A" w:rsidRPr="00F457B9">
        <w:rPr>
          <w:rFonts w:ascii="Times New Roman" w:hAnsi="Times New Roman"/>
          <w:sz w:val="24"/>
          <w:szCs w:val="24"/>
          <w:lang w:val="sq-AL" w:eastAsia="fr-FR"/>
        </w:rPr>
        <w:t>ë</w:t>
      </w:r>
      <w:r w:rsidR="001312FE" w:rsidRPr="00F457B9">
        <w:rPr>
          <w:rFonts w:ascii="Times New Roman" w:hAnsi="Times New Roman"/>
          <w:sz w:val="24"/>
          <w:szCs w:val="24"/>
          <w:lang w:val="sq-AL" w:eastAsia="fr-FR"/>
        </w:rPr>
        <w:t>ris</w:t>
      </w:r>
      <w:r w:rsidR="008D549A" w:rsidRPr="00F457B9">
        <w:rPr>
          <w:rFonts w:ascii="Times New Roman" w:hAnsi="Times New Roman"/>
          <w:sz w:val="24"/>
          <w:szCs w:val="24"/>
          <w:lang w:val="sq-AL" w:eastAsia="fr-FR"/>
        </w:rPr>
        <w:t>ë</w:t>
      </w:r>
      <w:r w:rsidR="001312FE" w:rsidRPr="00F457B9">
        <w:rPr>
          <w:rFonts w:ascii="Times New Roman" w:hAnsi="Times New Roman"/>
          <w:sz w:val="24"/>
          <w:szCs w:val="24"/>
          <w:lang w:val="sq-AL" w:eastAsia="fr-FR"/>
        </w:rPr>
        <w:t xml:space="preserve"> duhet t</w:t>
      </w:r>
      <w:r w:rsidR="008D549A" w:rsidRPr="00F457B9">
        <w:rPr>
          <w:rFonts w:ascii="Times New Roman" w:hAnsi="Times New Roman"/>
          <w:sz w:val="24"/>
          <w:szCs w:val="24"/>
          <w:lang w:val="sq-AL" w:eastAsia="fr-FR"/>
        </w:rPr>
        <w:t>ë</w:t>
      </w:r>
      <w:r w:rsidR="001312FE" w:rsidRPr="00F457B9">
        <w:rPr>
          <w:rFonts w:ascii="Times New Roman" w:hAnsi="Times New Roman"/>
          <w:sz w:val="24"/>
          <w:szCs w:val="24"/>
          <w:lang w:val="sq-AL" w:eastAsia="fr-FR"/>
        </w:rPr>
        <w:t xml:space="preserve"> p</w:t>
      </w:r>
      <w:r w:rsidR="008D549A" w:rsidRPr="00F457B9">
        <w:rPr>
          <w:rFonts w:ascii="Times New Roman" w:hAnsi="Times New Roman"/>
          <w:sz w:val="24"/>
          <w:szCs w:val="24"/>
          <w:lang w:val="sq-AL" w:eastAsia="fr-FR"/>
        </w:rPr>
        <w:t>ë</w:t>
      </w:r>
      <w:r w:rsidR="001312FE" w:rsidRPr="00F457B9">
        <w:rPr>
          <w:rFonts w:ascii="Times New Roman" w:hAnsi="Times New Roman"/>
          <w:sz w:val="24"/>
          <w:szCs w:val="24"/>
          <w:lang w:val="sq-AL" w:eastAsia="fr-FR"/>
        </w:rPr>
        <w:t>rfshij</w:t>
      </w:r>
      <w:r w:rsidR="008D549A" w:rsidRPr="00F457B9">
        <w:rPr>
          <w:rFonts w:ascii="Times New Roman" w:hAnsi="Times New Roman"/>
          <w:sz w:val="24"/>
          <w:szCs w:val="24"/>
          <w:lang w:val="sq-AL" w:eastAsia="fr-FR"/>
        </w:rPr>
        <w:t>ë</w:t>
      </w:r>
      <w:r w:rsidR="001312FE" w:rsidRPr="00F457B9">
        <w:rPr>
          <w:rFonts w:ascii="Times New Roman" w:hAnsi="Times New Roman"/>
          <w:sz w:val="24"/>
          <w:szCs w:val="24"/>
          <w:lang w:val="sq-AL" w:eastAsia="fr-FR"/>
        </w:rPr>
        <w:t xml:space="preserve"> edhe formulimin e </w:t>
      </w:r>
      <w:r w:rsidR="00B242C4" w:rsidRPr="00F457B9">
        <w:rPr>
          <w:rFonts w:ascii="Times New Roman" w:hAnsi="Times New Roman"/>
          <w:sz w:val="24"/>
          <w:szCs w:val="24"/>
          <w:lang w:val="sq-AL" w:eastAsia="fr-FR"/>
        </w:rPr>
        <w:t>pikë</w:t>
      </w:r>
      <w:r w:rsidR="001312FE" w:rsidRPr="00F457B9">
        <w:rPr>
          <w:rFonts w:ascii="Times New Roman" w:hAnsi="Times New Roman"/>
          <w:sz w:val="24"/>
          <w:szCs w:val="24"/>
          <w:lang w:val="sq-AL" w:eastAsia="fr-FR"/>
        </w:rPr>
        <w:t>s</w:t>
      </w:r>
      <w:r w:rsidR="00B242C4" w:rsidRPr="00F457B9">
        <w:rPr>
          <w:rFonts w:ascii="Times New Roman" w:hAnsi="Times New Roman"/>
          <w:sz w:val="24"/>
          <w:szCs w:val="24"/>
          <w:lang w:val="sq-AL" w:eastAsia="fr-FR"/>
        </w:rPr>
        <w:t xml:space="preserve"> 1 të nenit 11 të ligjit nr. 32/2021, </w:t>
      </w:r>
      <w:r w:rsidR="001312FE" w:rsidRPr="00F457B9">
        <w:rPr>
          <w:rFonts w:ascii="Times New Roman" w:hAnsi="Times New Roman"/>
          <w:sz w:val="24"/>
          <w:szCs w:val="24"/>
          <w:lang w:val="sq-AL" w:eastAsia="fr-FR"/>
        </w:rPr>
        <w:t xml:space="preserve">ku </w:t>
      </w:r>
      <w:r w:rsidR="00B242C4" w:rsidRPr="00F457B9">
        <w:rPr>
          <w:rFonts w:ascii="Times New Roman" w:hAnsi="Times New Roman"/>
          <w:sz w:val="24"/>
          <w:szCs w:val="24"/>
          <w:lang w:val="sq-AL" w:eastAsia="fr-FR"/>
        </w:rPr>
        <w:t>“ligjvënësi ka bërë në mënyrë të përsëritur dhe për së dyti këtë rregullim ligjor”</w:t>
      </w:r>
      <w:r w:rsidR="001312FE" w:rsidRPr="00F457B9">
        <w:rPr>
          <w:rFonts w:ascii="Times New Roman" w:hAnsi="Times New Roman"/>
          <w:sz w:val="24"/>
          <w:szCs w:val="24"/>
          <w:lang w:val="sq-AL" w:eastAsia="fr-FR"/>
        </w:rPr>
        <w:t>, megjithat</w:t>
      </w:r>
      <w:r w:rsidR="008D549A" w:rsidRPr="00F457B9">
        <w:rPr>
          <w:rFonts w:ascii="Times New Roman" w:hAnsi="Times New Roman"/>
          <w:sz w:val="24"/>
          <w:szCs w:val="24"/>
          <w:lang w:val="sq-AL" w:eastAsia="fr-FR"/>
        </w:rPr>
        <w:t>ë</w:t>
      </w:r>
      <w:r w:rsidR="001312FE" w:rsidRPr="00F457B9">
        <w:rPr>
          <w:rFonts w:ascii="Times New Roman" w:hAnsi="Times New Roman"/>
          <w:sz w:val="24"/>
          <w:szCs w:val="24"/>
          <w:lang w:val="sq-AL" w:eastAsia="fr-FR"/>
        </w:rPr>
        <w:t xml:space="preserve"> </w:t>
      </w:r>
      <w:r w:rsidR="00B242C4" w:rsidRPr="00F457B9">
        <w:rPr>
          <w:rFonts w:ascii="Times New Roman" w:hAnsi="Times New Roman"/>
          <w:sz w:val="24"/>
          <w:szCs w:val="24"/>
          <w:lang w:val="sq-AL" w:eastAsia="fr-FR"/>
        </w:rPr>
        <w:t xml:space="preserve">shqyrtimi i </w:t>
      </w:r>
      <w:r w:rsidR="001312FE" w:rsidRPr="00F457B9">
        <w:rPr>
          <w:rFonts w:ascii="Times New Roman" w:hAnsi="Times New Roman"/>
          <w:sz w:val="24"/>
          <w:szCs w:val="24"/>
          <w:lang w:val="sq-AL" w:eastAsia="fr-FR"/>
        </w:rPr>
        <w:t>tij</w:t>
      </w:r>
      <w:r w:rsidR="00B242C4" w:rsidRPr="00F457B9">
        <w:rPr>
          <w:rFonts w:ascii="Times New Roman" w:hAnsi="Times New Roman"/>
          <w:sz w:val="24"/>
          <w:szCs w:val="24"/>
          <w:lang w:val="sq-AL" w:eastAsia="fr-FR"/>
        </w:rPr>
        <w:t xml:space="preserve"> mbetet në </w:t>
      </w:r>
      <w:proofErr w:type="spellStart"/>
      <w:r w:rsidR="00B242C4" w:rsidRPr="00F457B9">
        <w:rPr>
          <w:rFonts w:ascii="Times New Roman" w:hAnsi="Times New Roman"/>
          <w:sz w:val="24"/>
          <w:szCs w:val="24"/>
          <w:lang w:val="sq-AL" w:eastAsia="fr-FR"/>
        </w:rPr>
        <w:t>diskrecionin</w:t>
      </w:r>
      <w:proofErr w:type="spellEnd"/>
      <w:r w:rsidR="00B242C4" w:rsidRPr="00F457B9">
        <w:rPr>
          <w:rFonts w:ascii="Times New Roman" w:hAnsi="Times New Roman"/>
          <w:sz w:val="24"/>
          <w:szCs w:val="24"/>
          <w:lang w:val="sq-AL" w:eastAsia="fr-FR"/>
        </w:rPr>
        <w:t xml:space="preserve"> dhe hapësirën e vlerësimit të Gjykatës (s</w:t>
      </w:r>
      <w:r w:rsidR="00B242C4" w:rsidRPr="00F457B9">
        <w:rPr>
          <w:rFonts w:ascii="Times New Roman" w:hAnsi="Times New Roman"/>
          <w:i/>
          <w:sz w:val="24"/>
          <w:szCs w:val="24"/>
          <w:lang w:val="sq-AL" w:eastAsia="fr-FR"/>
        </w:rPr>
        <w:t>hih po aty, paragrafët 40 – 45)</w:t>
      </w:r>
      <w:r w:rsidR="00B242C4" w:rsidRPr="00F457B9">
        <w:rPr>
          <w:rFonts w:ascii="Times New Roman" w:hAnsi="Times New Roman"/>
          <w:sz w:val="24"/>
          <w:szCs w:val="24"/>
          <w:lang w:val="sq-AL" w:eastAsia="fr-FR"/>
        </w:rPr>
        <w:t>.</w:t>
      </w:r>
    </w:p>
    <w:p w:rsidR="00401597" w:rsidRPr="00F457B9" w:rsidRDefault="00F85711"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sidRPr="00F457B9">
        <w:rPr>
          <w:rFonts w:ascii="Times New Roman" w:eastAsia="Times New Roman" w:hAnsi="Times New Roman"/>
          <w:sz w:val="24"/>
          <w:szCs w:val="24"/>
          <w:lang w:val="sq-AL"/>
        </w:rPr>
        <w:t xml:space="preserve">Mbledhja e Gjyqtarëve vëren se </w:t>
      </w:r>
      <w:r w:rsidR="00C84577" w:rsidRPr="00F457B9">
        <w:rPr>
          <w:rFonts w:ascii="Times New Roman" w:hAnsi="Times New Roman"/>
          <w:sz w:val="24"/>
          <w:szCs w:val="24"/>
          <w:lang w:val="sq-AL"/>
        </w:rPr>
        <w:t>neni 13, pika 1</w:t>
      </w:r>
      <w:r w:rsidR="00BE5BA7" w:rsidRPr="00F457B9">
        <w:rPr>
          <w:rFonts w:ascii="Times New Roman" w:hAnsi="Times New Roman"/>
          <w:sz w:val="24"/>
          <w:szCs w:val="24"/>
          <w:lang w:val="sq-AL"/>
        </w:rPr>
        <w:t>,</w:t>
      </w:r>
      <w:r w:rsidR="00C84577" w:rsidRPr="00F457B9">
        <w:rPr>
          <w:rFonts w:ascii="Times New Roman" w:hAnsi="Times New Roman"/>
          <w:sz w:val="24"/>
          <w:szCs w:val="24"/>
          <w:lang w:val="sq-AL"/>
        </w:rPr>
        <w:t xml:space="preserve"> i ligjit nr. 10076/2009 ka pa</w:t>
      </w:r>
      <w:r w:rsidR="00BE5BA7" w:rsidRPr="00F457B9">
        <w:rPr>
          <w:rFonts w:ascii="Times New Roman" w:hAnsi="Times New Roman"/>
          <w:sz w:val="24"/>
          <w:szCs w:val="24"/>
          <w:lang w:val="sq-AL"/>
        </w:rPr>
        <w:t>s</w:t>
      </w:r>
      <w:r w:rsidR="00C84577" w:rsidRPr="00F457B9">
        <w:rPr>
          <w:rFonts w:ascii="Times New Roman" w:hAnsi="Times New Roman"/>
          <w:sz w:val="24"/>
          <w:szCs w:val="24"/>
          <w:lang w:val="sq-AL"/>
        </w:rPr>
        <w:t xml:space="preserve">ur për qëllim të autorizojë AMF-në të miratojë rregullat për trajtimin e dëmeve nga aksidentet që mbulohen nga kontratat e sigurimit të detyrueshëm. </w:t>
      </w:r>
      <w:r w:rsidR="00245E08" w:rsidRPr="00F457B9">
        <w:rPr>
          <w:rFonts w:ascii="Times New Roman" w:hAnsi="Times New Roman"/>
          <w:sz w:val="24"/>
          <w:szCs w:val="24"/>
          <w:lang w:val="sq-AL"/>
        </w:rPr>
        <w:t>Përmbajtja e k</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saj dispozite ka të bëjë me bazën juridike që ka shërbyer për nxjerrjen e rregullores nr. 53/2009 për të përcaktuar rregulla për vlerat e dëmit. Me fjal</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 xml:space="preserve"> t</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 xml:space="preserve"> tjera, neni 13</w:t>
      </w:r>
      <w:r w:rsidR="006D7AA8" w:rsidRPr="00F457B9">
        <w:rPr>
          <w:rFonts w:ascii="Times New Roman" w:hAnsi="Times New Roman"/>
          <w:sz w:val="24"/>
          <w:szCs w:val="24"/>
          <w:lang w:val="sq-AL"/>
        </w:rPr>
        <w:t>,</w:t>
      </w:r>
      <w:r w:rsidR="00245E08" w:rsidRPr="00F457B9">
        <w:rPr>
          <w:rFonts w:ascii="Times New Roman" w:hAnsi="Times New Roman"/>
          <w:sz w:val="24"/>
          <w:szCs w:val="24"/>
          <w:lang w:val="sq-AL"/>
        </w:rPr>
        <w:t xml:space="preserve"> pika 1</w:t>
      </w:r>
      <w:r w:rsidR="004324B5">
        <w:rPr>
          <w:rFonts w:ascii="Times New Roman" w:hAnsi="Times New Roman"/>
          <w:sz w:val="24"/>
          <w:szCs w:val="24"/>
          <w:lang w:val="sq-AL"/>
        </w:rPr>
        <w:t>,</w:t>
      </w:r>
      <w:r w:rsidR="00245E08" w:rsidRPr="00F457B9">
        <w:rPr>
          <w:rFonts w:ascii="Times New Roman" w:hAnsi="Times New Roman"/>
          <w:sz w:val="24"/>
          <w:szCs w:val="24"/>
          <w:lang w:val="sq-AL"/>
        </w:rPr>
        <w:t xml:space="preserve"> </w:t>
      </w:r>
      <w:r w:rsidR="006D7AA8" w:rsidRPr="00F457B9">
        <w:rPr>
          <w:rFonts w:ascii="Times New Roman" w:hAnsi="Times New Roman"/>
          <w:sz w:val="24"/>
          <w:szCs w:val="24"/>
          <w:lang w:val="sq-AL"/>
        </w:rPr>
        <w:t xml:space="preserve">i ligjit nr. 10076/2009 </w:t>
      </w:r>
      <w:r w:rsidR="00245E08" w:rsidRPr="00F457B9">
        <w:rPr>
          <w:rFonts w:ascii="Times New Roman" w:hAnsi="Times New Roman"/>
          <w:sz w:val="24"/>
          <w:szCs w:val="24"/>
          <w:lang w:val="sq-AL"/>
        </w:rPr>
        <w:t xml:space="preserve">nuk </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sht</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 xml:space="preserve"> i </w:t>
      </w:r>
      <w:proofErr w:type="spellStart"/>
      <w:r w:rsidR="00245E08" w:rsidRPr="00F457B9">
        <w:rPr>
          <w:rFonts w:ascii="Times New Roman" w:hAnsi="Times New Roman"/>
          <w:sz w:val="24"/>
          <w:szCs w:val="24"/>
          <w:lang w:val="sq-AL"/>
        </w:rPr>
        <w:t>vet</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zbatuesh</w:t>
      </w:r>
      <w:r w:rsidR="00BE1E9D" w:rsidRPr="00F457B9">
        <w:rPr>
          <w:rFonts w:ascii="Times New Roman" w:hAnsi="Times New Roman"/>
          <w:sz w:val="24"/>
          <w:szCs w:val="24"/>
          <w:lang w:val="sq-AL"/>
        </w:rPr>
        <w:t>ë</w:t>
      </w:r>
      <w:r w:rsidR="00245E08" w:rsidRPr="00F457B9">
        <w:rPr>
          <w:rFonts w:ascii="Times New Roman" w:hAnsi="Times New Roman"/>
          <w:sz w:val="24"/>
          <w:szCs w:val="24"/>
          <w:lang w:val="sq-AL"/>
        </w:rPr>
        <w:t>m</w:t>
      </w:r>
      <w:proofErr w:type="spellEnd"/>
      <w:r w:rsidR="00245E08" w:rsidRPr="00F457B9">
        <w:rPr>
          <w:rFonts w:ascii="Times New Roman" w:hAnsi="Times New Roman"/>
          <w:sz w:val="24"/>
          <w:szCs w:val="24"/>
          <w:lang w:val="sq-AL"/>
        </w:rPr>
        <w:t xml:space="preserve"> n</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 xml:space="preserve"> zgjidhjen e mosmarr</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veshjes, por tregon procedurën e miratimit të rregullores nga AMF</w:t>
      </w:r>
      <w:r w:rsidR="004324B5">
        <w:rPr>
          <w:rFonts w:ascii="Times New Roman" w:hAnsi="Times New Roman"/>
          <w:sz w:val="24"/>
          <w:szCs w:val="24"/>
          <w:lang w:val="sq-AL"/>
        </w:rPr>
        <w:t>-ja</w:t>
      </w:r>
      <w:r w:rsidR="00245E08" w:rsidRPr="00F457B9">
        <w:rPr>
          <w:rFonts w:ascii="Times New Roman" w:hAnsi="Times New Roman"/>
          <w:sz w:val="24"/>
          <w:szCs w:val="24"/>
          <w:lang w:val="sq-AL"/>
        </w:rPr>
        <w:t xml:space="preserve">, pra është në funksion të vlefshmërisë së rregullores që nxirret në bazë të </w:t>
      </w:r>
      <w:r w:rsidR="004B190A" w:rsidRPr="00F457B9">
        <w:rPr>
          <w:rFonts w:ascii="Times New Roman" w:hAnsi="Times New Roman"/>
          <w:sz w:val="24"/>
          <w:szCs w:val="24"/>
          <w:lang w:val="sq-AL"/>
        </w:rPr>
        <w:t>tij</w:t>
      </w:r>
      <w:r w:rsidR="00245E08" w:rsidRPr="00F457B9">
        <w:rPr>
          <w:rFonts w:ascii="Times New Roman" w:hAnsi="Times New Roman"/>
          <w:sz w:val="24"/>
          <w:szCs w:val="24"/>
          <w:lang w:val="sq-AL"/>
        </w:rPr>
        <w:t>. P</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r m</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 xml:space="preserve"> tep</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r, m</w:t>
      </w:r>
      <w:r w:rsidR="00C84577" w:rsidRPr="00F457B9">
        <w:rPr>
          <w:rFonts w:ascii="Times New Roman" w:hAnsi="Times New Roman"/>
          <w:sz w:val="24"/>
          <w:szCs w:val="24"/>
          <w:lang w:val="sq-AL"/>
        </w:rPr>
        <w:t xml:space="preserve">e miratimin e rregullores nr. 53/2009 nga AMF-ja, qëllimi i </w:t>
      </w:r>
      <w:r w:rsidR="00476A7C" w:rsidRPr="00F457B9">
        <w:rPr>
          <w:rFonts w:ascii="Times New Roman" w:hAnsi="Times New Roman"/>
          <w:sz w:val="24"/>
          <w:szCs w:val="24"/>
          <w:lang w:val="sq-AL"/>
        </w:rPr>
        <w:t>k</w:t>
      </w:r>
      <w:r w:rsidRPr="00F457B9">
        <w:rPr>
          <w:rFonts w:ascii="Times New Roman" w:hAnsi="Times New Roman"/>
          <w:sz w:val="24"/>
          <w:szCs w:val="24"/>
          <w:lang w:val="sq-AL"/>
        </w:rPr>
        <w:t>ë</w:t>
      </w:r>
      <w:r w:rsidR="00476A7C" w:rsidRPr="00F457B9">
        <w:rPr>
          <w:rFonts w:ascii="Times New Roman" w:hAnsi="Times New Roman"/>
          <w:sz w:val="24"/>
          <w:szCs w:val="24"/>
          <w:lang w:val="sq-AL"/>
        </w:rPr>
        <w:t>saj dispozite ligjore</w:t>
      </w:r>
      <w:r w:rsidR="00C84577" w:rsidRPr="00F457B9">
        <w:rPr>
          <w:rFonts w:ascii="Times New Roman" w:hAnsi="Times New Roman"/>
          <w:sz w:val="24"/>
          <w:szCs w:val="24"/>
          <w:lang w:val="sq-AL"/>
        </w:rPr>
        <w:t xml:space="preserve"> është plotësuar</w:t>
      </w:r>
      <w:r w:rsidR="004324B5">
        <w:rPr>
          <w:rFonts w:ascii="Times New Roman" w:hAnsi="Times New Roman"/>
          <w:sz w:val="24"/>
          <w:szCs w:val="24"/>
          <w:lang w:val="sq-AL"/>
        </w:rPr>
        <w:t xml:space="preserve">, </w:t>
      </w:r>
      <w:r w:rsidR="00C84577" w:rsidRPr="00F457B9">
        <w:rPr>
          <w:rFonts w:ascii="Times New Roman" w:hAnsi="Times New Roman"/>
          <w:sz w:val="24"/>
          <w:szCs w:val="24"/>
          <w:lang w:val="sq-AL"/>
        </w:rPr>
        <w:t>për pasojë efektet e saj kanë përfunduar. Përveç kësaj, vetë ligji nr. 10076/2009, pjesë e të cilit është edhe dispozit</w:t>
      </w:r>
      <w:r w:rsidR="004324B5">
        <w:rPr>
          <w:rFonts w:ascii="Times New Roman" w:hAnsi="Times New Roman"/>
          <w:sz w:val="24"/>
          <w:szCs w:val="24"/>
          <w:lang w:val="sq-AL"/>
        </w:rPr>
        <w:t>a</w:t>
      </w:r>
      <w:r w:rsidR="00C84577" w:rsidRPr="00F457B9">
        <w:rPr>
          <w:rFonts w:ascii="Times New Roman" w:hAnsi="Times New Roman"/>
          <w:sz w:val="24"/>
          <w:szCs w:val="24"/>
          <w:lang w:val="sq-AL"/>
        </w:rPr>
        <w:t xml:space="preserve"> ligjore</w:t>
      </w:r>
      <w:r w:rsidR="004324B5">
        <w:rPr>
          <w:rFonts w:ascii="Times New Roman" w:hAnsi="Times New Roman"/>
          <w:sz w:val="24"/>
          <w:szCs w:val="24"/>
          <w:lang w:val="sq-AL"/>
        </w:rPr>
        <w:t xml:space="preserve"> e kund</w:t>
      </w:r>
      <w:r w:rsidR="00EA0D1E">
        <w:rPr>
          <w:rFonts w:ascii="Times New Roman" w:hAnsi="Times New Roman"/>
          <w:sz w:val="24"/>
          <w:szCs w:val="24"/>
          <w:lang w:val="sq-AL"/>
        </w:rPr>
        <w:t>ë</w:t>
      </w:r>
      <w:r w:rsidR="004324B5">
        <w:rPr>
          <w:rFonts w:ascii="Times New Roman" w:hAnsi="Times New Roman"/>
          <w:sz w:val="24"/>
          <w:szCs w:val="24"/>
          <w:lang w:val="sq-AL"/>
        </w:rPr>
        <w:t>rshtuar</w:t>
      </w:r>
      <w:r w:rsidR="00C84577" w:rsidRPr="00F457B9">
        <w:rPr>
          <w:rFonts w:ascii="Times New Roman" w:hAnsi="Times New Roman"/>
          <w:sz w:val="24"/>
          <w:szCs w:val="24"/>
          <w:lang w:val="sq-AL"/>
        </w:rPr>
        <w:t>, është shfuqizuar në tërësi me hyrjen në fuqi të ligjit nr. 32/2021. Në këto kushte, neni 13, pika 1</w:t>
      </w:r>
      <w:r w:rsidR="004324B5">
        <w:rPr>
          <w:rFonts w:ascii="Times New Roman" w:hAnsi="Times New Roman"/>
          <w:sz w:val="24"/>
          <w:szCs w:val="24"/>
          <w:lang w:val="sq-AL"/>
        </w:rPr>
        <w:t>,</w:t>
      </w:r>
      <w:r w:rsidR="00C84577" w:rsidRPr="00F457B9">
        <w:rPr>
          <w:rFonts w:ascii="Times New Roman" w:hAnsi="Times New Roman"/>
          <w:sz w:val="24"/>
          <w:szCs w:val="24"/>
          <w:lang w:val="sq-AL"/>
        </w:rPr>
        <w:t xml:space="preserve"> nuk mund të </w:t>
      </w:r>
      <w:r w:rsidR="004B190A" w:rsidRPr="00F457B9">
        <w:rPr>
          <w:rFonts w:ascii="Times New Roman" w:hAnsi="Times New Roman"/>
          <w:sz w:val="24"/>
          <w:szCs w:val="24"/>
          <w:lang w:val="sq-AL"/>
        </w:rPr>
        <w:t>zbatohet</w:t>
      </w:r>
      <w:r w:rsidR="00C84577" w:rsidRPr="00F457B9">
        <w:rPr>
          <w:rFonts w:ascii="Times New Roman" w:hAnsi="Times New Roman"/>
          <w:sz w:val="24"/>
          <w:szCs w:val="24"/>
          <w:lang w:val="sq-AL"/>
        </w:rPr>
        <w:t xml:space="preserve"> më nga subjektet e së drejtës që </w:t>
      </w:r>
      <w:r w:rsidR="004324B5">
        <w:rPr>
          <w:rFonts w:ascii="Times New Roman" w:hAnsi="Times New Roman"/>
          <w:sz w:val="24"/>
          <w:szCs w:val="24"/>
          <w:lang w:val="sq-AL"/>
        </w:rPr>
        <w:t>u</w:t>
      </w:r>
      <w:r w:rsidR="00C84577" w:rsidRPr="00F457B9">
        <w:rPr>
          <w:rFonts w:ascii="Times New Roman" w:hAnsi="Times New Roman"/>
          <w:sz w:val="24"/>
          <w:szCs w:val="24"/>
          <w:lang w:val="sq-AL"/>
        </w:rPr>
        <w:t xml:space="preserve"> drejtohet, konkretisht nga AMF-ja. </w:t>
      </w:r>
      <w:r w:rsidR="00C84577" w:rsidRPr="00F457B9">
        <w:rPr>
          <w:rFonts w:ascii="Times New Roman" w:hAnsi="Times New Roman"/>
          <w:sz w:val="24"/>
          <w:szCs w:val="24"/>
          <w:lang w:val="sq-AL" w:eastAsia="fr-FR"/>
        </w:rPr>
        <w:t>Kjo do të thotë se</w:t>
      </w:r>
      <w:r w:rsidR="00C84577" w:rsidRPr="00F457B9">
        <w:rPr>
          <w:rFonts w:ascii="Times New Roman" w:hAnsi="Times New Roman"/>
          <w:sz w:val="24"/>
          <w:szCs w:val="24"/>
          <w:lang w:val="sq-AL"/>
        </w:rPr>
        <w:t xml:space="preserve"> dispozita ligjore e kundërshtuar për papajtueshmëri me Kushtetutën nuk është më pjesë e rendit juridik</w:t>
      </w:r>
      <w:r w:rsidR="004324B5">
        <w:rPr>
          <w:rFonts w:ascii="Times New Roman" w:hAnsi="Times New Roman"/>
          <w:sz w:val="24"/>
          <w:szCs w:val="24"/>
          <w:lang w:val="sq-AL"/>
        </w:rPr>
        <w:t xml:space="preserve">, </w:t>
      </w:r>
      <w:r w:rsidR="00C84577" w:rsidRPr="00F457B9">
        <w:rPr>
          <w:rFonts w:ascii="Times New Roman" w:hAnsi="Times New Roman"/>
          <w:sz w:val="24"/>
          <w:szCs w:val="24"/>
          <w:lang w:val="sq-AL"/>
        </w:rPr>
        <w:t xml:space="preserve">për rrjedhojë nuk i nënshtrohet kontrollit kushtetues, </w:t>
      </w:r>
      <w:r w:rsidR="004324B5">
        <w:rPr>
          <w:rFonts w:ascii="Times New Roman" w:hAnsi="Times New Roman"/>
          <w:sz w:val="24"/>
          <w:szCs w:val="24"/>
          <w:lang w:val="sq-AL"/>
        </w:rPr>
        <w:t>veç</w:t>
      </w:r>
      <w:r w:rsidR="00C84577" w:rsidRPr="00F457B9">
        <w:rPr>
          <w:rFonts w:ascii="Times New Roman" w:hAnsi="Times New Roman"/>
          <w:sz w:val="24"/>
          <w:szCs w:val="24"/>
          <w:lang w:val="sq-AL"/>
        </w:rPr>
        <w:t xml:space="preserve"> </w:t>
      </w:r>
      <w:r w:rsidR="004324B5">
        <w:rPr>
          <w:rFonts w:ascii="Times New Roman" w:hAnsi="Times New Roman"/>
          <w:sz w:val="24"/>
          <w:szCs w:val="24"/>
          <w:lang w:val="sq-AL"/>
        </w:rPr>
        <w:t xml:space="preserve">kur </w:t>
      </w:r>
      <w:r w:rsidR="00C84577" w:rsidRPr="00F457B9">
        <w:rPr>
          <w:rFonts w:ascii="Times New Roman" w:hAnsi="Times New Roman"/>
          <w:sz w:val="24"/>
          <w:szCs w:val="24"/>
          <w:lang w:val="sq-AL"/>
        </w:rPr>
        <w:t xml:space="preserve">përmbajtja e saj zbatohet </w:t>
      </w:r>
      <w:r w:rsidR="00232627" w:rsidRPr="00F457B9">
        <w:rPr>
          <w:rFonts w:ascii="Times New Roman" w:hAnsi="Times New Roman"/>
          <w:sz w:val="24"/>
          <w:szCs w:val="24"/>
          <w:lang w:val="sq-AL"/>
        </w:rPr>
        <w:t xml:space="preserve">nga gjykatat </w:t>
      </w:r>
      <w:r w:rsidR="00C84577" w:rsidRPr="00F457B9">
        <w:rPr>
          <w:rFonts w:ascii="Times New Roman" w:hAnsi="Times New Roman"/>
          <w:sz w:val="24"/>
          <w:szCs w:val="24"/>
          <w:lang w:val="sq-AL"/>
        </w:rPr>
        <w:t xml:space="preserve">në lidhje me </w:t>
      </w:r>
      <w:r w:rsidR="00232627" w:rsidRPr="00F457B9">
        <w:rPr>
          <w:rFonts w:ascii="Times New Roman" w:hAnsi="Times New Roman"/>
          <w:sz w:val="24"/>
          <w:szCs w:val="24"/>
          <w:lang w:val="sq-AL"/>
        </w:rPr>
        <w:t xml:space="preserve">rregullimin e pasojave juridike </w:t>
      </w:r>
      <w:r w:rsidR="00C84577" w:rsidRPr="00F457B9">
        <w:rPr>
          <w:rFonts w:ascii="Times New Roman" w:hAnsi="Times New Roman"/>
          <w:sz w:val="24"/>
          <w:szCs w:val="24"/>
          <w:lang w:val="sq-AL"/>
        </w:rPr>
        <w:t>që rrjedhin nga marrëdhënie juridike të krijuara në kohën e saj</w:t>
      </w:r>
      <w:r w:rsidR="005E496F" w:rsidRPr="00F457B9">
        <w:rPr>
          <w:rFonts w:ascii="Times New Roman" w:hAnsi="Times New Roman"/>
          <w:sz w:val="24"/>
          <w:szCs w:val="24"/>
          <w:lang w:val="sq-AL"/>
        </w:rPr>
        <w:t xml:space="preserve">. </w:t>
      </w:r>
      <w:bookmarkStart w:id="2" w:name="_Hlk109131928"/>
      <w:bookmarkStart w:id="3" w:name="_Hlk109131766"/>
    </w:p>
    <w:p w:rsidR="003F6B17" w:rsidRPr="00F457B9" w:rsidRDefault="00F85711"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rPr>
        <w:t>Në këtë drejtim, Mbledhja e Gjyqtarëve vëren se argumenti i gjykatës referuese se neni 13, pika 1</w:t>
      </w:r>
      <w:r w:rsidR="00232627" w:rsidRPr="00F457B9">
        <w:rPr>
          <w:rFonts w:ascii="Times New Roman" w:hAnsi="Times New Roman"/>
          <w:sz w:val="24"/>
          <w:szCs w:val="24"/>
          <w:lang w:val="sq-AL"/>
        </w:rPr>
        <w:t>,</w:t>
      </w:r>
      <w:r w:rsidRPr="00F457B9">
        <w:rPr>
          <w:rFonts w:ascii="Times New Roman" w:hAnsi="Times New Roman"/>
          <w:sz w:val="24"/>
          <w:szCs w:val="24"/>
          <w:lang w:val="sq-AL"/>
        </w:rPr>
        <w:t xml:space="preserve"> i ligjit nr. 10076/2009 i jep legjitimitet kushtetues AMF-së për të përcaktuar, nëpërmjet një akti nënligjor, rregullat materiale të vlerave të dëmit, nuk është i mjaftueshëm që kjo dispozitë ligjore e shfuqizuar t’i nënshtrohet përjashtimisht kontrollit kushtetues. Për rrjedhojë, Mbledhja e Gjyqtarëve v</w:t>
      </w:r>
      <w:r w:rsidR="00245E08" w:rsidRPr="00F457B9">
        <w:rPr>
          <w:rFonts w:ascii="Times New Roman" w:hAnsi="Times New Roman"/>
          <w:sz w:val="24"/>
          <w:szCs w:val="24"/>
          <w:lang w:val="sq-AL"/>
        </w:rPr>
        <w:t>ler</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son</w:t>
      </w:r>
      <w:r w:rsidRPr="00F457B9">
        <w:rPr>
          <w:rFonts w:ascii="Times New Roman" w:hAnsi="Times New Roman"/>
          <w:sz w:val="24"/>
          <w:szCs w:val="24"/>
          <w:lang w:val="sq-AL"/>
        </w:rPr>
        <w:t xml:space="preserve"> se </w:t>
      </w:r>
      <w:bookmarkEnd w:id="2"/>
      <w:r w:rsidR="003F6B17" w:rsidRPr="00F457B9">
        <w:rPr>
          <w:rFonts w:ascii="Times New Roman" w:hAnsi="Times New Roman"/>
          <w:sz w:val="24"/>
          <w:szCs w:val="24"/>
          <w:lang w:val="sq-AL"/>
        </w:rPr>
        <w:t xml:space="preserve">në </w:t>
      </w:r>
      <w:r w:rsidRPr="00F457B9">
        <w:rPr>
          <w:rFonts w:ascii="Times New Roman" w:hAnsi="Times New Roman"/>
          <w:sz w:val="24"/>
          <w:szCs w:val="24"/>
          <w:lang w:val="sq-AL"/>
        </w:rPr>
        <w:t>ç</w:t>
      </w:r>
      <w:r w:rsidR="00C93F8A" w:rsidRPr="00F457B9">
        <w:rPr>
          <w:rFonts w:ascii="Times New Roman" w:hAnsi="Times New Roman"/>
          <w:sz w:val="24"/>
          <w:szCs w:val="24"/>
          <w:lang w:val="sq-AL"/>
        </w:rPr>
        <w:t>ë</w:t>
      </w:r>
      <w:r w:rsidRPr="00F457B9">
        <w:rPr>
          <w:rFonts w:ascii="Times New Roman" w:hAnsi="Times New Roman"/>
          <w:sz w:val="24"/>
          <w:szCs w:val="24"/>
          <w:lang w:val="sq-AL"/>
        </w:rPr>
        <w:t>shtjen konkrete nu</w:t>
      </w:r>
      <w:r w:rsidR="003F6B17" w:rsidRPr="00F457B9">
        <w:rPr>
          <w:rFonts w:ascii="Times New Roman" w:hAnsi="Times New Roman"/>
          <w:sz w:val="24"/>
          <w:szCs w:val="24"/>
          <w:lang w:val="sq-AL"/>
        </w:rPr>
        <w:t xml:space="preserve">k </w:t>
      </w:r>
      <w:r w:rsidR="00245E08" w:rsidRPr="00F457B9">
        <w:rPr>
          <w:rFonts w:ascii="Times New Roman" w:hAnsi="Times New Roman"/>
          <w:sz w:val="24"/>
          <w:szCs w:val="24"/>
          <w:lang w:val="sq-AL"/>
        </w:rPr>
        <w:t>p</w:t>
      </w:r>
      <w:r w:rsidR="008D549A" w:rsidRPr="00F457B9">
        <w:rPr>
          <w:rFonts w:ascii="Times New Roman" w:hAnsi="Times New Roman"/>
          <w:sz w:val="24"/>
          <w:szCs w:val="24"/>
          <w:lang w:val="sq-AL"/>
        </w:rPr>
        <w:t>ë</w:t>
      </w:r>
      <w:r w:rsidR="00245E08" w:rsidRPr="00F457B9">
        <w:rPr>
          <w:rFonts w:ascii="Times New Roman" w:hAnsi="Times New Roman"/>
          <w:sz w:val="24"/>
          <w:szCs w:val="24"/>
          <w:lang w:val="sq-AL"/>
        </w:rPr>
        <w:t xml:space="preserve">rmbushet </w:t>
      </w:r>
      <w:r w:rsidRPr="00F457B9">
        <w:rPr>
          <w:rFonts w:ascii="Times New Roman" w:hAnsi="Times New Roman"/>
          <w:sz w:val="24"/>
          <w:szCs w:val="24"/>
          <w:lang w:val="sq-AL"/>
        </w:rPr>
        <w:t xml:space="preserve">kriteri i </w:t>
      </w:r>
      <w:r w:rsidR="003F6B17" w:rsidRPr="00F457B9">
        <w:rPr>
          <w:rFonts w:ascii="Times New Roman" w:hAnsi="Times New Roman"/>
          <w:sz w:val="24"/>
          <w:szCs w:val="24"/>
          <w:lang w:val="sq-AL"/>
        </w:rPr>
        <w:t>lidhj</w:t>
      </w:r>
      <w:r w:rsidRPr="00F457B9">
        <w:rPr>
          <w:rFonts w:ascii="Times New Roman" w:hAnsi="Times New Roman"/>
          <w:sz w:val="24"/>
          <w:szCs w:val="24"/>
          <w:lang w:val="sq-AL"/>
        </w:rPr>
        <w:t>es s</w:t>
      </w:r>
      <w:r w:rsidR="00C93F8A" w:rsidRPr="00F457B9">
        <w:rPr>
          <w:rFonts w:ascii="Times New Roman" w:hAnsi="Times New Roman"/>
          <w:sz w:val="24"/>
          <w:szCs w:val="24"/>
          <w:lang w:val="sq-AL"/>
        </w:rPr>
        <w:t>ë</w:t>
      </w:r>
      <w:r w:rsidR="003F6B17" w:rsidRPr="00F457B9">
        <w:rPr>
          <w:rFonts w:ascii="Times New Roman" w:hAnsi="Times New Roman"/>
          <w:sz w:val="24"/>
          <w:szCs w:val="24"/>
          <w:lang w:val="sq-AL"/>
        </w:rPr>
        <w:t xml:space="preserve"> drejtpërdrejtë </w:t>
      </w:r>
      <w:r w:rsidRPr="00F457B9">
        <w:rPr>
          <w:rFonts w:ascii="Times New Roman" w:hAnsi="Times New Roman"/>
          <w:sz w:val="24"/>
          <w:szCs w:val="24"/>
          <w:lang w:val="sq-AL"/>
        </w:rPr>
        <w:t>t</w:t>
      </w:r>
      <w:r w:rsidR="00C93F8A" w:rsidRPr="00F457B9">
        <w:rPr>
          <w:rFonts w:ascii="Times New Roman" w:hAnsi="Times New Roman"/>
          <w:sz w:val="24"/>
          <w:szCs w:val="24"/>
          <w:lang w:val="sq-AL"/>
        </w:rPr>
        <w:t>ë</w:t>
      </w:r>
      <w:r w:rsidR="003F6B17" w:rsidRPr="00F457B9">
        <w:rPr>
          <w:rFonts w:ascii="Times New Roman" w:hAnsi="Times New Roman"/>
          <w:sz w:val="24"/>
          <w:szCs w:val="24"/>
          <w:lang w:val="sq-AL"/>
        </w:rPr>
        <w:t xml:space="preserve"> </w:t>
      </w:r>
      <w:proofErr w:type="spellStart"/>
      <w:r w:rsidR="003F6B17" w:rsidRPr="00F457B9">
        <w:rPr>
          <w:rFonts w:ascii="Times New Roman" w:hAnsi="Times New Roman"/>
          <w:sz w:val="24"/>
          <w:szCs w:val="24"/>
          <w:lang w:val="sq-AL"/>
        </w:rPr>
        <w:t>antikushtetutshmërisë</w:t>
      </w:r>
      <w:proofErr w:type="spellEnd"/>
      <w:r w:rsidR="003F6B17" w:rsidRPr="00F457B9">
        <w:rPr>
          <w:rFonts w:ascii="Times New Roman" w:hAnsi="Times New Roman"/>
          <w:sz w:val="24"/>
          <w:szCs w:val="24"/>
          <w:lang w:val="sq-AL"/>
        </w:rPr>
        <w:t xml:space="preserve"> së </w:t>
      </w:r>
      <w:r w:rsidR="00EA0D1E">
        <w:rPr>
          <w:rFonts w:ascii="Times New Roman" w:hAnsi="Times New Roman"/>
          <w:sz w:val="24"/>
          <w:szCs w:val="24"/>
          <w:lang w:val="sq-AL"/>
        </w:rPr>
        <w:t>dispozitës së kundërshtuar</w:t>
      </w:r>
      <w:r w:rsidRPr="00F457B9">
        <w:rPr>
          <w:rFonts w:ascii="Times New Roman" w:hAnsi="Times New Roman"/>
          <w:sz w:val="24"/>
          <w:szCs w:val="24"/>
          <w:lang w:val="sq-AL"/>
        </w:rPr>
        <w:t xml:space="preserve"> </w:t>
      </w:r>
      <w:r w:rsidR="003F6B17" w:rsidRPr="00F457B9">
        <w:rPr>
          <w:rFonts w:ascii="Times New Roman" w:hAnsi="Times New Roman"/>
          <w:sz w:val="24"/>
          <w:szCs w:val="24"/>
          <w:lang w:val="sq-AL"/>
        </w:rPr>
        <w:t xml:space="preserve">me mosmarrëveshjen që po </w:t>
      </w:r>
      <w:r w:rsidRPr="00F457B9">
        <w:rPr>
          <w:rFonts w:ascii="Times New Roman" w:hAnsi="Times New Roman"/>
          <w:sz w:val="24"/>
          <w:szCs w:val="24"/>
          <w:lang w:val="sq-AL"/>
        </w:rPr>
        <w:t>shqyrton</w:t>
      </w:r>
      <w:r w:rsidR="003F6B17" w:rsidRPr="00F457B9">
        <w:rPr>
          <w:rFonts w:ascii="Times New Roman" w:hAnsi="Times New Roman"/>
          <w:sz w:val="24"/>
          <w:szCs w:val="24"/>
          <w:lang w:val="sq-AL"/>
        </w:rPr>
        <w:t xml:space="preserve"> gjykata referuese</w:t>
      </w:r>
      <w:r w:rsidR="00B25CDE" w:rsidRPr="00F457B9">
        <w:rPr>
          <w:rFonts w:ascii="Times New Roman" w:hAnsi="Times New Roman"/>
          <w:sz w:val="24"/>
          <w:szCs w:val="24"/>
          <w:lang w:val="sq-AL"/>
        </w:rPr>
        <w:t>.</w:t>
      </w:r>
    </w:p>
    <w:bookmarkEnd w:id="3"/>
    <w:p w:rsidR="005E496F" w:rsidRPr="00F457B9" w:rsidRDefault="003F6B17"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sidRPr="00F457B9">
        <w:rPr>
          <w:rFonts w:ascii="Times New Roman" w:eastAsia="Times New Roman" w:hAnsi="Times New Roman"/>
          <w:sz w:val="24"/>
          <w:szCs w:val="24"/>
          <w:lang w:val="sq-AL"/>
        </w:rPr>
        <w:t>N</w:t>
      </w:r>
      <w:r w:rsidR="006865E8" w:rsidRPr="00F457B9">
        <w:rPr>
          <w:rFonts w:ascii="Times New Roman" w:eastAsia="Times New Roman" w:hAnsi="Times New Roman"/>
          <w:sz w:val="24"/>
          <w:szCs w:val="24"/>
          <w:lang w:val="sq-AL"/>
        </w:rPr>
        <w:t>ë</w:t>
      </w:r>
      <w:r w:rsidRPr="00F457B9">
        <w:rPr>
          <w:rFonts w:ascii="Times New Roman" w:eastAsia="Times New Roman" w:hAnsi="Times New Roman"/>
          <w:sz w:val="24"/>
          <w:szCs w:val="24"/>
          <w:lang w:val="sq-AL"/>
        </w:rPr>
        <w:t xml:space="preserve"> </w:t>
      </w:r>
      <w:r w:rsidRPr="00F457B9">
        <w:rPr>
          <w:rFonts w:ascii="Times New Roman" w:hAnsi="Times New Roman"/>
          <w:sz w:val="24"/>
          <w:szCs w:val="24"/>
          <w:lang w:val="sq-AL" w:eastAsia="fr-FR"/>
        </w:rPr>
        <w:t>jurisprudencën kushtetuese</w:t>
      </w:r>
      <w:r w:rsidR="00B25CDE" w:rsidRPr="00F457B9">
        <w:rPr>
          <w:rFonts w:ascii="Times New Roman" w:hAnsi="Times New Roman"/>
          <w:sz w:val="24"/>
          <w:szCs w:val="24"/>
          <w:lang w:val="sq-AL" w:eastAsia="fr-FR"/>
        </w:rPr>
        <w:t xml:space="preserve"> </w:t>
      </w:r>
      <w:r w:rsidR="00BE1E9D" w:rsidRPr="00F457B9">
        <w:rPr>
          <w:rFonts w:ascii="Times New Roman" w:hAnsi="Times New Roman"/>
          <w:sz w:val="24"/>
          <w:szCs w:val="24"/>
          <w:lang w:val="sq-AL" w:eastAsia="fr-FR"/>
        </w:rPr>
        <w:t>ë</w:t>
      </w:r>
      <w:r w:rsidR="008D549A" w:rsidRPr="00F457B9">
        <w:rPr>
          <w:rFonts w:ascii="Times New Roman" w:hAnsi="Times New Roman"/>
          <w:sz w:val="24"/>
          <w:szCs w:val="24"/>
          <w:lang w:val="sq-AL" w:eastAsia="fr-FR"/>
        </w:rPr>
        <w:t>sht</w:t>
      </w:r>
      <w:r w:rsidR="00BE1E9D" w:rsidRPr="00F457B9">
        <w:rPr>
          <w:rFonts w:ascii="Times New Roman" w:hAnsi="Times New Roman"/>
          <w:sz w:val="24"/>
          <w:szCs w:val="24"/>
          <w:lang w:val="sq-AL" w:eastAsia="fr-FR"/>
        </w:rPr>
        <w:t>ë</w:t>
      </w:r>
      <w:r w:rsidR="008D549A" w:rsidRPr="00F457B9">
        <w:rPr>
          <w:rFonts w:ascii="Times New Roman" w:hAnsi="Times New Roman"/>
          <w:sz w:val="24"/>
          <w:szCs w:val="24"/>
          <w:lang w:val="sq-AL" w:eastAsia="fr-FR"/>
        </w:rPr>
        <w:t xml:space="preserve"> pranuar </w:t>
      </w:r>
      <w:r w:rsidR="00B25CDE" w:rsidRPr="00F457B9">
        <w:rPr>
          <w:rFonts w:ascii="Times New Roman" w:hAnsi="Times New Roman"/>
          <w:sz w:val="24"/>
          <w:szCs w:val="24"/>
          <w:lang w:val="sq-AL" w:eastAsia="fr-FR"/>
        </w:rPr>
        <w:t>se</w:t>
      </w:r>
      <w:r w:rsidRPr="00F457B9">
        <w:rPr>
          <w:rFonts w:ascii="Times New Roman" w:hAnsi="Times New Roman"/>
          <w:sz w:val="24"/>
          <w:szCs w:val="24"/>
          <w:lang w:val="sq-AL" w:eastAsia="fr-FR"/>
        </w:rPr>
        <w:t xml:space="preserve"> </w:t>
      </w:r>
      <w:r w:rsidRPr="00F457B9">
        <w:rPr>
          <w:rFonts w:ascii="Times New Roman" w:hAnsi="Times New Roman"/>
          <w:sz w:val="24"/>
          <w:szCs w:val="24"/>
          <w:lang w:val="sq-AL"/>
        </w:rPr>
        <w:t>objekti dhe shkaqet e kërkesës, me të cilat ngrihet çështja e kushtetutshmërisë, përbëjnë thelbin (</w:t>
      </w:r>
      <w:proofErr w:type="spellStart"/>
      <w:r w:rsidRPr="00F457B9">
        <w:rPr>
          <w:rFonts w:ascii="Times New Roman" w:hAnsi="Times New Roman"/>
          <w:i/>
          <w:sz w:val="24"/>
          <w:szCs w:val="24"/>
          <w:lang w:val="sq-AL"/>
        </w:rPr>
        <w:t>thema</w:t>
      </w:r>
      <w:proofErr w:type="spellEnd"/>
      <w:r w:rsidRPr="00F457B9">
        <w:rPr>
          <w:rFonts w:ascii="Times New Roman" w:hAnsi="Times New Roman"/>
          <w:i/>
          <w:sz w:val="24"/>
          <w:szCs w:val="24"/>
          <w:lang w:val="sq-AL"/>
        </w:rPr>
        <w:t xml:space="preserve"> </w:t>
      </w:r>
      <w:proofErr w:type="spellStart"/>
      <w:r w:rsidRPr="00F457B9">
        <w:rPr>
          <w:rFonts w:ascii="Times New Roman" w:hAnsi="Times New Roman"/>
          <w:i/>
          <w:sz w:val="24"/>
          <w:szCs w:val="24"/>
          <w:lang w:val="sq-AL"/>
        </w:rPr>
        <w:t>decidendum</w:t>
      </w:r>
      <w:proofErr w:type="spellEnd"/>
      <w:r w:rsidRPr="00F457B9">
        <w:rPr>
          <w:rFonts w:ascii="Times New Roman" w:hAnsi="Times New Roman"/>
          <w:sz w:val="24"/>
          <w:szCs w:val="24"/>
          <w:lang w:val="sq-AL"/>
        </w:rPr>
        <w:t xml:space="preserve">) e gjykimit kushtetues </w:t>
      </w:r>
      <w:r w:rsidRPr="00F457B9">
        <w:rPr>
          <w:rFonts w:ascii="Times New Roman" w:hAnsi="Times New Roman"/>
          <w:i/>
          <w:sz w:val="24"/>
          <w:szCs w:val="24"/>
          <w:lang w:val="sq-AL" w:eastAsia="sq-AL"/>
        </w:rPr>
        <w:t>(shih vendimin nr. 22, datë 11.04.2016 të Gjykatës Kushtetuese)</w:t>
      </w:r>
      <w:r w:rsidRPr="00F457B9">
        <w:rPr>
          <w:rFonts w:ascii="Times New Roman" w:hAnsi="Times New Roman"/>
          <w:sz w:val="24"/>
          <w:szCs w:val="24"/>
          <w:lang w:val="sq-AL" w:eastAsia="sq-AL"/>
        </w:rPr>
        <w:t>.</w:t>
      </w:r>
      <w:r w:rsidRPr="00F457B9">
        <w:rPr>
          <w:rFonts w:ascii="Times New Roman" w:hAnsi="Times New Roman"/>
          <w:sz w:val="24"/>
          <w:szCs w:val="24"/>
          <w:lang w:val="sq-AL"/>
        </w:rPr>
        <w:t xml:space="preserve"> </w:t>
      </w:r>
      <w:r w:rsidR="00232627" w:rsidRPr="00F457B9">
        <w:rPr>
          <w:rFonts w:ascii="Times New Roman" w:hAnsi="Times New Roman"/>
          <w:sz w:val="24"/>
          <w:szCs w:val="24"/>
          <w:lang w:val="sq-AL"/>
        </w:rPr>
        <w:t>Edhe pse në objektin e kërkesës gjykata referuese ka kundërshtuar nenin 13, pika 1, të ligjit nr. 10076/2009, n</w:t>
      </w:r>
      <w:r w:rsidR="006865E8" w:rsidRPr="00F457B9">
        <w:rPr>
          <w:rFonts w:ascii="Times New Roman" w:hAnsi="Times New Roman"/>
          <w:sz w:val="24"/>
          <w:szCs w:val="24"/>
          <w:lang w:val="sq-AL"/>
        </w:rPr>
        <w:t>ë</w:t>
      </w:r>
      <w:r w:rsidRPr="00F457B9">
        <w:rPr>
          <w:rFonts w:ascii="Times New Roman" w:hAnsi="Times New Roman"/>
          <w:sz w:val="24"/>
          <w:szCs w:val="24"/>
          <w:lang w:val="sq-AL"/>
        </w:rPr>
        <w:t xml:space="preserve"> p</w:t>
      </w:r>
      <w:r w:rsidR="006865E8" w:rsidRPr="00F457B9">
        <w:rPr>
          <w:rFonts w:ascii="Times New Roman" w:hAnsi="Times New Roman"/>
          <w:sz w:val="24"/>
          <w:szCs w:val="24"/>
          <w:lang w:val="sq-AL"/>
        </w:rPr>
        <w:t>ë</w:t>
      </w:r>
      <w:r w:rsidRPr="00F457B9">
        <w:rPr>
          <w:rFonts w:ascii="Times New Roman" w:hAnsi="Times New Roman"/>
          <w:sz w:val="24"/>
          <w:szCs w:val="24"/>
          <w:lang w:val="sq-AL"/>
        </w:rPr>
        <w:t>rmbajtje t</w:t>
      </w:r>
      <w:r w:rsidR="006865E8" w:rsidRPr="00F457B9">
        <w:rPr>
          <w:rFonts w:ascii="Times New Roman" w:hAnsi="Times New Roman"/>
          <w:sz w:val="24"/>
          <w:szCs w:val="24"/>
          <w:lang w:val="sq-AL"/>
        </w:rPr>
        <w:t>ë</w:t>
      </w:r>
      <w:r w:rsidRPr="00F457B9">
        <w:rPr>
          <w:rFonts w:ascii="Times New Roman" w:hAnsi="Times New Roman"/>
          <w:sz w:val="24"/>
          <w:szCs w:val="24"/>
          <w:lang w:val="sq-AL"/>
        </w:rPr>
        <w:t xml:space="preserve"> </w:t>
      </w:r>
      <w:r w:rsidR="00EA0D1E">
        <w:rPr>
          <w:rFonts w:ascii="Times New Roman" w:hAnsi="Times New Roman"/>
          <w:sz w:val="24"/>
          <w:szCs w:val="24"/>
          <w:lang w:val="sq-AL"/>
        </w:rPr>
        <w:t>saj</w:t>
      </w:r>
      <w:r w:rsidR="00232627" w:rsidRPr="00F457B9">
        <w:rPr>
          <w:rFonts w:ascii="Times New Roman" w:hAnsi="Times New Roman"/>
          <w:sz w:val="24"/>
          <w:szCs w:val="24"/>
          <w:lang w:val="sq-AL"/>
        </w:rPr>
        <w:t xml:space="preserve"> </w:t>
      </w:r>
      <w:r w:rsidR="005E496F" w:rsidRPr="00F457B9">
        <w:rPr>
          <w:rFonts w:ascii="Times New Roman" w:eastAsia="Times New Roman" w:hAnsi="Times New Roman"/>
          <w:sz w:val="24"/>
          <w:szCs w:val="24"/>
          <w:lang w:val="sq-AL"/>
        </w:rPr>
        <w:t xml:space="preserve">ka parashtruar shkaqe për </w:t>
      </w:r>
      <w:proofErr w:type="spellStart"/>
      <w:r w:rsidR="005E496F" w:rsidRPr="00F457B9">
        <w:rPr>
          <w:rFonts w:ascii="Times New Roman" w:hAnsi="Times New Roman"/>
          <w:sz w:val="24"/>
          <w:szCs w:val="24"/>
          <w:lang w:val="sq-AL" w:eastAsia="fr-FR"/>
        </w:rPr>
        <w:t>antikushtetutshmërinë</w:t>
      </w:r>
      <w:proofErr w:type="spellEnd"/>
      <w:r w:rsidR="005E496F" w:rsidRPr="00F457B9">
        <w:rPr>
          <w:rFonts w:ascii="Times New Roman" w:hAnsi="Times New Roman"/>
          <w:sz w:val="24"/>
          <w:szCs w:val="24"/>
          <w:lang w:val="sq-AL" w:eastAsia="fr-FR"/>
        </w:rPr>
        <w:t xml:space="preserve"> e rregullores nr. 53/2009 </w:t>
      </w:r>
      <w:r w:rsidR="005E496F" w:rsidRPr="00F457B9">
        <w:rPr>
          <w:rFonts w:ascii="Times New Roman" w:hAnsi="Times New Roman"/>
          <w:sz w:val="24"/>
          <w:szCs w:val="24"/>
          <w:lang w:val="sq-AL"/>
        </w:rPr>
        <w:t xml:space="preserve">të nxjerrë nga AMF-ja në zbatim të dispozitës ligjore të kundërshtuar, </w:t>
      </w:r>
      <w:r w:rsidR="00232627" w:rsidRPr="00F457B9">
        <w:rPr>
          <w:rFonts w:ascii="Times New Roman" w:hAnsi="Times New Roman"/>
          <w:sz w:val="24"/>
          <w:szCs w:val="24"/>
          <w:lang w:val="sq-AL" w:eastAsia="fr-FR"/>
        </w:rPr>
        <w:t xml:space="preserve">e cila aktualisht është gjithashtu e shfuqizuar, </w:t>
      </w:r>
      <w:r w:rsidR="00232627" w:rsidRPr="00F457B9">
        <w:rPr>
          <w:rFonts w:ascii="Times New Roman" w:hAnsi="Times New Roman"/>
          <w:sz w:val="24"/>
          <w:szCs w:val="24"/>
          <w:lang w:val="sq-AL"/>
        </w:rPr>
        <w:t xml:space="preserve">duke argumentuar </w:t>
      </w:r>
      <w:r w:rsidR="00232627" w:rsidRPr="00F457B9">
        <w:rPr>
          <w:rFonts w:ascii="Times New Roman" w:hAnsi="Times New Roman"/>
          <w:sz w:val="24"/>
          <w:szCs w:val="24"/>
          <w:lang w:val="sq-AL" w:eastAsia="fr-FR"/>
        </w:rPr>
        <w:t xml:space="preserve">se </w:t>
      </w:r>
      <w:r w:rsidR="005E496F" w:rsidRPr="00F457B9">
        <w:rPr>
          <w:rFonts w:ascii="Times New Roman" w:hAnsi="Times New Roman"/>
          <w:sz w:val="24"/>
          <w:szCs w:val="24"/>
          <w:lang w:val="sq-AL" w:eastAsia="fr-FR"/>
        </w:rPr>
        <w:t xml:space="preserve">zbatohet drejtpërdrejt dhe se kushtetutshmëria e saj ka lidhje të drejtpërdrejtë me gjykimin </w:t>
      </w:r>
      <w:r w:rsidR="00AE5ECE" w:rsidRPr="00F457B9">
        <w:rPr>
          <w:rFonts w:ascii="Times New Roman" w:hAnsi="Times New Roman"/>
          <w:sz w:val="24"/>
          <w:szCs w:val="24"/>
          <w:lang w:val="sq-AL" w:eastAsia="fr-FR"/>
        </w:rPr>
        <w:t>në Gjykatën e Lartë</w:t>
      </w:r>
      <w:r w:rsidR="005E496F" w:rsidRPr="00F457B9">
        <w:rPr>
          <w:rFonts w:ascii="Times New Roman" w:hAnsi="Times New Roman"/>
          <w:sz w:val="24"/>
          <w:szCs w:val="24"/>
          <w:lang w:val="sq-AL" w:eastAsia="fr-FR"/>
        </w:rPr>
        <w:t xml:space="preserve">. </w:t>
      </w:r>
    </w:p>
    <w:p w:rsidR="005E496F" w:rsidRPr="00F457B9" w:rsidRDefault="00BE1E9D"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eastAsia="fr-FR"/>
        </w:rPr>
        <w:t>Në kushtet kur gjykata referuese ka i</w:t>
      </w:r>
      <w:r w:rsidR="00AE5ECE" w:rsidRPr="00F457B9">
        <w:rPr>
          <w:rFonts w:ascii="Times New Roman" w:hAnsi="Times New Roman"/>
          <w:sz w:val="24"/>
          <w:szCs w:val="24"/>
          <w:lang w:val="sq-AL" w:eastAsia="fr-FR"/>
        </w:rPr>
        <w:t xml:space="preserve">dentifikuar edhe </w:t>
      </w:r>
      <w:r w:rsidR="008D549A" w:rsidRPr="00F457B9">
        <w:rPr>
          <w:rFonts w:ascii="Times New Roman" w:hAnsi="Times New Roman"/>
          <w:sz w:val="24"/>
          <w:szCs w:val="24"/>
          <w:lang w:val="sq-AL" w:eastAsia="fr-FR"/>
        </w:rPr>
        <w:t>r</w:t>
      </w:r>
      <w:r w:rsidR="00AE5ECE" w:rsidRPr="00F457B9">
        <w:rPr>
          <w:rFonts w:ascii="Times New Roman" w:hAnsi="Times New Roman"/>
          <w:sz w:val="24"/>
          <w:szCs w:val="24"/>
          <w:lang w:val="sq-AL" w:eastAsia="fr-FR"/>
        </w:rPr>
        <w:t>regulloren si akt</w:t>
      </w:r>
      <w:r w:rsidRPr="00F457B9">
        <w:rPr>
          <w:rFonts w:ascii="Times New Roman" w:hAnsi="Times New Roman"/>
          <w:sz w:val="24"/>
          <w:szCs w:val="24"/>
          <w:lang w:val="sq-AL" w:eastAsia="fr-FR"/>
        </w:rPr>
        <w:t xml:space="preserve"> të</w:t>
      </w:r>
      <w:r w:rsidR="00AE5ECE" w:rsidRPr="00F457B9">
        <w:rPr>
          <w:rFonts w:ascii="Times New Roman" w:hAnsi="Times New Roman"/>
          <w:sz w:val="24"/>
          <w:szCs w:val="24"/>
          <w:lang w:val="sq-AL" w:eastAsia="fr-FR"/>
        </w:rPr>
        <w:t xml:space="preserve"> zbatueshëm në </w:t>
      </w:r>
      <w:r w:rsidRPr="00F457B9">
        <w:rPr>
          <w:rFonts w:ascii="Times New Roman" w:hAnsi="Times New Roman"/>
          <w:sz w:val="24"/>
          <w:szCs w:val="24"/>
          <w:lang w:val="sq-AL" w:eastAsia="fr-FR"/>
        </w:rPr>
        <w:t>gjykim</w:t>
      </w:r>
      <w:r w:rsidR="00AE5ECE" w:rsidRPr="00F457B9">
        <w:rPr>
          <w:rFonts w:ascii="Times New Roman" w:hAnsi="Times New Roman"/>
          <w:sz w:val="24"/>
          <w:szCs w:val="24"/>
          <w:lang w:val="sq-AL" w:eastAsia="fr-FR"/>
        </w:rPr>
        <w:t xml:space="preserve">, për të cilën në përmbajtje të kërkesës ka ngritur, gjithashtu, probleme kushtetutshmërie, </w:t>
      </w:r>
      <w:r w:rsidR="005E496F" w:rsidRPr="00F457B9">
        <w:rPr>
          <w:rFonts w:ascii="Times New Roman" w:hAnsi="Times New Roman"/>
          <w:sz w:val="24"/>
          <w:szCs w:val="24"/>
          <w:lang w:val="sq-AL" w:eastAsia="fr-FR"/>
        </w:rPr>
        <w:t xml:space="preserve">Mbledhja e Gjyqtarëve çmon se legjitimimi i </w:t>
      </w:r>
      <w:r w:rsidRPr="00F457B9">
        <w:rPr>
          <w:rFonts w:ascii="Times New Roman" w:hAnsi="Times New Roman"/>
          <w:sz w:val="24"/>
          <w:szCs w:val="24"/>
          <w:lang w:val="sq-AL" w:eastAsia="fr-FR"/>
        </w:rPr>
        <w:t>saj</w:t>
      </w:r>
      <w:r w:rsidR="005E496F" w:rsidRPr="00F457B9">
        <w:rPr>
          <w:rFonts w:ascii="Times New Roman" w:hAnsi="Times New Roman"/>
          <w:sz w:val="24"/>
          <w:szCs w:val="24"/>
          <w:lang w:val="sq-AL" w:eastAsia="fr-FR"/>
        </w:rPr>
        <w:t xml:space="preserve"> duhet analizuar </w:t>
      </w:r>
      <w:r w:rsidR="00AE5ECE" w:rsidRPr="00F457B9">
        <w:rPr>
          <w:rFonts w:ascii="Times New Roman" w:hAnsi="Times New Roman"/>
          <w:sz w:val="24"/>
          <w:szCs w:val="24"/>
          <w:lang w:val="sq-AL" w:eastAsia="fr-FR"/>
        </w:rPr>
        <w:t xml:space="preserve">edhe </w:t>
      </w:r>
      <w:r w:rsidR="005E496F" w:rsidRPr="00F457B9">
        <w:rPr>
          <w:rFonts w:ascii="Times New Roman" w:hAnsi="Times New Roman"/>
          <w:sz w:val="24"/>
          <w:szCs w:val="24"/>
          <w:lang w:val="sq-AL" w:eastAsia="fr-FR"/>
        </w:rPr>
        <w:t>në aspektin nëse gjykatat e juridiksionit të zakonshëm mund të vënë në lëvizje gjykimin kushtetues për akte normative të tjera, të ndryshme nga ligjet. Analiza e kët</w:t>
      </w:r>
      <w:r w:rsidR="00AE5ECE" w:rsidRPr="00F457B9">
        <w:rPr>
          <w:rFonts w:ascii="Times New Roman" w:hAnsi="Times New Roman"/>
          <w:sz w:val="24"/>
          <w:szCs w:val="24"/>
          <w:lang w:val="sq-AL" w:eastAsia="fr-FR"/>
        </w:rPr>
        <w:t>ij</w:t>
      </w:r>
      <w:r w:rsidR="005E496F" w:rsidRPr="00F457B9">
        <w:rPr>
          <w:rFonts w:ascii="Times New Roman" w:hAnsi="Times New Roman"/>
          <w:sz w:val="24"/>
          <w:szCs w:val="24"/>
          <w:lang w:val="sq-AL" w:eastAsia="fr-FR"/>
        </w:rPr>
        <w:t xml:space="preserve"> aspekt</w:t>
      </w:r>
      <w:r w:rsidR="00AE5ECE" w:rsidRPr="00F457B9">
        <w:rPr>
          <w:rFonts w:ascii="Times New Roman" w:hAnsi="Times New Roman"/>
          <w:sz w:val="24"/>
          <w:szCs w:val="24"/>
          <w:lang w:val="sq-AL" w:eastAsia="fr-FR"/>
        </w:rPr>
        <w:t>i</w:t>
      </w:r>
      <w:r w:rsidR="005E496F" w:rsidRPr="00F457B9">
        <w:rPr>
          <w:rFonts w:ascii="Times New Roman" w:hAnsi="Times New Roman"/>
          <w:sz w:val="24"/>
          <w:szCs w:val="24"/>
          <w:lang w:val="sq-AL" w:eastAsia="fr-FR"/>
        </w:rPr>
        <w:t xml:space="preserve"> merr rëndësi</w:t>
      </w:r>
      <w:r w:rsidR="00EA0D1E">
        <w:rPr>
          <w:rFonts w:ascii="Times New Roman" w:hAnsi="Times New Roman"/>
          <w:sz w:val="24"/>
          <w:szCs w:val="24"/>
          <w:lang w:val="sq-AL" w:eastAsia="fr-FR"/>
        </w:rPr>
        <w:t>,</w:t>
      </w:r>
      <w:r w:rsidR="005E496F" w:rsidRPr="00F457B9">
        <w:rPr>
          <w:rFonts w:ascii="Times New Roman" w:hAnsi="Times New Roman"/>
          <w:sz w:val="24"/>
          <w:szCs w:val="24"/>
          <w:lang w:val="sq-AL" w:eastAsia="fr-FR"/>
        </w:rPr>
        <w:t xml:space="preserve"> pasi</w:t>
      </w:r>
      <w:r w:rsidR="00EA0D1E">
        <w:rPr>
          <w:rFonts w:ascii="Times New Roman" w:hAnsi="Times New Roman"/>
          <w:sz w:val="24"/>
          <w:szCs w:val="24"/>
          <w:lang w:val="sq-AL" w:eastAsia="fr-FR"/>
        </w:rPr>
        <w:t>,</w:t>
      </w:r>
      <w:r w:rsidR="005E496F" w:rsidRPr="00F457B9">
        <w:rPr>
          <w:rFonts w:ascii="Times New Roman" w:hAnsi="Times New Roman"/>
          <w:sz w:val="24"/>
          <w:szCs w:val="24"/>
          <w:lang w:val="sq-AL" w:eastAsia="fr-FR"/>
        </w:rPr>
        <w:t xml:space="preserve"> </w:t>
      </w:r>
      <w:r w:rsidRPr="00F457B9">
        <w:rPr>
          <w:rFonts w:ascii="Times New Roman" w:hAnsi="Times New Roman"/>
          <w:sz w:val="24"/>
          <w:szCs w:val="24"/>
          <w:lang w:val="sq-AL" w:eastAsia="fr-FR"/>
        </w:rPr>
        <w:t xml:space="preserve">jo vetëm </w:t>
      </w:r>
      <w:r w:rsidR="00EA0D1E">
        <w:rPr>
          <w:rFonts w:ascii="Times New Roman" w:hAnsi="Times New Roman"/>
          <w:sz w:val="24"/>
          <w:szCs w:val="24"/>
          <w:lang w:val="sq-AL" w:eastAsia="fr-FR"/>
        </w:rPr>
        <w:t>u</w:t>
      </w:r>
      <w:r w:rsidR="006D7AA8" w:rsidRPr="00F457B9">
        <w:rPr>
          <w:rFonts w:ascii="Times New Roman" w:hAnsi="Times New Roman"/>
          <w:sz w:val="24"/>
          <w:szCs w:val="24"/>
          <w:lang w:val="sq-AL" w:eastAsia="fr-FR"/>
        </w:rPr>
        <w:t xml:space="preserve"> </w:t>
      </w:r>
      <w:r w:rsidR="005E496F" w:rsidRPr="00F457B9">
        <w:rPr>
          <w:rFonts w:ascii="Times New Roman" w:hAnsi="Times New Roman"/>
          <w:sz w:val="24"/>
          <w:szCs w:val="24"/>
          <w:lang w:val="sq-AL" w:eastAsia="fr-FR"/>
        </w:rPr>
        <w:t xml:space="preserve">jep përgjigje kritereve të legjitimimit </w:t>
      </w:r>
      <w:r w:rsidRPr="00F457B9">
        <w:rPr>
          <w:rFonts w:ascii="Times New Roman" w:hAnsi="Times New Roman"/>
          <w:sz w:val="24"/>
          <w:szCs w:val="24"/>
          <w:lang w:val="sq-AL" w:eastAsia="fr-FR"/>
        </w:rPr>
        <w:t xml:space="preserve">për </w:t>
      </w:r>
      <w:r w:rsidR="005E496F" w:rsidRPr="00F457B9">
        <w:rPr>
          <w:rFonts w:ascii="Times New Roman" w:hAnsi="Times New Roman"/>
          <w:sz w:val="24"/>
          <w:szCs w:val="24"/>
          <w:lang w:val="sq-AL"/>
        </w:rPr>
        <w:t>identifikimin e ligjit të zbatueshëm në kuptimin formal dhe lidhjen e drejtpërdrejtë që kushtetutshmëria e tij ka me gjykimin që po zhvillohet në gjykatën referuese</w:t>
      </w:r>
      <w:r w:rsidR="00AE5ECE" w:rsidRPr="00F457B9">
        <w:rPr>
          <w:rFonts w:ascii="Times New Roman" w:hAnsi="Times New Roman"/>
          <w:sz w:val="24"/>
          <w:szCs w:val="24"/>
          <w:lang w:val="sq-AL"/>
        </w:rPr>
        <w:t xml:space="preserve">, </w:t>
      </w:r>
      <w:r w:rsidRPr="00F457B9">
        <w:rPr>
          <w:rFonts w:ascii="Times New Roman" w:hAnsi="Times New Roman"/>
          <w:sz w:val="24"/>
          <w:szCs w:val="24"/>
          <w:lang w:val="sq-AL"/>
        </w:rPr>
        <w:t>por</w:t>
      </w:r>
      <w:r w:rsidR="00EA0D1E">
        <w:rPr>
          <w:rFonts w:ascii="Times New Roman" w:hAnsi="Times New Roman"/>
          <w:sz w:val="24"/>
          <w:szCs w:val="24"/>
          <w:lang w:val="sq-AL"/>
        </w:rPr>
        <w:t>,</w:t>
      </w:r>
      <w:r w:rsidRPr="00F457B9">
        <w:rPr>
          <w:rFonts w:ascii="Times New Roman" w:hAnsi="Times New Roman"/>
          <w:sz w:val="24"/>
          <w:szCs w:val="24"/>
          <w:lang w:val="sq-AL"/>
        </w:rPr>
        <w:t xml:space="preserve"> gjithashtu</w:t>
      </w:r>
      <w:r w:rsidR="00EA0D1E">
        <w:rPr>
          <w:rFonts w:ascii="Times New Roman" w:hAnsi="Times New Roman"/>
          <w:sz w:val="24"/>
          <w:szCs w:val="24"/>
          <w:lang w:val="sq-AL"/>
        </w:rPr>
        <w:t>,</w:t>
      </w:r>
      <w:r w:rsidRPr="00F457B9">
        <w:rPr>
          <w:rFonts w:ascii="Times New Roman" w:hAnsi="Times New Roman"/>
          <w:sz w:val="24"/>
          <w:szCs w:val="24"/>
          <w:lang w:val="sq-AL"/>
        </w:rPr>
        <w:t xml:space="preserve"> </w:t>
      </w:r>
      <w:r w:rsidR="00AE5ECE" w:rsidRPr="00F457B9">
        <w:rPr>
          <w:rFonts w:ascii="Times New Roman" w:hAnsi="Times New Roman"/>
          <w:sz w:val="24"/>
          <w:szCs w:val="24"/>
          <w:lang w:val="sq-AL"/>
        </w:rPr>
        <w:t>përcak</w:t>
      </w:r>
      <w:r w:rsidR="00EA0D1E">
        <w:rPr>
          <w:rFonts w:ascii="Times New Roman" w:hAnsi="Times New Roman"/>
          <w:sz w:val="24"/>
          <w:szCs w:val="24"/>
          <w:lang w:val="sq-AL"/>
        </w:rPr>
        <w:t>t</w:t>
      </w:r>
      <w:r w:rsidR="00AE5ECE" w:rsidRPr="00F457B9">
        <w:rPr>
          <w:rFonts w:ascii="Times New Roman" w:hAnsi="Times New Roman"/>
          <w:sz w:val="24"/>
          <w:szCs w:val="24"/>
          <w:lang w:val="sq-AL"/>
        </w:rPr>
        <w:t>on juridiksionin kushtetues në kuptim të nenit 145 të Kushtetutës</w:t>
      </w:r>
      <w:r w:rsidR="005E496F" w:rsidRPr="00F457B9">
        <w:rPr>
          <w:rFonts w:ascii="Times New Roman" w:hAnsi="Times New Roman"/>
          <w:sz w:val="24"/>
          <w:szCs w:val="24"/>
          <w:lang w:val="sq-AL"/>
        </w:rPr>
        <w:t xml:space="preserve">. </w:t>
      </w:r>
    </w:p>
    <w:p w:rsidR="00D939FD" w:rsidRPr="00F457B9" w:rsidRDefault="00D939FD" w:rsidP="00F457B9">
      <w:pPr>
        <w:pStyle w:val="ListParagraph"/>
        <w:numPr>
          <w:ilvl w:val="0"/>
          <w:numId w:val="5"/>
        </w:numPr>
        <w:tabs>
          <w:tab w:val="left" w:pos="1080"/>
        </w:tab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rPr>
        <w:t xml:space="preserve">Nisma e kontrollit kushtetues </w:t>
      </w:r>
      <w:proofErr w:type="spellStart"/>
      <w:r w:rsidRPr="00F457B9">
        <w:rPr>
          <w:rFonts w:ascii="Times New Roman" w:hAnsi="Times New Roman"/>
          <w:sz w:val="24"/>
          <w:szCs w:val="24"/>
          <w:lang w:val="sq-AL"/>
        </w:rPr>
        <w:t>incidental</w:t>
      </w:r>
      <w:proofErr w:type="spellEnd"/>
      <w:r w:rsidRPr="00F457B9">
        <w:rPr>
          <w:rFonts w:ascii="Times New Roman" w:hAnsi="Times New Roman"/>
          <w:sz w:val="24"/>
          <w:szCs w:val="24"/>
          <w:lang w:val="sq-AL"/>
        </w:rPr>
        <w:t xml:space="preserve"> parashikohet nga pika 2 e nenit 145 të Kushtetutës. Kjo normë kushtetuese, në tërësinë e saj, është interpretuar nga Gjykata në kontekstin e parimit të pavarësisë së pushtetit gjyqësor, të lidhur me parimet e shtetit të së drejtës, ndarjes e balancimit të pushteteve dhe respektimit të </w:t>
      </w:r>
      <w:proofErr w:type="spellStart"/>
      <w:r w:rsidRPr="00F457B9">
        <w:rPr>
          <w:rFonts w:ascii="Times New Roman" w:hAnsi="Times New Roman"/>
          <w:sz w:val="24"/>
          <w:szCs w:val="24"/>
          <w:lang w:val="sq-AL"/>
        </w:rPr>
        <w:t>të</w:t>
      </w:r>
      <w:proofErr w:type="spellEnd"/>
      <w:r w:rsidRPr="00F457B9">
        <w:rPr>
          <w:rFonts w:ascii="Times New Roman" w:hAnsi="Times New Roman"/>
          <w:sz w:val="24"/>
          <w:szCs w:val="24"/>
          <w:lang w:val="sq-AL"/>
        </w:rPr>
        <w:t xml:space="preserve"> drejtave themelore të njeriut.</w:t>
      </w:r>
      <w:r w:rsidR="008D7610" w:rsidRPr="00F457B9">
        <w:rPr>
          <w:rFonts w:ascii="Times New Roman" w:hAnsi="Times New Roman"/>
          <w:sz w:val="24"/>
          <w:szCs w:val="24"/>
          <w:lang w:val="sq-AL"/>
        </w:rPr>
        <w:t xml:space="preserve"> M</w:t>
      </w:r>
      <w:r w:rsidR="00530D28" w:rsidRPr="00F457B9">
        <w:rPr>
          <w:rFonts w:ascii="Times New Roman" w:hAnsi="Times New Roman"/>
          <w:sz w:val="24"/>
          <w:szCs w:val="24"/>
          <w:lang w:val="sq-AL"/>
        </w:rPr>
        <w:t>ë</w:t>
      </w:r>
      <w:r w:rsidR="008D7610" w:rsidRPr="00F457B9">
        <w:rPr>
          <w:rFonts w:ascii="Times New Roman" w:hAnsi="Times New Roman"/>
          <w:sz w:val="24"/>
          <w:szCs w:val="24"/>
          <w:lang w:val="sq-AL"/>
        </w:rPr>
        <w:t xml:space="preserve"> konkretisht, </w:t>
      </w:r>
      <w:r w:rsidRPr="00F457B9">
        <w:rPr>
          <w:rFonts w:ascii="Times New Roman" w:hAnsi="Times New Roman"/>
          <w:sz w:val="24"/>
          <w:szCs w:val="24"/>
          <w:lang w:val="sq-AL"/>
        </w:rPr>
        <w:t>Gjykata ka theksuar se neni 7 i Kushtetutës</w:t>
      </w:r>
      <w:r w:rsidR="00EA0D1E">
        <w:rPr>
          <w:rFonts w:ascii="Times New Roman" w:hAnsi="Times New Roman"/>
          <w:sz w:val="24"/>
          <w:szCs w:val="24"/>
          <w:lang w:val="sq-AL"/>
        </w:rPr>
        <w:t>,</w:t>
      </w:r>
      <w:r w:rsidRPr="00F457B9">
        <w:rPr>
          <w:rFonts w:ascii="Times New Roman" w:hAnsi="Times New Roman"/>
          <w:sz w:val="24"/>
          <w:szCs w:val="24"/>
          <w:lang w:val="sq-AL"/>
        </w:rPr>
        <w:t xml:space="preserve"> që parashikon se sistemi i qeverisjes në Republikën e Shqipërisë bazohet në ndarjen dhe balancimin ndërmjet pushteteve ligjvënës, ekzekutiv dhe gjyqësor, nuk i njeh epërsi një pushteti ose organi kushtetues në raport me pushtetet e tjera të shtetit</w:t>
      </w:r>
      <w:r w:rsidR="001A0114" w:rsidRPr="00F457B9">
        <w:rPr>
          <w:rFonts w:ascii="Times New Roman" w:hAnsi="Times New Roman"/>
          <w:sz w:val="24"/>
          <w:szCs w:val="24"/>
          <w:lang w:val="sq-AL"/>
        </w:rPr>
        <w:t xml:space="preserve"> </w:t>
      </w:r>
      <w:r w:rsidRPr="00F457B9">
        <w:rPr>
          <w:rFonts w:ascii="Times New Roman" w:hAnsi="Times New Roman"/>
          <w:i/>
          <w:iCs/>
          <w:sz w:val="24"/>
          <w:szCs w:val="24"/>
          <w:lang w:val="sq-AL"/>
        </w:rPr>
        <w:t>(shih vendimin nr. 12, datë 20.05.2008 të Gjykatës Kushtetuese).</w:t>
      </w:r>
      <w:r w:rsidRPr="00F457B9">
        <w:rPr>
          <w:rFonts w:ascii="Times New Roman" w:hAnsi="Times New Roman"/>
          <w:sz w:val="24"/>
          <w:szCs w:val="24"/>
          <w:lang w:val="sq-AL"/>
        </w:rPr>
        <w:t xml:space="preserve"> Gjykatat kanë të drejtën ekskluzive për dhënien e drejtësisë</w:t>
      </w:r>
      <w:r w:rsidR="001A0114" w:rsidRPr="00F457B9">
        <w:rPr>
          <w:rFonts w:ascii="Times New Roman" w:hAnsi="Times New Roman"/>
          <w:sz w:val="24"/>
          <w:szCs w:val="24"/>
          <w:lang w:val="sq-AL"/>
        </w:rPr>
        <w:t xml:space="preserve"> </w:t>
      </w:r>
      <w:r w:rsidRPr="00F457B9">
        <w:rPr>
          <w:rFonts w:ascii="Times New Roman" w:hAnsi="Times New Roman"/>
          <w:i/>
          <w:iCs/>
          <w:sz w:val="24"/>
          <w:szCs w:val="24"/>
          <w:lang w:val="sq-AL"/>
        </w:rPr>
        <w:t>(shih vendimin nr. 11, datë 02.04.2008 të Gjykatës Kushtetuese)</w:t>
      </w:r>
      <w:r w:rsidR="00646EA6">
        <w:rPr>
          <w:rFonts w:ascii="Times New Roman" w:hAnsi="Times New Roman"/>
          <w:sz w:val="24"/>
          <w:szCs w:val="24"/>
          <w:lang w:val="sq-AL"/>
        </w:rPr>
        <w:t xml:space="preserve">. </w:t>
      </w:r>
      <w:r w:rsidRPr="00F457B9">
        <w:rPr>
          <w:rFonts w:ascii="Times New Roman" w:hAnsi="Times New Roman"/>
          <w:sz w:val="24"/>
          <w:szCs w:val="24"/>
          <w:lang w:val="sq-AL"/>
        </w:rPr>
        <w:t>N</w:t>
      </w:r>
      <w:r w:rsidR="001A0114" w:rsidRPr="00F457B9">
        <w:rPr>
          <w:rFonts w:ascii="Times New Roman" w:hAnsi="Times New Roman"/>
          <w:sz w:val="24"/>
          <w:szCs w:val="24"/>
          <w:lang w:val="sq-AL"/>
        </w:rPr>
        <w:t>d</w:t>
      </w:r>
      <w:r w:rsidR="006865E8" w:rsidRPr="00F457B9">
        <w:rPr>
          <w:rFonts w:ascii="Times New Roman" w:hAnsi="Times New Roman"/>
          <w:sz w:val="24"/>
          <w:szCs w:val="24"/>
          <w:lang w:val="sq-AL"/>
        </w:rPr>
        <w:t>ë</w:t>
      </w:r>
      <w:r w:rsidR="001A0114" w:rsidRPr="00F457B9">
        <w:rPr>
          <w:rFonts w:ascii="Times New Roman" w:hAnsi="Times New Roman"/>
          <w:sz w:val="24"/>
          <w:szCs w:val="24"/>
          <w:lang w:val="sq-AL"/>
        </w:rPr>
        <w:t>rsa pika 1 e</w:t>
      </w:r>
      <w:r w:rsidRPr="00F457B9">
        <w:rPr>
          <w:rFonts w:ascii="Times New Roman" w:hAnsi="Times New Roman"/>
          <w:sz w:val="24"/>
          <w:szCs w:val="24"/>
          <w:lang w:val="sq-AL"/>
        </w:rPr>
        <w:t xml:space="preserve"> nenit 145 </w:t>
      </w:r>
      <w:r w:rsidR="005C4595" w:rsidRPr="00F457B9">
        <w:rPr>
          <w:rFonts w:ascii="Times New Roman" w:hAnsi="Times New Roman"/>
          <w:sz w:val="24"/>
          <w:szCs w:val="24"/>
          <w:lang w:val="sq-AL"/>
        </w:rPr>
        <w:t xml:space="preserve">të Kushtetutës </w:t>
      </w:r>
      <w:r w:rsidRPr="00F457B9">
        <w:rPr>
          <w:rFonts w:ascii="Times New Roman" w:hAnsi="Times New Roman"/>
          <w:sz w:val="24"/>
          <w:szCs w:val="24"/>
          <w:lang w:val="sq-AL"/>
        </w:rPr>
        <w:t xml:space="preserve">njeh pavarësinë e gjyqtarëve dhe nënshtrimin e tyre vetëm ndaj </w:t>
      </w:r>
      <w:r w:rsidR="005C4595" w:rsidRPr="00F457B9">
        <w:rPr>
          <w:rFonts w:ascii="Times New Roman" w:hAnsi="Times New Roman"/>
          <w:sz w:val="24"/>
          <w:szCs w:val="24"/>
          <w:lang w:val="sq-AL"/>
        </w:rPr>
        <w:t>saj</w:t>
      </w:r>
      <w:r w:rsidRPr="00F457B9">
        <w:rPr>
          <w:rFonts w:ascii="Times New Roman" w:hAnsi="Times New Roman"/>
          <w:sz w:val="24"/>
          <w:szCs w:val="24"/>
          <w:lang w:val="sq-AL"/>
        </w:rPr>
        <w:t xml:space="preserve"> dhe ligjeve, pika 3 e kësaj dispozite, në të njëjtën kohë, ndalon ndërhyrjen në veprimtarinë e gjykatave dhe të gjyqtarëve. Roli i gjyqtarit dhe </w:t>
      </w:r>
      <w:r w:rsidR="00EA0D1E">
        <w:rPr>
          <w:rFonts w:ascii="Times New Roman" w:hAnsi="Times New Roman"/>
          <w:sz w:val="24"/>
          <w:szCs w:val="24"/>
          <w:lang w:val="sq-AL"/>
        </w:rPr>
        <w:t xml:space="preserve">i </w:t>
      </w:r>
      <w:r w:rsidRPr="00F457B9">
        <w:rPr>
          <w:rFonts w:ascii="Times New Roman" w:hAnsi="Times New Roman"/>
          <w:sz w:val="24"/>
          <w:szCs w:val="24"/>
          <w:lang w:val="sq-AL"/>
        </w:rPr>
        <w:t xml:space="preserve">gjykatave është që, ndërsa ushtrojnë funksionin e drejtësisë, ata duhet të sigurojnë zbatimin e normave kushtetuese dhe të akteve të tjera ligjore për të garantuar shtetin e së drejtës dhe mbrojtjen e të drejtave dhe lirive të njeriut </w:t>
      </w:r>
      <w:r w:rsidRPr="00F457B9">
        <w:rPr>
          <w:rFonts w:ascii="Times New Roman" w:hAnsi="Times New Roman"/>
          <w:i/>
          <w:iCs/>
          <w:sz w:val="24"/>
          <w:szCs w:val="24"/>
          <w:lang w:val="sq-AL"/>
        </w:rPr>
        <w:t>(shih vendimin nr. 19, datë 03.05.2007 të Gjykatës Kushtetuese)</w:t>
      </w:r>
      <w:r w:rsidRPr="00F457B9">
        <w:rPr>
          <w:rFonts w:ascii="Times New Roman" w:hAnsi="Times New Roman"/>
          <w:sz w:val="24"/>
          <w:szCs w:val="24"/>
          <w:lang w:val="sq-AL"/>
        </w:rPr>
        <w:t xml:space="preserve">. Një prej aspekteve të pavarësisë së gjyqësorit ka të bëjë me </w:t>
      </w:r>
      <w:r w:rsidRPr="00F457B9">
        <w:rPr>
          <w:rFonts w:ascii="Times New Roman" w:hAnsi="Times New Roman"/>
          <w:i/>
          <w:iCs/>
          <w:sz w:val="24"/>
          <w:szCs w:val="24"/>
          <w:lang w:val="sq-AL"/>
        </w:rPr>
        <w:t>pavarësinë substanciale,</w:t>
      </w:r>
      <w:r w:rsidRPr="00F457B9">
        <w:rPr>
          <w:rFonts w:ascii="Times New Roman" w:hAnsi="Times New Roman"/>
          <w:sz w:val="24"/>
          <w:szCs w:val="24"/>
          <w:lang w:val="sq-AL"/>
        </w:rPr>
        <w:t xml:space="preserve"> që do të thotë “liri e gjykatave për të dhënë vendime, të cilat nuk bazohen në interesat e ndonjë dege tjetër të pushtetit” (</w:t>
      </w:r>
      <w:r w:rsidRPr="00F457B9">
        <w:rPr>
          <w:rFonts w:ascii="Times New Roman" w:hAnsi="Times New Roman"/>
          <w:i/>
          <w:sz w:val="24"/>
          <w:szCs w:val="24"/>
          <w:lang w:val="sq-AL"/>
        </w:rPr>
        <w:t>shih vendimin nr. 11, datë 06.04.2010 të Gjykatës Kushtetuese</w:t>
      </w:r>
      <w:r w:rsidRPr="00F457B9">
        <w:rPr>
          <w:rFonts w:ascii="Times New Roman" w:hAnsi="Times New Roman"/>
          <w:sz w:val="24"/>
          <w:szCs w:val="24"/>
          <w:lang w:val="sq-AL"/>
        </w:rPr>
        <w:t>).</w:t>
      </w:r>
    </w:p>
    <w:p w:rsidR="008D549A" w:rsidRPr="00F457B9" w:rsidRDefault="00C93F8A" w:rsidP="00F457B9">
      <w:pPr>
        <w:pStyle w:val="ListParagraph"/>
        <w:numPr>
          <w:ilvl w:val="0"/>
          <w:numId w:val="5"/>
        </w:numPr>
        <w:tabs>
          <w:tab w:val="left" w:pos="1080"/>
          <w:tab w:val="left" w:pos="1530"/>
        </w:tabs>
        <w:suppressAutoHyphens/>
        <w:spacing w:after="0" w:line="360" w:lineRule="auto"/>
        <w:ind w:left="0" w:firstLine="720"/>
        <w:jc w:val="both"/>
        <w:rPr>
          <w:rFonts w:ascii="Times New Roman" w:eastAsia="Times New Roman" w:hAnsi="Times New Roman"/>
          <w:sz w:val="24"/>
          <w:szCs w:val="24"/>
          <w:lang w:val="sq-AL"/>
        </w:rPr>
      </w:pPr>
      <w:r w:rsidRPr="00F457B9">
        <w:rPr>
          <w:rFonts w:ascii="Times New Roman" w:eastAsia="Times New Roman" w:hAnsi="Times New Roman"/>
          <w:sz w:val="24"/>
          <w:szCs w:val="24"/>
          <w:lang w:val="sq-AL"/>
        </w:rPr>
        <w:t xml:space="preserve">Duke e vlerësuar çështjen konkrete nën dritën e këtyre standardeve, </w:t>
      </w:r>
      <w:r w:rsidR="005E496F" w:rsidRPr="00F457B9">
        <w:rPr>
          <w:rFonts w:ascii="Times New Roman" w:eastAsia="Times New Roman" w:hAnsi="Times New Roman"/>
          <w:sz w:val="24"/>
          <w:szCs w:val="24"/>
          <w:lang w:val="sq-AL"/>
        </w:rPr>
        <w:t xml:space="preserve">Mbledhja e Gjyqtarëve thekson se gjykatat e juridiksionit të </w:t>
      </w:r>
      <w:r w:rsidR="005E496F" w:rsidRPr="00F457B9">
        <w:rPr>
          <w:rFonts w:ascii="Times New Roman" w:hAnsi="Times New Roman"/>
          <w:sz w:val="24"/>
          <w:szCs w:val="24"/>
          <w:lang w:val="sq-AL"/>
        </w:rPr>
        <w:t>zakonshëm, për shkak të pavarësisë që gëzojnë në dhënien e drejtësisë</w:t>
      </w:r>
      <w:r w:rsidR="00EA0D1E">
        <w:rPr>
          <w:rFonts w:ascii="Times New Roman" w:hAnsi="Times New Roman"/>
          <w:sz w:val="24"/>
          <w:szCs w:val="24"/>
          <w:lang w:val="sq-AL"/>
        </w:rPr>
        <w:t>,</w:t>
      </w:r>
      <w:r w:rsidR="005E496F" w:rsidRPr="00F457B9">
        <w:rPr>
          <w:rFonts w:ascii="Times New Roman" w:hAnsi="Times New Roman"/>
          <w:sz w:val="24"/>
          <w:szCs w:val="24"/>
          <w:lang w:val="sq-AL"/>
        </w:rPr>
        <w:t xml:space="preserve"> iu nënshtrohen vetëm Kushtetutës dhe ligjeve, që do të thotë se ato legjitimohen të kërkojnë kontrollin kushtetues vetëm të ligjeve</w:t>
      </w:r>
      <w:r w:rsidR="005C4595" w:rsidRPr="00F457B9">
        <w:rPr>
          <w:rFonts w:ascii="Times New Roman" w:hAnsi="Times New Roman"/>
          <w:sz w:val="24"/>
          <w:szCs w:val="24"/>
          <w:lang w:val="sq-AL"/>
        </w:rPr>
        <w:t xml:space="preserve">. Në këtë pikëpamje, procedura e kontrollit </w:t>
      </w:r>
      <w:proofErr w:type="spellStart"/>
      <w:r w:rsidR="005C4595" w:rsidRPr="00F457B9">
        <w:rPr>
          <w:rFonts w:ascii="Times New Roman" w:hAnsi="Times New Roman"/>
          <w:sz w:val="24"/>
          <w:szCs w:val="24"/>
          <w:lang w:val="sq-AL"/>
        </w:rPr>
        <w:t>incidental</w:t>
      </w:r>
      <w:proofErr w:type="spellEnd"/>
      <w:r w:rsidR="005C4595" w:rsidRPr="00F457B9">
        <w:rPr>
          <w:rFonts w:ascii="Times New Roman" w:hAnsi="Times New Roman"/>
          <w:sz w:val="24"/>
          <w:szCs w:val="24"/>
          <w:lang w:val="sq-AL"/>
        </w:rPr>
        <w:t xml:space="preserve"> është një instrument që i shërben pavarësisë substanciale të gjykatave për të dhënë vendime</w:t>
      </w:r>
      <w:r w:rsidR="00EA0D1E">
        <w:rPr>
          <w:rFonts w:ascii="Times New Roman" w:hAnsi="Times New Roman"/>
          <w:sz w:val="24"/>
          <w:szCs w:val="24"/>
          <w:lang w:val="sq-AL"/>
        </w:rPr>
        <w:t>,</w:t>
      </w:r>
      <w:r w:rsidR="005C4595" w:rsidRPr="00F457B9">
        <w:rPr>
          <w:rFonts w:ascii="Times New Roman" w:hAnsi="Times New Roman"/>
          <w:sz w:val="24"/>
          <w:szCs w:val="24"/>
          <w:lang w:val="sq-AL"/>
        </w:rPr>
        <w:t xml:space="preserve"> duke iu nënshtruar vetëm Kushtetutës dhe ligjeve</w:t>
      </w:r>
      <w:r w:rsidR="00D939FD" w:rsidRPr="00F457B9">
        <w:rPr>
          <w:rFonts w:ascii="Times New Roman" w:hAnsi="Times New Roman"/>
          <w:sz w:val="24"/>
          <w:szCs w:val="24"/>
          <w:lang w:val="sq-AL"/>
        </w:rPr>
        <w:t xml:space="preserve">. </w:t>
      </w:r>
      <w:r w:rsidR="005E496F" w:rsidRPr="00F457B9">
        <w:rPr>
          <w:rFonts w:ascii="Times New Roman" w:hAnsi="Times New Roman"/>
          <w:sz w:val="24"/>
          <w:szCs w:val="24"/>
          <w:lang w:val="sq-AL"/>
        </w:rPr>
        <w:t xml:space="preserve">Për rrjedhojë, në rastin konkret, gjykata referuese nuk legjitimohet për të kërkuar kontrollin kushtetues </w:t>
      </w:r>
      <w:proofErr w:type="spellStart"/>
      <w:r w:rsidR="005E496F" w:rsidRPr="00F457B9">
        <w:rPr>
          <w:rFonts w:ascii="Times New Roman" w:hAnsi="Times New Roman"/>
          <w:sz w:val="24"/>
          <w:szCs w:val="24"/>
          <w:lang w:val="sq-AL"/>
        </w:rPr>
        <w:t>incidental</w:t>
      </w:r>
      <w:proofErr w:type="spellEnd"/>
      <w:r w:rsidR="005E496F" w:rsidRPr="00F457B9">
        <w:rPr>
          <w:rFonts w:ascii="Times New Roman" w:hAnsi="Times New Roman"/>
          <w:sz w:val="24"/>
          <w:szCs w:val="24"/>
          <w:lang w:val="sq-AL"/>
        </w:rPr>
        <w:t xml:space="preserve"> të rregullores nr. 53/2009, e cila nuk është ligj</w:t>
      </w:r>
      <w:r w:rsidR="005E496F" w:rsidRPr="00F457B9">
        <w:rPr>
          <w:rFonts w:ascii="Times New Roman" w:eastAsia="Times New Roman" w:hAnsi="Times New Roman"/>
          <w:sz w:val="24"/>
          <w:szCs w:val="24"/>
          <w:lang w:val="sq-AL"/>
        </w:rPr>
        <w:t xml:space="preserve">. </w:t>
      </w:r>
    </w:p>
    <w:p w:rsidR="00530D28" w:rsidRPr="00F457B9" w:rsidRDefault="00530D28" w:rsidP="00F457B9">
      <w:pPr>
        <w:pStyle w:val="ListParagraph"/>
        <w:numPr>
          <w:ilvl w:val="0"/>
          <w:numId w:val="5"/>
        </w:numPr>
        <w:tabs>
          <w:tab w:val="left" w:pos="1080"/>
          <w:tab w:val="left" w:pos="1530"/>
        </w:tabs>
        <w:suppressAutoHyphen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rPr>
        <w:t xml:space="preserve">Po kështu, </w:t>
      </w:r>
      <w:r w:rsidRPr="00F457B9">
        <w:rPr>
          <w:rFonts w:ascii="Times New Roman" w:eastAsia="Times New Roman" w:hAnsi="Times New Roman"/>
          <w:sz w:val="24"/>
          <w:szCs w:val="24"/>
          <w:lang w:val="sq-AL"/>
        </w:rPr>
        <w:t xml:space="preserve">Mbledhja e Gjyqtarëve vëren se gjykata referuese ka parashtruar se një nga çështjet për diskutim para gjykatave të zakonshme është momenti i hyrjes në fuqi i rregullores nr. 53/2009, zgjidhja e </w:t>
      </w:r>
      <w:r w:rsidR="00EA0D1E">
        <w:rPr>
          <w:rFonts w:ascii="Times New Roman" w:eastAsia="Times New Roman" w:hAnsi="Times New Roman"/>
          <w:sz w:val="24"/>
          <w:szCs w:val="24"/>
          <w:lang w:val="sq-AL"/>
        </w:rPr>
        <w:t>s</w:t>
      </w:r>
      <w:r w:rsidRPr="00F457B9">
        <w:rPr>
          <w:rFonts w:ascii="Times New Roman" w:eastAsia="Times New Roman" w:hAnsi="Times New Roman"/>
          <w:sz w:val="24"/>
          <w:szCs w:val="24"/>
          <w:lang w:val="sq-AL"/>
        </w:rPr>
        <w:t xml:space="preserve">ë cilës i jep përgjigje zbatimit të saj në marrëdhënien juridike mes palëve në konflikt. Gjykata ka theksuar se një çështje nuk hyn në sferën e kompetencës së saj nëse paraqet probleme të veprimit të ligjit në kohë apo kërkon vlerësime lidhur me vendosjen </w:t>
      </w:r>
      <w:proofErr w:type="spellStart"/>
      <w:r w:rsidRPr="00F457B9">
        <w:rPr>
          <w:rFonts w:ascii="Times New Roman" w:eastAsia="Times New Roman" w:hAnsi="Times New Roman"/>
          <w:sz w:val="24"/>
          <w:szCs w:val="24"/>
          <w:lang w:val="sq-AL"/>
        </w:rPr>
        <w:t>respektive</w:t>
      </w:r>
      <w:proofErr w:type="spellEnd"/>
      <w:r w:rsidRPr="00F457B9">
        <w:rPr>
          <w:rFonts w:ascii="Times New Roman" w:eastAsia="Times New Roman" w:hAnsi="Times New Roman"/>
          <w:sz w:val="24"/>
          <w:szCs w:val="24"/>
          <w:lang w:val="sq-AL"/>
        </w:rPr>
        <w:t xml:space="preserve"> hierarkike të normave në konflikt, të cilat</w:t>
      </w:r>
      <w:r w:rsidR="00EA0D1E">
        <w:rPr>
          <w:rFonts w:ascii="Times New Roman" w:eastAsia="Times New Roman" w:hAnsi="Times New Roman"/>
          <w:sz w:val="24"/>
          <w:szCs w:val="24"/>
          <w:lang w:val="sq-AL"/>
        </w:rPr>
        <w:t>,</w:t>
      </w:r>
      <w:r w:rsidRPr="00F457B9">
        <w:rPr>
          <w:rFonts w:ascii="Times New Roman" w:eastAsia="Times New Roman" w:hAnsi="Times New Roman"/>
          <w:sz w:val="24"/>
          <w:szCs w:val="24"/>
          <w:lang w:val="sq-AL"/>
        </w:rPr>
        <w:t xml:space="preserve"> si të tilla</w:t>
      </w:r>
      <w:r w:rsidR="00EA0D1E">
        <w:rPr>
          <w:rFonts w:ascii="Times New Roman" w:eastAsia="Times New Roman" w:hAnsi="Times New Roman"/>
          <w:sz w:val="24"/>
          <w:szCs w:val="24"/>
          <w:lang w:val="sq-AL"/>
        </w:rPr>
        <w:t>,</w:t>
      </w:r>
      <w:r w:rsidRPr="00F457B9">
        <w:rPr>
          <w:rFonts w:ascii="Times New Roman" w:eastAsia="Times New Roman" w:hAnsi="Times New Roman"/>
          <w:sz w:val="24"/>
          <w:szCs w:val="24"/>
          <w:lang w:val="sq-AL"/>
        </w:rPr>
        <w:t xml:space="preserve"> hyjnë në sferën e kompetencës së gjykatës referuese. Megjithatë</w:t>
      </w:r>
      <w:r w:rsidR="00EA0D1E">
        <w:rPr>
          <w:rFonts w:ascii="Times New Roman" w:eastAsia="Times New Roman" w:hAnsi="Times New Roman"/>
          <w:sz w:val="24"/>
          <w:szCs w:val="24"/>
          <w:lang w:val="sq-AL"/>
        </w:rPr>
        <w:t>,</w:t>
      </w:r>
      <w:r w:rsidRPr="00F457B9">
        <w:rPr>
          <w:rFonts w:ascii="Times New Roman" w:eastAsia="Times New Roman" w:hAnsi="Times New Roman"/>
          <w:sz w:val="24"/>
          <w:szCs w:val="24"/>
          <w:lang w:val="sq-AL"/>
        </w:rPr>
        <w:t xml:space="preserve"> sa herë lind nevoja, </w:t>
      </w:r>
      <w:r w:rsidR="00EA0D1E">
        <w:rPr>
          <w:rFonts w:ascii="Times New Roman" w:eastAsia="Times New Roman" w:hAnsi="Times New Roman"/>
          <w:sz w:val="24"/>
          <w:szCs w:val="24"/>
          <w:lang w:val="sq-AL"/>
        </w:rPr>
        <w:t>Gjykata</w:t>
      </w:r>
      <w:r w:rsidRPr="00F457B9">
        <w:rPr>
          <w:rFonts w:ascii="Times New Roman" w:eastAsia="Times New Roman" w:hAnsi="Times New Roman"/>
          <w:sz w:val="24"/>
          <w:szCs w:val="24"/>
          <w:lang w:val="sq-AL"/>
        </w:rPr>
        <w:t xml:space="preserve"> mund të ndalet në parashtrimin e disa parimeve të përgjithshme me qëllim orientimin e gjykatave në zgjidhjen e problematikave të konstatuara, për të </w:t>
      </w:r>
      <w:proofErr w:type="spellStart"/>
      <w:r w:rsidRPr="00F457B9">
        <w:rPr>
          <w:rFonts w:ascii="Times New Roman" w:eastAsia="Times New Roman" w:hAnsi="Times New Roman"/>
          <w:sz w:val="24"/>
          <w:szCs w:val="24"/>
          <w:lang w:val="sq-AL"/>
        </w:rPr>
        <w:t>rikonfirmuar</w:t>
      </w:r>
      <w:proofErr w:type="spellEnd"/>
      <w:r w:rsidRPr="00F457B9">
        <w:rPr>
          <w:rFonts w:ascii="Times New Roman" w:eastAsia="Times New Roman" w:hAnsi="Times New Roman"/>
          <w:sz w:val="24"/>
          <w:szCs w:val="24"/>
          <w:lang w:val="sq-AL"/>
        </w:rPr>
        <w:t xml:space="preserve"> rëndësinë e respektimit të parimeve të tilla kushtetuese si siguria juridike, barazia para ligjit apo hierarkia e burimeve të së drejtës (</w:t>
      </w:r>
      <w:r w:rsidRPr="00F457B9">
        <w:rPr>
          <w:rFonts w:ascii="Times New Roman" w:eastAsia="Times New Roman" w:hAnsi="Times New Roman"/>
          <w:i/>
          <w:sz w:val="24"/>
          <w:szCs w:val="24"/>
          <w:lang w:val="sq-AL"/>
        </w:rPr>
        <w:t>shih vendimin nr. 6, datë 17.02.2012 të Gjykatës Kushtetuese</w:t>
      </w:r>
      <w:r w:rsidRPr="00F457B9">
        <w:rPr>
          <w:rFonts w:ascii="Times New Roman" w:eastAsia="Times New Roman" w:hAnsi="Times New Roman"/>
          <w:sz w:val="24"/>
          <w:szCs w:val="24"/>
          <w:lang w:val="sq-AL"/>
        </w:rPr>
        <w:t xml:space="preserve">). Në këtë pikëpamje, Mbledhja e Gjyqtarëve thekson se dyshimet në lidhje me veprimin në kohë të normave juridike duhet të zgjidhen nga gjykatat e zakonshme bazuar në parashikimet kushtetuese që përcaktojnë momentin e hyrjes në fuqi të tyre (neni 117 i Kushtetutës), si edhe bazuar në parimin kushtetues të hierarkisë së akteve ligjore (nenet 4 dhe 116 të Kushtetutës), nga të cilat burojnë edhe parimet ku bazohen gjykatat për përcaktimin e ligjit e zbatueshëm në rast të përplasjeve mes normave me fuqi të njëjtë ose të ndryshme juridike. Në këtë kuptim, Gjykata e Lartë, </w:t>
      </w:r>
      <w:r w:rsidRPr="00F457B9">
        <w:rPr>
          <w:rFonts w:ascii="Times New Roman" w:hAnsi="Times New Roman"/>
          <w:sz w:val="24"/>
          <w:szCs w:val="24"/>
          <w:lang w:val="sq-AL"/>
        </w:rPr>
        <w:t xml:space="preserve">në përputhje me rolin kushtetues dhe kompetencat e saj, si dhe bazuar në parimet e sipërcituara, nuk ka pengesë për zgjidhjen e çështjes konkrete në shqyrtim. </w:t>
      </w:r>
    </w:p>
    <w:p w:rsidR="00417526" w:rsidRPr="00F457B9" w:rsidRDefault="00417526" w:rsidP="00F457B9">
      <w:pPr>
        <w:pStyle w:val="ListParagraph"/>
        <w:numPr>
          <w:ilvl w:val="0"/>
          <w:numId w:val="5"/>
        </w:numPr>
        <w:tabs>
          <w:tab w:val="left" w:pos="1080"/>
          <w:tab w:val="left" w:pos="1530"/>
        </w:tabs>
        <w:suppressAutoHyphen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rPr>
        <w:t>Në përmbledhje të sa më sipër, Mbledhja e Gjyqtarëve arrin në përfundimin se neni 13, pika 1</w:t>
      </w:r>
      <w:r w:rsidR="00EA0D1E">
        <w:rPr>
          <w:rFonts w:ascii="Times New Roman" w:hAnsi="Times New Roman"/>
          <w:sz w:val="24"/>
          <w:szCs w:val="24"/>
          <w:lang w:val="sq-AL"/>
        </w:rPr>
        <w:t>,</w:t>
      </w:r>
      <w:r w:rsidRPr="00F457B9">
        <w:rPr>
          <w:rFonts w:ascii="Times New Roman" w:hAnsi="Times New Roman"/>
          <w:sz w:val="24"/>
          <w:szCs w:val="24"/>
          <w:lang w:val="sq-AL"/>
        </w:rPr>
        <w:t xml:space="preserve"> i ligjit nr. 10076/2009 nuk rezulton të jetë në fuqi dhe i zbatueshëm drejtpërdrejt në zgjidhjen e mosmarrëveshjes prej </w:t>
      </w:r>
      <w:r w:rsidR="00EA0D1E">
        <w:rPr>
          <w:rFonts w:ascii="Times New Roman" w:hAnsi="Times New Roman"/>
          <w:sz w:val="24"/>
          <w:szCs w:val="24"/>
          <w:lang w:val="sq-AL"/>
        </w:rPr>
        <w:t>gjykatës referuese</w:t>
      </w:r>
      <w:r w:rsidRPr="00F457B9">
        <w:rPr>
          <w:rFonts w:ascii="Times New Roman" w:hAnsi="Times New Roman"/>
          <w:sz w:val="24"/>
          <w:szCs w:val="24"/>
          <w:lang w:val="sq-AL"/>
        </w:rPr>
        <w:t>. Ndërsa për sa i takon kushtetutshmërisë së rregullores nr. 53/2009, që edhe pse nuk është vendosur në objekt të kërkesës</w:t>
      </w:r>
      <w:r w:rsidR="00EA0D1E">
        <w:rPr>
          <w:rFonts w:ascii="Times New Roman" w:hAnsi="Times New Roman"/>
          <w:sz w:val="24"/>
          <w:szCs w:val="24"/>
          <w:lang w:val="sq-AL"/>
        </w:rPr>
        <w:t>,</w:t>
      </w:r>
      <w:r w:rsidRPr="00F457B9">
        <w:rPr>
          <w:rFonts w:ascii="Times New Roman" w:hAnsi="Times New Roman"/>
          <w:sz w:val="24"/>
          <w:szCs w:val="24"/>
          <w:lang w:val="sq-AL"/>
        </w:rPr>
        <w:t xml:space="preserve"> është kundërshtuar nga gjykata referuese, e cila e ka identifikuar si të zbatueshme në zgjidhjen e mosmarrëveshjes konkrete objekt gjykimi pranë saj, Mbledhja e Gjyqtarëve thekson se në bazë të nenit 145, pika 2</w:t>
      </w:r>
      <w:r w:rsidR="00EA0D1E">
        <w:rPr>
          <w:rFonts w:ascii="Times New Roman" w:hAnsi="Times New Roman"/>
          <w:sz w:val="24"/>
          <w:szCs w:val="24"/>
          <w:lang w:val="sq-AL"/>
        </w:rPr>
        <w:t>, të Kushtetutës</w:t>
      </w:r>
      <w:r w:rsidRPr="00F457B9">
        <w:rPr>
          <w:rFonts w:ascii="Times New Roman" w:hAnsi="Times New Roman"/>
          <w:sz w:val="24"/>
          <w:szCs w:val="24"/>
          <w:lang w:val="sq-AL"/>
        </w:rPr>
        <w:t xml:space="preserve"> gjykimi kushtetues nuk mund të vihet në lëvizje nga gjykatat referuese për akte normative që nuk janë ligje. Për rrjedhojë, Mbledhja e Gjyqtarëve vlerëson se gjykata referuese nuk legjitimohet të vërë në lëvizje gjykimin kushtetues, </w:t>
      </w:r>
      <w:r w:rsidRPr="00F457B9">
        <w:rPr>
          <w:rStyle w:val="markedcontent"/>
          <w:rFonts w:ascii="Times New Roman" w:hAnsi="Times New Roman"/>
          <w:sz w:val="24"/>
          <w:szCs w:val="24"/>
          <w:lang w:val="sq-AL"/>
        </w:rPr>
        <w:t xml:space="preserve">pasi nuk plotëson kriteret e </w:t>
      </w:r>
      <w:r w:rsidRPr="00F457B9">
        <w:rPr>
          <w:rFonts w:ascii="Times New Roman" w:hAnsi="Times New Roman"/>
          <w:sz w:val="24"/>
          <w:szCs w:val="24"/>
          <w:lang w:val="sq-AL"/>
        </w:rPr>
        <w:t xml:space="preserve">identifikimit të </w:t>
      </w:r>
      <w:r w:rsidRPr="00F457B9">
        <w:rPr>
          <w:rFonts w:ascii="Times New Roman" w:hAnsi="Times New Roman"/>
          <w:bCs/>
          <w:sz w:val="24"/>
          <w:szCs w:val="24"/>
          <w:lang w:val="sq-AL"/>
        </w:rPr>
        <w:t xml:space="preserve">ligjit të zbatueshëm dhe </w:t>
      </w:r>
      <w:r w:rsidRPr="00F457B9">
        <w:rPr>
          <w:rFonts w:ascii="Times New Roman" w:hAnsi="Times New Roman"/>
          <w:sz w:val="24"/>
          <w:szCs w:val="24"/>
          <w:lang w:val="sq-AL"/>
        </w:rPr>
        <w:t xml:space="preserve">lidhjen e drejtpërdrejtë të kushtetutshmërisë së tij me gjykimin që ajo po zhvillon. </w:t>
      </w:r>
    </w:p>
    <w:p w:rsidR="001A0114" w:rsidRPr="00F457B9" w:rsidRDefault="001A0114" w:rsidP="00F457B9">
      <w:pPr>
        <w:pStyle w:val="ListParagraph"/>
        <w:numPr>
          <w:ilvl w:val="0"/>
          <w:numId w:val="5"/>
        </w:numPr>
        <w:tabs>
          <w:tab w:val="left" w:pos="1080"/>
          <w:tab w:val="left" w:pos="1530"/>
        </w:tabs>
        <w:suppressAutoHyphen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rPr>
        <w:t xml:space="preserve">Për sa më lart, në kushtet kur kriteret e legjitimimit janë </w:t>
      </w:r>
      <w:proofErr w:type="spellStart"/>
      <w:r w:rsidRPr="00F457B9">
        <w:rPr>
          <w:rFonts w:ascii="Times New Roman" w:hAnsi="Times New Roman"/>
          <w:sz w:val="24"/>
          <w:szCs w:val="24"/>
          <w:lang w:val="sq-AL"/>
        </w:rPr>
        <w:t>kumulative</w:t>
      </w:r>
      <w:proofErr w:type="spellEnd"/>
      <w:r w:rsidRPr="00F457B9">
        <w:rPr>
          <w:rFonts w:ascii="Times New Roman" w:hAnsi="Times New Roman"/>
          <w:sz w:val="24"/>
          <w:szCs w:val="24"/>
          <w:lang w:val="sq-AL"/>
        </w:rPr>
        <w:t xml:space="preserve"> dhe gjykata referuese nuk </w:t>
      </w:r>
      <w:r w:rsidRPr="00F457B9">
        <w:rPr>
          <w:rStyle w:val="markedcontent"/>
          <w:rFonts w:ascii="Times New Roman" w:hAnsi="Times New Roman"/>
          <w:sz w:val="24"/>
          <w:szCs w:val="24"/>
          <w:lang w:val="sq-AL"/>
        </w:rPr>
        <w:t xml:space="preserve">plotëson kriteret e mësipërme, </w:t>
      </w:r>
      <w:r w:rsidRPr="00F457B9">
        <w:rPr>
          <w:rFonts w:ascii="Times New Roman" w:hAnsi="Times New Roman"/>
          <w:sz w:val="24"/>
          <w:szCs w:val="24"/>
          <w:lang w:val="sq-AL"/>
        </w:rPr>
        <w:t xml:space="preserve">Mbledhja e Gjyqtarëve </w:t>
      </w:r>
      <w:r w:rsidR="00401597" w:rsidRPr="00F457B9">
        <w:rPr>
          <w:rFonts w:ascii="Times New Roman" w:hAnsi="Times New Roman"/>
          <w:sz w:val="24"/>
          <w:szCs w:val="24"/>
          <w:lang w:val="sq-AL"/>
        </w:rPr>
        <w:t>çmon</w:t>
      </w:r>
      <w:r w:rsidRPr="00F457B9">
        <w:rPr>
          <w:rFonts w:ascii="Times New Roman" w:hAnsi="Times New Roman"/>
          <w:sz w:val="24"/>
          <w:szCs w:val="24"/>
          <w:lang w:val="sq-AL"/>
        </w:rPr>
        <w:t xml:space="preserve"> të mos vijojë me </w:t>
      </w:r>
      <w:r w:rsidR="00C93F8A" w:rsidRPr="00F457B9">
        <w:rPr>
          <w:rFonts w:ascii="Times New Roman" w:hAnsi="Times New Roman"/>
          <w:sz w:val="24"/>
          <w:szCs w:val="24"/>
          <w:lang w:val="sq-AL"/>
        </w:rPr>
        <w:t xml:space="preserve">shqyrtimin </w:t>
      </w:r>
      <w:r w:rsidRPr="00F457B9">
        <w:rPr>
          <w:rFonts w:ascii="Times New Roman" w:hAnsi="Times New Roman"/>
          <w:sz w:val="24"/>
          <w:szCs w:val="24"/>
          <w:lang w:val="sq-AL"/>
        </w:rPr>
        <w:t xml:space="preserve">e mëtejshëm të argumenteve për mosrespektimin e neneve 118 dhe 81 të Kushtetutës, të cilat kanë të bëjnë me kriterin e arsyeve bindëse të </w:t>
      </w:r>
      <w:proofErr w:type="spellStart"/>
      <w:r w:rsidRPr="00F457B9">
        <w:rPr>
          <w:rFonts w:ascii="Times New Roman" w:hAnsi="Times New Roman"/>
          <w:sz w:val="24"/>
          <w:szCs w:val="24"/>
          <w:lang w:val="sq-AL"/>
        </w:rPr>
        <w:t>antikushtetutshmërisë</w:t>
      </w:r>
      <w:proofErr w:type="spellEnd"/>
      <w:r w:rsidRPr="00F457B9">
        <w:rPr>
          <w:rFonts w:ascii="Times New Roman" w:hAnsi="Times New Roman"/>
          <w:sz w:val="24"/>
          <w:szCs w:val="24"/>
          <w:lang w:val="sq-AL"/>
        </w:rPr>
        <w:t xml:space="preserve">. Po </w:t>
      </w:r>
      <w:r w:rsidR="00EA0D1E">
        <w:rPr>
          <w:rFonts w:ascii="Times New Roman" w:hAnsi="Times New Roman"/>
          <w:sz w:val="24"/>
          <w:szCs w:val="24"/>
          <w:lang w:val="sq-AL"/>
        </w:rPr>
        <w:t>kë</w:t>
      </w:r>
      <w:r w:rsidRPr="00F457B9">
        <w:rPr>
          <w:rFonts w:ascii="Times New Roman" w:hAnsi="Times New Roman"/>
          <w:sz w:val="24"/>
          <w:szCs w:val="24"/>
          <w:lang w:val="sq-AL"/>
        </w:rPr>
        <w:t>shtu, me të njëjtin arsyetim, ajo nuk do të ndalet as në shqyrtimin e përmbajtjes së nenit 11, pika 1</w:t>
      </w:r>
      <w:r w:rsidR="00EA0D1E">
        <w:rPr>
          <w:rFonts w:ascii="Times New Roman" w:hAnsi="Times New Roman"/>
          <w:sz w:val="24"/>
          <w:szCs w:val="24"/>
          <w:lang w:val="sq-AL"/>
        </w:rPr>
        <w:t>,</w:t>
      </w:r>
      <w:r w:rsidRPr="00F457B9">
        <w:rPr>
          <w:rFonts w:ascii="Times New Roman" w:hAnsi="Times New Roman"/>
          <w:sz w:val="24"/>
          <w:szCs w:val="24"/>
          <w:lang w:val="sq-AL"/>
        </w:rPr>
        <w:t xml:space="preserve"> të ligjit nr. 32/2021.</w:t>
      </w:r>
    </w:p>
    <w:p w:rsidR="001A0114" w:rsidRPr="00F457B9" w:rsidRDefault="001A0114" w:rsidP="00F457B9">
      <w:pPr>
        <w:pStyle w:val="ListParagraph"/>
        <w:numPr>
          <w:ilvl w:val="0"/>
          <w:numId w:val="5"/>
        </w:numPr>
        <w:tabs>
          <w:tab w:val="left" w:pos="1080"/>
          <w:tab w:val="left" w:pos="1530"/>
        </w:tabs>
        <w:suppressAutoHyphens/>
        <w:spacing w:after="0" w:line="360" w:lineRule="auto"/>
        <w:ind w:left="0" w:firstLine="720"/>
        <w:jc w:val="both"/>
        <w:rPr>
          <w:rFonts w:ascii="Times New Roman" w:eastAsia="Times New Roman" w:hAnsi="Times New Roman"/>
          <w:sz w:val="24"/>
          <w:szCs w:val="24"/>
          <w:lang w:val="sq-AL"/>
        </w:rPr>
      </w:pPr>
      <w:r w:rsidRPr="00F457B9">
        <w:rPr>
          <w:rFonts w:ascii="Times New Roman" w:hAnsi="Times New Roman"/>
          <w:sz w:val="24"/>
          <w:szCs w:val="24"/>
          <w:lang w:val="sq-AL"/>
        </w:rPr>
        <w:t>Si përfundim, Mbledhja e Gjyqtarëve vlerëson se</w:t>
      </w:r>
      <w:r w:rsidRPr="00F457B9">
        <w:rPr>
          <w:rStyle w:val="markedcontent"/>
          <w:rFonts w:ascii="Times New Roman" w:hAnsi="Times New Roman"/>
          <w:sz w:val="24"/>
          <w:szCs w:val="24"/>
          <w:lang w:val="sq-AL"/>
        </w:rPr>
        <w:t xml:space="preserve"> </w:t>
      </w:r>
      <w:r w:rsidRPr="00F457B9">
        <w:rPr>
          <w:rFonts w:ascii="Times New Roman" w:hAnsi="Times New Roman"/>
          <w:sz w:val="24"/>
          <w:szCs w:val="24"/>
          <w:lang w:val="sq-AL"/>
        </w:rPr>
        <w:t xml:space="preserve">kërkesa e gjykatës referuese nuk plotëson kriteret </w:t>
      </w:r>
      <w:r w:rsidRPr="00F457B9">
        <w:rPr>
          <w:rFonts w:ascii="Times New Roman" w:hAnsi="Times New Roman"/>
          <w:color w:val="000000"/>
          <w:sz w:val="24"/>
          <w:szCs w:val="24"/>
          <w:lang w:val="sq-AL"/>
        </w:rPr>
        <w:t xml:space="preserve">ligjore për pranimin e saj </w:t>
      </w:r>
      <w:r w:rsidRPr="00F457B9">
        <w:rPr>
          <w:rFonts w:ascii="Times New Roman" w:hAnsi="Times New Roman"/>
          <w:sz w:val="24"/>
          <w:szCs w:val="24"/>
          <w:lang w:val="sq-AL"/>
        </w:rPr>
        <w:t xml:space="preserve">për shqyrtim në seancë plenare. Për pasojë, nuk mund të pranohet </w:t>
      </w:r>
      <w:r w:rsidR="007D63C3" w:rsidRPr="00F457B9">
        <w:rPr>
          <w:rFonts w:ascii="Times New Roman" w:hAnsi="Times New Roman"/>
          <w:sz w:val="24"/>
          <w:szCs w:val="24"/>
          <w:lang w:val="sq-AL"/>
        </w:rPr>
        <w:t xml:space="preserve">edhe </w:t>
      </w:r>
      <w:r w:rsidRPr="00F457B9">
        <w:rPr>
          <w:rFonts w:ascii="Times New Roman" w:hAnsi="Times New Roman"/>
          <w:sz w:val="24"/>
          <w:szCs w:val="24"/>
          <w:lang w:val="sq-AL"/>
        </w:rPr>
        <w:t>kërkesa e Shoqatës së Siguruesve të Shqipërisë për të marrë pjesë në gjykimin e kësaj çështjeje.</w:t>
      </w:r>
    </w:p>
    <w:p w:rsidR="00A17E48" w:rsidRPr="00F457B9" w:rsidRDefault="00A17E48" w:rsidP="00F457B9">
      <w:pPr>
        <w:spacing w:after="0" w:line="360" w:lineRule="auto"/>
        <w:jc w:val="center"/>
        <w:rPr>
          <w:rFonts w:ascii="Times New Roman" w:hAnsi="Times New Roman"/>
          <w:b/>
          <w:sz w:val="24"/>
          <w:szCs w:val="24"/>
          <w:lang w:val="sq-AL"/>
        </w:rPr>
      </w:pPr>
    </w:p>
    <w:p w:rsidR="00A17E48" w:rsidRPr="00F457B9" w:rsidRDefault="00A17E48" w:rsidP="00F457B9">
      <w:pPr>
        <w:spacing w:after="0" w:line="360" w:lineRule="auto"/>
        <w:jc w:val="center"/>
        <w:rPr>
          <w:rFonts w:ascii="Times New Roman" w:hAnsi="Times New Roman"/>
          <w:b/>
          <w:sz w:val="24"/>
          <w:szCs w:val="24"/>
          <w:lang w:val="sq-AL"/>
        </w:rPr>
      </w:pPr>
      <w:r w:rsidRPr="00F457B9">
        <w:rPr>
          <w:rFonts w:ascii="Times New Roman" w:hAnsi="Times New Roman"/>
          <w:b/>
          <w:sz w:val="24"/>
          <w:szCs w:val="24"/>
          <w:lang w:val="sq-AL"/>
        </w:rPr>
        <w:t>PËR KËTO ARSYE,</w:t>
      </w:r>
    </w:p>
    <w:p w:rsidR="00B32F59" w:rsidRPr="00F457B9" w:rsidRDefault="00B32F59" w:rsidP="00F457B9">
      <w:pPr>
        <w:spacing w:after="0" w:line="360" w:lineRule="auto"/>
        <w:ind w:firstLine="720"/>
        <w:jc w:val="both"/>
        <w:rPr>
          <w:rFonts w:ascii="Times New Roman" w:hAnsi="Times New Roman"/>
          <w:sz w:val="24"/>
          <w:szCs w:val="24"/>
          <w:lang w:val="sq-AL"/>
        </w:rPr>
      </w:pPr>
      <w:r w:rsidRPr="00F457B9">
        <w:rPr>
          <w:rFonts w:ascii="Times New Roman" w:hAnsi="Times New Roman"/>
          <w:sz w:val="24"/>
          <w:szCs w:val="24"/>
          <w:lang w:val="sq-AL"/>
        </w:rPr>
        <w:t>Mbledhja e Gjyqtarëve të Gjykatës Kushtetuese të Republikës së Shqipërisë, bazuar në nenet 31, 31/a dhe 68 të ligjit nr. 8577, datë 10.02.2000 “Për organizimin dhe funksionimin e Gjykatës Kushtetuese të Republikës së Shqipërisë”, të ndryshuar,</w:t>
      </w:r>
      <w:r w:rsidR="007554F5" w:rsidRPr="00F457B9">
        <w:rPr>
          <w:rFonts w:ascii="Times New Roman" w:hAnsi="Times New Roman"/>
          <w:sz w:val="24"/>
          <w:szCs w:val="24"/>
          <w:lang w:val="sq-AL"/>
        </w:rPr>
        <w:t xml:space="preserve"> njëzëri,</w:t>
      </w:r>
    </w:p>
    <w:p w:rsidR="00A17E48" w:rsidRDefault="00A17E48" w:rsidP="00F457B9">
      <w:pPr>
        <w:spacing w:after="0" w:line="360" w:lineRule="auto"/>
        <w:jc w:val="both"/>
        <w:rPr>
          <w:rFonts w:ascii="Times New Roman" w:hAnsi="Times New Roman"/>
          <w:sz w:val="24"/>
          <w:szCs w:val="24"/>
          <w:lang w:val="sq-AL"/>
        </w:rPr>
      </w:pPr>
    </w:p>
    <w:p w:rsidR="00C20B32" w:rsidRDefault="00C20B32" w:rsidP="00F457B9">
      <w:pPr>
        <w:spacing w:after="0" w:line="360" w:lineRule="auto"/>
        <w:jc w:val="both"/>
        <w:rPr>
          <w:rFonts w:ascii="Times New Roman" w:hAnsi="Times New Roman"/>
          <w:sz w:val="24"/>
          <w:szCs w:val="24"/>
          <w:lang w:val="sq-AL"/>
        </w:rPr>
      </w:pPr>
    </w:p>
    <w:p w:rsidR="00C20B32" w:rsidRPr="00F457B9" w:rsidRDefault="00C20B32" w:rsidP="00F457B9">
      <w:pPr>
        <w:spacing w:after="0" w:line="360" w:lineRule="auto"/>
        <w:jc w:val="both"/>
        <w:rPr>
          <w:rFonts w:ascii="Times New Roman" w:hAnsi="Times New Roman"/>
          <w:sz w:val="24"/>
          <w:szCs w:val="24"/>
          <w:lang w:val="sq-AL"/>
        </w:rPr>
      </w:pPr>
    </w:p>
    <w:p w:rsidR="00A17E48" w:rsidRPr="00F457B9" w:rsidRDefault="00A17E48" w:rsidP="00F457B9">
      <w:pPr>
        <w:spacing w:after="0" w:line="360" w:lineRule="auto"/>
        <w:jc w:val="center"/>
        <w:rPr>
          <w:rFonts w:ascii="Times New Roman" w:hAnsi="Times New Roman"/>
          <w:b/>
          <w:sz w:val="24"/>
          <w:szCs w:val="24"/>
          <w:lang w:val="sq-AL"/>
        </w:rPr>
      </w:pPr>
      <w:r w:rsidRPr="00F457B9">
        <w:rPr>
          <w:rFonts w:ascii="Times New Roman" w:hAnsi="Times New Roman"/>
          <w:b/>
          <w:sz w:val="24"/>
          <w:szCs w:val="24"/>
          <w:lang w:val="sq-AL"/>
        </w:rPr>
        <w:t>V E N D O S I:</w:t>
      </w:r>
    </w:p>
    <w:p w:rsidR="00A17E48" w:rsidRPr="00F457B9" w:rsidRDefault="00A17E48" w:rsidP="00F457B9">
      <w:pPr>
        <w:spacing w:after="0" w:line="360" w:lineRule="auto"/>
        <w:ind w:firstLine="720"/>
        <w:jc w:val="both"/>
        <w:rPr>
          <w:rFonts w:ascii="Times New Roman" w:hAnsi="Times New Roman"/>
          <w:sz w:val="24"/>
          <w:szCs w:val="24"/>
          <w:lang w:val="sq-AL"/>
        </w:rPr>
      </w:pPr>
      <w:proofErr w:type="spellStart"/>
      <w:r w:rsidRPr="00F457B9">
        <w:rPr>
          <w:rFonts w:ascii="Times New Roman" w:hAnsi="Times New Roman"/>
          <w:sz w:val="24"/>
          <w:szCs w:val="24"/>
          <w:lang w:val="sq-AL"/>
        </w:rPr>
        <w:t>Moskalimin</w:t>
      </w:r>
      <w:proofErr w:type="spellEnd"/>
      <w:r w:rsidRPr="00F457B9">
        <w:rPr>
          <w:rFonts w:ascii="Times New Roman" w:hAnsi="Times New Roman"/>
          <w:sz w:val="24"/>
          <w:szCs w:val="24"/>
          <w:lang w:val="sq-AL"/>
        </w:rPr>
        <w:t xml:space="preserve"> e çështjes për shqyrtim në seancë plenare. </w:t>
      </w:r>
    </w:p>
    <w:p w:rsidR="00545209" w:rsidRPr="00F457B9" w:rsidRDefault="00545209" w:rsidP="00F457B9">
      <w:pPr>
        <w:spacing w:after="0" w:line="360" w:lineRule="auto"/>
        <w:jc w:val="both"/>
        <w:rPr>
          <w:rFonts w:ascii="Times New Roman" w:hAnsi="Times New Roman"/>
          <w:sz w:val="24"/>
          <w:szCs w:val="24"/>
          <w:lang w:val="sq-AL"/>
        </w:rPr>
      </w:pPr>
    </w:p>
    <w:sectPr w:rsidR="00545209" w:rsidRPr="00F457B9" w:rsidSect="00AE1C36">
      <w:footerReference w:type="default" r:id="rId13"/>
      <w:footerReference w:type="first" r:id="rId14"/>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C0" w:rsidRDefault="00B849C0" w:rsidP="00A17E48">
      <w:pPr>
        <w:spacing w:after="0" w:line="240" w:lineRule="auto"/>
      </w:pPr>
      <w:r>
        <w:separator/>
      </w:r>
    </w:p>
  </w:endnote>
  <w:endnote w:type="continuationSeparator" w:id="0">
    <w:p w:rsidR="00B849C0" w:rsidRDefault="00B849C0" w:rsidP="00A1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97" w:rsidRPr="009A1C16" w:rsidRDefault="007554F5" w:rsidP="00451A97">
    <w:pPr>
      <w:pStyle w:val="Footer"/>
      <w:pBdr>
        <w:top w:val="thinThickSmallGap" w:sz="24" w:space="1" w:color="622423"/>
      </w:pBdr>
      <w:spacing w:after="0" w:line="240" w:lineRule="auto"/>
      <w:rPr>
        <w:rFonts w:ascii="Times New Roman" w:hAnsi="Times New Roman"/>
        <w:lang w:val="it-IT"/>
      </w:rPr>
    </w:pPr>
    <w:r>
      <w:rPr>
        <w:rFonts w:ascii="Times New Roman" w:hAnsi="Times New Roman"/>
        <w:lang w:val="it-IT"/>
      </w:rPr>
      <w:t>V</w:t>
    </w:r>
    <w:r w:rsidR="00451A97" w:rsidRPr="009A1C16">
      <w:rPr>
        <w:rFonts w:ascii="Times New Roman" w:hAnsi="Times New Roman"/>
        <w:lang w:val="it-IT"/>
      </w:rPr>
      <w:t xml:space="preserve">endim </w:t>
    </w:r>
    <w:r w:rsidR="00451A97">
      <w:rPr>
        <w:rFonts w:ascii="Times New Roman" w:hAnsi="Times New Roman"/>
        <w:lang w:val="it-IT"/>
      </w:rPr>
      <w:t>i Mbledhjes së Gjyqtarëve</w:t>
    </w:r>
  </w:p>
  <w:p w:rsidR="00451A97" w:rsidRPr="009A1C16" w:rsidRDefault="00451A97" w:rsidP="00451A97">
    <w:pPr>
      <w:pStyle w:val="Footer"/>
      <w:pBdr>
        <w:top w:val="thinThickSmallGap" w:sz="24" w:space="1" w:color="622423"/>
      </w:pBdr>
      <w:spacing w:after="0" w:line="240" w:lineRule="auto"/>
      <w:rPr>
        <w:rFonts w:ascii="Times New Roman" w:hAnsi="Times New Roman"/>
        <w:lang w:val="it-IT"/>
      </w:rPr>
    </w:pPr>
    <w:r w:rsidRPr="009A1C16">
      <w:rPr>
        <w:rFonts w:ascii="Times New Roman" w:hAnsi="Times New Roman"/>
        <w:lang w:val="it-IT"/>
      </w:rPr>
      <w:t>Kërkues</w:t>
    </w:r>
    <w:r>
      <w:rPr>
        <w:rFonts w:ascii="Times New Roman" w:hAnsi="Times New Roman"/>
        <w:lang w:val="it-IT"/>
      </w:rPr>
      <w:t>e: Gjykata e Lartë</w:t>
    </w:r>
    <w:r>
      <w:rPr>
        <w:rFonts w:ascii="Times New Roman" w:hAnsi="Times New Roman"/>
        <w:sz w:val="20"/>
        <w:szCs w:val="20"/>
      </w:rPr>
      <w:tab/>
    </w:r>
    <w:r w:rsidR="007554F5">
      <w:rPr>
        <w:rFonts w:ascii="Times New Roman" w:hAnsi="Times New Roman"/>
        <w:sz w:val="20"/>
        <w:szCs w:val="20"/>
      </w:rPr>
      <w:tab/>
    </w:r>
    <w:r w:rsidRPr="009A1C16">
      <w:rPr>
        <w:rFonts w:ascii="Times New Roman" w:hAnsi="Times New Roman"/>
        <w:lang w:val="it-IT"/>
      </w:rPr>
      <w:t xml:space="preserve">Faqe </w:t>
    </w:r>
    <w:r w:rsidRPr="009A1C16">
      <w:rPr>
        <w:rFonts w:ascii="Times New Roman" w:hAnsi="Times New Roman"/>
      </w:rPr>
      <w:fldChar w:fldCharType="begin"/>
    </w:r>
    <w:r w:rsidRPr="009A1C16">
      <w:rPr>
        <w:rFonts w:ascii="Times New Roman" w:hAnsi="Times New Roman"/>
        <w:lang w:val="it-IT"/>
      </w:rPr>
      <w:instrText xml:space="preserve"> PAGE   \* MERGEFORMAT </w:instrText>
    </w:r>
    <w:r w:rsidRPr="009A1C16">
      <w:rPr>
        <w:rFonts w:ascii="Times New Roman" w:hAnsi="Times New Roman"/>
      </w:rPr>
      <w:fldChar w:fldCharType="separate"/>
    </w:r>
    <w:r w:rsidR="002869EC">
      <w:rPr>
        <w:rFonts w:ascii="Times New Roman" w:hAnsi="Times New Roman"/>
        <w:noProof/>
        <w:lang w:val="it-IT"/>
      </w:rPr>
      <w:t>9</w:t>
    </w:r>
    <w:r w:rsidRPr="009A1C16">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97" w:rsidRDefault="00451A97" w:rsidP="00451A97">
    <w:pPr>
      <w:pStyle w:val="Footer"/>
    </w:pPr>
  </w:p>
  <w:p w:rsidR="00451A97" w:rsidRDefault="00451A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C0" w:rsidRDefault="00B849C0" w:rsidP="00A17E48">
      <w:pPr>
        <w:spacing w:after="0" w:line="240" w:lineRule="auto"/>
      </w:pPr>
      <w:r>
        <w:separator/>
      </w:r>
    </w:p>
  </w:footnote>
  <w:footnote w:type="continuationSeparator" w:id="0">
    <w:p w:rsidR="00B849C0" w:rsidRDefault="00B849C0" w:rsidP="00A17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474"/>
    <w:multiLevelType w:val="hybridMultilevel"/>
    <w:tmpl w:val="A9269054"/>
    <w:lvl w:ilvl="0" w:tplc="40240EDE">
      <w:start w:val="24"/>
      <w:numFmt w:val="decimal"/>
      <w:lvlText w:val="%1."/>
      <w:lvlJc w:val="left"/>
      <w:pPr>
        <w:ind w:left="1890" w:hanging="360"/>
      </w:pPr>
      <w:rPr>
        <w:rFonts w:eastAsia="Calibr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DBD3B85"/>
    <w:multiLevelType w:val="multilevel"/>
    <w:tmpl w:val="DA50EE0A"/>
    <w:lvl w:ilvl="0">
      <w:start w:val="7"/>
      <w:numFmt w:val="decimal"/>
      <w:lvlText w:val="%1."/>
      <w:lvlJc w:val="left"/>
      <w:pPr>
        <w:ind w:left="1980" w:hanging="360"/>
      </w:pPr>
      <w:rPr>
        <w:rFonts w:ascii="Times New Roman" w:hAnsi="Times New Roman" w:cs="Times New Roman" w:hint="default"/>
        <w:b w:val="0"/>
        <w:i w:val="0"/>
        <w:sz w:val="24"/>
        <w:szCs w:val="24"/>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11A051FF"/>
    <w:multiLevelType w:val="multilevel"/>
    <w:tmpl w:val="92266624"/>
    <w:lvl w:ilvl="0">
      <w:start w:val="1"/>
      <w:numFmt w:val="decimal"/>
      <w:lvlText w:val="%1."/>
      <w:lvlJc w:val="left"/>
      <w:pPr>
        <w:ind w:left="189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7263E3"/>
    <w:multiLevelType w:val="multilevel"/>
    <w:tmpl w:val="92266624"/>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FD4784"/>
    <w:multiLevelType w:val="hybridMultilevel"/>
    <w:tmpl w:val="B4884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607F2"/>
    <w:multiLevelType w:val="multilevel"/>
    <w:tmpl w:val="7082BB7C"/>
    <w:lvl w:ilvl="0">
      <w:start w:val="1"/>
      <w:numFmt w:val="decimal"/>
      <w:lvlText w:val="%1."/>
      <w:lvlJc w:val="left"/>
      <w:pPr>
        <w:ind w:left="1260" w:hanging="360"/>
      </w:pPr>
      <w:rPr>
        <w:b w:val="0"/>
        <w:i w:val="0"/>
      </w:rPr>
    </w:lvl>
    <w:lvl w:ilvl="1">
      <w:start w:val="1"/>
      <w:numFmt w:val="decimal"/>
      <w:isLgl/>
      <w:lvlText w:val="%1.%2."/>
      <w:lvlJc w:val="left"/>
      <w:pPr>
        <w:ind w:left="126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6" w15:restartNumberingAfterBreak="0">
    <w:nsid w:val="2A9C548C"/>
    <w:multiLevelType w:val="multilevel"/>
    <w:tmpl w:val="3FD2C404"/>
    <w:lvl w:ilvl="0">
      <w:start w:val="8"/>
      <w:numFmt w:val="decimal"/>
      <w:lvlText w:val="%1."/>
      <w:lvlJc w:val="left"/>
      <w:pPr>
        <w:ind w:left="990" w:hanging="360"/>
      </w:pPr>
      <w:rPr>
        <w:rFonts w:hint="default"/>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824D22"/>
    <w:multiLevelType w:val="hybridMultilevel"/>
    <w:tmpl w:val="E1566450"/>
    <w:lvl w:ilvl="0" w:tplc="494A1592">
      <w:start w:val="17"/>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361D39D8"/>
    <w:multiLevelType w:val="multilevel"/>
    <w:tmpl w:val="60C8483E"/>
    <w:lvl w:ilvl="0">
      <w:start w:val="5"/>
      <w:numFmt w:val="decimal"/>
      <w:lvlText w:val="%1."/>
      <w:lvlJc w:val="left"/>
      <w:pPr>
        <w:ind w:left="972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B980265"/>
    <w:multiLevelType w:val="multilevel"/>
    <w:tmpl w:val="2DCEA7C8"/>
    <w:lvl w:ilvl="0">
      <w:start w:val="4"/>
      <w:numFmt w:val="decimal"/>
      <w:lvlText w:val="%1."/>
      <w:lvlJc w:val="left"/>
      <w:pPr>
        <w:ind w:left="117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0C96777"/>
    <w:multiLevelType w:val="multilevel"/>
    <w:tmpl w:val="85F206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955C92"/>
    <w:multiLevelType w:val="hybridMultilevel"/>
    <w:tmpl w:val="01A2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906DE"/>
    <w:multiLevelType w:val="hybridMultilevel"/>
    <w:tmpl w:val="EB4EC2EA"/>
    <w:lvl w:ilvl="0" w:tplc="2EC6C30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206DA"/>
    <w:multiLevelType w:val="multilevel"/>
    <w:tmpl w:val="D66A1BB0"/>
    <w:lvl w:ilvl="0">
      <w:start w:val="1"/>
      <w:numFmt w:val="decimal"/>
      <w:lvlText w:val="%1."/>
      <w:lvlJc w:val="left"/>
      <w:pPr>
        <w:ind w:left="1620" w:hanging="360"/>
      </w:pPr>
      <w:rPr>
        <w:rFonts w:ascii="Times New Roman" w:eastAsia="Calibri" w:hAnsi="Times New Roman" w:cs="Times New Roman"/>
        <w:b w:val="0"/>
        <w:i w:val="0"/>
      </w:rPr>
    </w:lvl>
    <w:lvl w:ilvl="1">
      <w:start w:val="1"/>
      <w:numFmt w:val="decimal"/>
      <w:isLgl/>
      <w:lvlText w:val="%1.%2"/>
      <w:lvlJc w:val="left"/>
      <w:pPr>
        <w:ind w:left="1125" w:hanging="405"/>
      </w:pPr>
      <w:rPr>
        <w:rFonts w:hint="default"/>
        <w:i/>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389591C"/>
    <w:multiLevelType w:val="multilevel"/>
    <w:tmpl w:val="92266624"/>
    <w:lvl w:ilvl="0">
      <w:start w:val="1"/>
      <w:numFmt w:val="decimal"/>
      <w:lvlText w:val="%1."/>
      <w:lvlJc w:val="left"/>
      <w:pPr>
        <w:ind w:left="189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DA4115"/>
    <w:multiLevelType w:val="multilevel"/>
    <w:tmpl w:val="92266624"/>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4B20AB"/>
    <w:multiLevelType w:val="multilevel"/>
    <w:tmpl w:val="92266624"/>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813408"/>
    <w:multiLevelType w:val="hybridMultilevel"/>
    <w:tmpl w:val="9B5C8712"/>
    <w:lvl w:ilvl="0" w:tplc="5D5E6A0C">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0"/>
  </w:num>
  <w:num w:numId="3">
    <w:abstractNumId w:val="4"/>
  </w:num>
  <w:num w:numId="4">
    <w:abstractNumId w:val="6"/>
  </w:num>
  <w:num w:numId="5">
    <w:abstractNumId w:val="2"/>
  </w:num>
  <w:num w:numId="6">
    <w:abstractNumId w:val="15"/>
  </w:num>
  <w:num w:numId="7">
    <w:abstractNumId w:val="16"/>
  </w:num>
  <w:num w:numId="8">
    <w:abstractNumId w:val="1"/>
  </w:num>
  <w:num w:numId="9">
    <w:abstractNumId w:val="17"/>
  </w:num>
  <w:num w:numId="10">
    <w:abstractNumId w:val="9"/>
  </w:num>
  <w:num w:numId="11">
    <w:abstractNumId w:val="8"/>
  </w:num>
  <w:num w:numId="12">
    <w:abstractNumId w:val="3"/>
  </w:num>
  <w:num w:numId="13">
    <w:abstractNumId w:val="11"/>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48"/>
    <w:rsid w:val="000070AE"/>
    <w:rsid w:val="00010AE2"/>
    <w:rsid w:val="00022E5E"/>
    <w:rsid w:val="00035C3C"/>
    <w:rsid w:val="000571D9"/>
    <w:rsid w:val="000621A1"/>
    <w:rsid w:val="0006351B"/>
    <w:rsid w:val="000650CB"/>
    <w:rsid w:val="000677C7"/>
    <w:rsid w:val="00072381"/>
    <w:rsid w:val="00083591"/>
    <w:rsid w:val="000A69F1"/>
    <w:rsid w:val="000B2830"/>
    <w:rsid w:val="000C4204"/>
    <w:rsid w:val="000E1BA9"/>
    <w:rsid w:val="000E7428"/>
    <w:rsid w:val="000F23EB"/>
    <w:rsid w:val="000F61F0"/>
    <w:rsid w:val="0012569B"/>
    <w:rsid w:val="001312FE"/>
    <w:rsid w:val="00177694"/>
    <w:rsid w:val="001A0114"/>
    <w:rsid w:val="001C7836"/>
    <w:rsid w:val="001D0982"/>
    <w:rsid w:val="001D7074"/>
    <w:rsid w:val="00213897"/>
    <w:rsid w:val="00232627"/>
    <w:rsid w:val="00245E08"/>
    <w:rsid w:val="0028109D"/>
    <w:rsid w:val="002869EC"/>
    <w:rsid w:val="002A43E3"/>
    <w:rsid w:val="002C6771"/>
    <w:rsid w:val="002D0DF1"/>
    <w:rsid w:val="002D7E93"/>
    <w:rsid w:val="002F605C"/>
    <w:rsid w:val="002F6628"/>
    <w:rsid w:val="0030565C"/>
    <w:rsid w:val="003058B5"/>
    <w:rsid w:val="00316CF1"/>
    <w:rsid w:val="00355321"/>
    <w:rsid w:val="003A355A"/>
    <w:rsid w:val="003B3D51"/>
    <w:rsid w:val="003B7BAE"/>
    <w:rsid w:val="003D321D"/>
    <w:rsid w:val="003D3609"/>
    <w:rsid w:val="003F6B17"/>
    <w:rsid w:val="003F7CCB"/>
    <w:rsid w:val="00401597"/>
    <w:rsid w:val="004017C7"/>
    <w:rsid w:val="0041629A"/>
    <w:rsid w:val="00417526"/>
    <w:rsid w:val="00421125"/>
    <w:rsid w:val="0042374E"/>
    <w:rsid w:val="00426E2A"/>
    <w:rsid w:val="00427487"/>
    <w:rsid w:val="004324B5"/>
    <w:rsid w:val="00436CDE"/>
    <w:rsid w:val="00451A97"/>
    <w:rsid w:val="004567E4"/>
    <w:rsid w:val="004603D3"/>
    <w:rsid w:val="00476A7C"/>
    <w:rsid w:val="004B190A"/>
    <w:rsid w:val="004B38A2"/>
    <w:rsid w:val="004B4D94"/>
    <w:rsid w:val="004D275C"/>
    <w:rsid w:val="00503BDF"/>
    <w:rsid w:val="0050601A"/>
    <w:rsid w:val="0052310D"/>
    <w:rsid w:val="005231DF"/>
    <w:rsid w:val="0052329D"/>
    <w:rsid w:val="00530D28"/>
    <w:rsid w:val="00535509"/>
    <w:rsid w:val="00535EDB"/>
    <w:rsid w:val="00545209"/>
    <w:rsid w:val="00552663"/>
    <w:rsid w:val="00593CC3"/>
    <w:rsid w:val="005C4595"/>
    <w:rsid w:val="005C47E1"/>
    <w:rsid w:val="005C7758"/>
    <w:rsid w:val="005E496F"/>
    <w:rsid w:val="005E4BA2"/>
    <w:rsid w:val="006237DD"/>
    <w:rsid w:val="00623CCF"/>
    <w:rsid w:val="00625BA9"/>
    <w:rsid w:val="00634DE7"/>
    <w:rsid w:val="00635B87"/>
    <w:rsid w:val="00646EA6"/>
    <w:rsid w:val="00656B3D"/>
    <w:rsid w:val="006575DE"/>
    <w:rsid w:val="006733BC"/>
    <w:rsid w:val="006835CF"/>
    <w:rsid w:val="006865E8"/>
    <w:rsid w:val="006926BD"/>
    <w:rsid w:val="006A62F8"/>
    <w:rsid w:val="006B0031"/>
    <w:rsid w:val="006B3E9D"/>
    <w:rsid w:val="006D18A3"/>
    <w:rsid w:val="006D1C27"/>
    <w:rsid w:val="006D7AA8"/>
    <w:rsid w:val="006E23D1"/>
    <w:rsid w:val="006E429D"/>
    <w:rsid w:val="0072395D"/>
    <w:rsid w:val="007366E9"/>
    <w:rsid w:val="00737CDB"/>
    <w:rsid w:val="00745E6D"/>
    <w:rsid w:val="007554F5"/>
    <w:rsid w:val="007653EC"/>
    <w:rsid w:val="0077112B"/>
    <w:rsid w:val="00774C6B"/>
    <w:rsid w:val="007808B4"/>
    <w:rsid w:val="00795CEF"/>
    <w:rsid w:val="007B205C"/>
    <w:rsid w:val="007B6B4F"/>
    <w:rsid w:val="007C0C8E"/>
    <w:rsid w:val="007C4F6B"/>
    <w:rsid w:val="007D01D4"/>
    <w:rsid w:val="007D03FA"/>
    <w:rsid w:val="007D63C3"/>
    <w:rsid w:val="007E633F"/>
    <w:rsid w:val="008008D4"/>
    <w:rsid w:val="00801228"/>
    <w:rsid w:val="00801649"/>
    <w:rsid w:val="008076E1"/>
    <w:rsid w:val="008169BF"/>
    <w:rsid w:val="0086654C"/>
    <w:rsid w:val="00880A04"/>
    <w:rsid w:val="00882440"/>
    <w:rsid w:val="00885E78"/>
    <w:rsid w:val="008A4545"/>
    <w:rsid w:val="008B6EBE"/>
    <w:rsid w:val="008C29DD"/>
    <w:rsid w:val="008C37AC"/>
    <w:rsid w:val="008D3FED"/>
    <w:rsid w:val="008D549A"/>
    <w:rsid w:val="008D7610"/>
    <w:rsid w:val="008E3FFA"/>
    <w:rsid w:val="008F6424"/>
    <w:rsid w:val="009128BD"/>
    <w:rsid w:val="00936E96"/>
    <w:rsid w:val="009500F4"/>
    <w:rsid w:val="00950C85"/>
    <w:rsid w:val="009664F9"/>
    <w:rsid w:val="009A7EB6"/>
    <w:rsid w:val="009D0EDC"/>
    <w:rsid w:val="009D44ED"/>
    <w:rsid w:val="009E327A"/>
    <w:rsid w:val="009F3ACC"/>
    <w:rsid w:val="00A17E48"/>
    <w:rsid w:val="00A213A9"/>
    <w:rsid w:val="00A23309"/>
    <w:rsid w:val="00A341D6"/>
    <w:rsid w:val="00A57958"/>
    <w:rsid w:val="00A62E9C"/>
    <w:rsid w:val="00A7425B"/>
    <w:rsid w:val="00A84F20"/>
    <w:rsid w:val="00AA1ACC"/>
    <w:rsid w:val="00AD2689"/>
    <w:rsid w:val="00AE1C36"/>
    <w:rsid w:val="00AE5ECE"/>
    <w:rsid w:val="00B210AC"/>
    <w:rsid w:val="00B242C4"/>
    <w:rsid w:val="00B25170"/>
    <w:rsid w:val="00B25CDE"/>
    <w:rsid w:val="00B26D0F"/>
    <w:rsid w:val="00B32F59"/>
    <w:rsid w:val="00B3379F"/>
    <w:rsid w:val="00B3624C"/>
    <w:rsid w:val="00B374E8"/>
    <w:rsid w:val="00B55DF5"/>
    <w:rsid w:val="00B601EB"/>
    <w:rsid w:val="00B61CBF"/>
    <w:rsid w:val="00B849C0"/>
    <w:rsid w:val="00B97E1F"/>
    <w:rsid w:val="00BB2AC3"/>
    <w:rsid w:val="00BC3DB1"/>
    <w:rsid w:val="00BE1E9D"/>
    <w:rsid w:val="00BE5BA7"/>
    <w:rsid w:val="00BE6F48"/>
    <w:rsid w:val="00BE7E62"/>
    <w:rsid w:val="00C14721"/>
    <w:rsid w:val="00C20B32"/>
    <w:rsid w:val="00C21761"/>
    <w:rsid w:val="00C4005F"/>
    <w:rsid w:val="00C45F05"/>
    <w:rsid w:val="00C67D60"/>
    <w:rsid w:val="00C717D4"/>
    <w:rsid w:val="00C84577"/>
    <w:rsid w:val="00C93F8A"/>
    <w:rsid w:val="00CC5DB4"/>
    <w:rsid w:val="00CE2A0B"/>
    <w:rsid w:val="00D0548E"/>
    <w:rsid w:val="00D36806"/>
    <w:rsid w:val="00D40F62"/>
    <w:rsid w:val="00D45309"/>
    <w:rsid w:val="00D63CEE"/>
    <w:rsid w:val="00D67EEC"/>
    <w:rsid w:val="00D75312"/>
    <w:rsid w:val="00D939FD"/>
    <w:rsid w:val="00DA6C48"/>
    <w:rsid w:val="00DC42C1"/>
    <w:rsid w:val="00DC5F25"/>
    <w:rsid w:val="00DD3518"/>
    <w:rsid w:val="00DE4FCE"/>
    <w:rsid w:val="00DF2EF0"/>
    <w:rsid w:val="00DF727B"/>
    <w:rsid w:val="00E05B93"/>
    <w:rsid w:val="00E11E94"/>
    <w:rsid w:val="00E21154"/>
    <w:rsid w:val="00E46FB2"/>
    <w:rsid w:val="00E6185C"/>
    <w:rsid w:val="00E628F8"/>
    <w:rsid w:val="00E77D5B"/>
    <w:rsid w:val="00EA0D1E"/>
    <w:rsid w:val="00EC042D"/>
    <w:rsid w:val="00F016E5"/>
    <w:rsid w:val="00F01DB6"/>
    <w:rsid w:val="00F048C5"/>
    <w:rsid w:val="00F264C0"/>
    <w:rsid w:val="00F457B9"/>
    <w:rsid w:val="00F53256"/>
    <w:rsid w:val="00F764CD"/>
    <w:rsid w:val="00F85711"/>
    <w:rsid w:val="00F908B9"/>
    <w:rsid w:val="00FA41DE"/>
    <w:rsid w:val="00FB630B"/>
    <w:rsid w:val="00FC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12E6"/>
  <w15:chartTrackingRefBased/>
  <w15:docId w15:val="{C6D0CCF9-8904-4A33-A082-10B90AE4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7E48"/>
    <w:pPr>
      <w:tabs>
        <w:tab w:val="center" w:pos="4680"/>
        <w:tab w:val="right" w:pos="9360"/>
      </w:tabs>
    </w:pPr>
  </w:style>
  <w:style w:type="character" w:customStyle="1" w:styleId="FooterChar">
    <w:name w:val="Footer Char"/>
    <w:basedOn w:val="DefaultParagraphFont"/>
    <w:link w:val="Footer"/>
    <w:uiPriority w:val="99"/>
    <w:rsid w:val="00A17E48"/>
    <w:rPr>
      <w:rFonts w:ascii="Calibri" w:eastAsia="Calibri" w:hAnsi="Calibri" w:cs="Times New Roman"/>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A17E48"/>
    <w:pPr>
      <w:ind w:left="720"/>
      <w:contextualSpacing/>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A17E48"/>
    <w:rPr>
      <w:rFonts w:ascii="Calibri" w:eastAsia="Calibri" w:hAnsi="Calibri" w:cs="Times New Roman"/>
    </w:rPr>
  </w:style>
  <w:style w:type="paragraph" w:styleId="Header">
    <w:name w:val="header"/>
    <w:basedOn w:val="Normal"/>
    <w:link w:val="HeaderChar"/>
    <w:uiPriority w:val="99"/>
    <w:unhideWhenUsed/>
    <w:rsid w:val="00A17E48"/>
    <w:pPr>
      <w:tabs>
        <w:tab w:val="center" w:pos="4680"/>
        <w:tab w:val="right" w:pos="9360"/>
      </w:tabs>
      <w:spacing w:after="0" w:line="240" w:lineRule="auto"/>
      <w:jc w:val="center"/>
    </w:pPr>
    <w:rPr>
      <w:rFonts w:ascii="Times New Roman" w:eastAsiaTheme="minorHAnsi" w:hAnsi="Times New Roman"/>
      <w:sz w:val="24"/>
      <w:szCs w:val="24"/>
      <w:lang w:val="sq-AL"/>
    </w:rPr>
  </w:style>
  <w:style w:type="character" w:customStyle="1" w:styleId="HeaderChar">
    <w:name w:val="Header Char"/>
    <w:basedOn w:val="DefaultParagraphFont"/>
    <w:link w:val="Header"/>
    <w:uiPriority w:val="99"/>
    <w:rsid w:val="00A17E48"/>
    <w:rPr>
      <w:rFonts w:ascii="Times New Roman" w:hAnsi="Times New Roman" w:cs="Times New Roman"/>
      <w:sz w:val="24"/>
      <w:szCs w:val="24"/>
      <w:lang w:val="sq-AL"/>
    </w:rPr>
  </w:style>
  <w:style w:type="paragraph" w:styleId="FootnoteText">
    <w:name w:val="footnote text"/>
    <w:basedOn w:val="Normal"/>
    <w:link w:val="FootnoteTextChar"/>
    <w:unhideWhenUsed/>
    <w:rsid w:val="00A17E48"/>
    <w:pPr>
      <w:spacing w:after="0" w:line="240" w:lineRule="auto"/>
    </w:pPr>
    <w:rPr>
      <w:sz w:val="20"/>
      <w:szCs w:val="20"/>
    </w:rPr>
  </w:style>
  <w:style w:type="character" w:customStyle="1" w:styleId="FootnoteTextChar">
    <w:name w:val="Footnote Text Char"/>
    <w:basedOn w:val="DefaultParagraphFont"/>
    <w:link w:val="FootnoteText"/>
    <w:rsid w:val="00A17E4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7E48"/>
    <w:rPr>
      <w:vertAlign w:val="superscript"/>
    </w:rPr>
  </w:style>
  <w:style w:type="character" w:styleId="Hyperlink">
    <w:name w:val="Hyperlink"/>
    <w:basedOn w:val="DefaultParagraphFont"/>
    <w:uiPriority w:val="99"/>
    <w:unhideWhenUsed/>
    <w:rsid w:val="00A17E48"/>
    <w:rPr>
      <w:color w:val="0563C1" w:themeColor="hyperlink"/>
      <w:u w:val="single"/>
    </w:rPr>
  </w:style>
  <w:style w:type="paragraph" w:styleId="NormalWeb">
    <w:name w:val="Normal (Web)"/>
    <w:basedOn w:val="Normal"/>
    <w:uiPriority w:val="99"/>
    <w:unhideWhenUsed/>
    <w:rsid w:val="00A17E48"/>
    <w:pPr>
      <w:spacing w:before="100" w:beforeAutospacing="1" w:after="100" w:afterAutospacing="1" w:line="240" w:lineRule="auto"/>
    </w:pPr>
    <w:rPr>
      <w:rFonts w:ascii="Times New Roman" w:eastAsia="Times New Roman" w:hAnsi="Times New Roman"/>
      <w:sz w:val="24"/>
      <w:szCs w:val="24"/>
      <w:lang w:val="sq-AL"/>
    </w:rPr>
  </w:style>
  <w:style w:type="character" w:customStyle="1" w:styleId="markedcontent">
    <w:name w:val="markedcontent"/>
    <w:rsid w:val="00B32F59"/>
  </w:style>
  <w:style w:type="character" w:styleId="CommentReference">
    <w:name w:val="annotation reference"/>
    <w:basedOn w:val="DefaultParagraphFont"/>
    <w:uiPriority w:val="99"/>
    <w:semiHidden/>
    <w:unhideWhenUsed/>
    <w:rsid w:val="007C0C8E"/>
    <w:rPr>
      <w:sz w:val="16"/>
      <w:szCs w:val="16"/>
    </w:rPr>
  </w:style>
  <w:style w:type="paragraph" w:styleId="CommentText">
    <w:name w:val="annotation text"/>
    <w:basedOn w:val="Normal"/>
    <w:link w:val="CommentTextChar"/>
    <w:uiPriority w:val="99"/>
    <w:semiHidden/>
    <w:unhideWhenUsed/>
    <w:rsid w:val="007C0C8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C0C8E"/>
    <w:rPr>
      <w:sz w:val="20"/>
      <w:szCs w:val="20"/>
    </w:rPr>
  </w:style>
  <w:style w:type="paragraph" w:styleId="BalloonText">
    <w:name w:val="Balloon Text"/>
    <w:basedOn w:val="Normal"/>
    <w:link w:val="BalloonTextChar"/>
    <w:uiPriority w:val="99"/>
    <w:semiHidden/>
    <w:unhideWhenUsed/>
    <w:rsid w:val="007C0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8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C0C8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C0C8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2411">
      <w:bodyDiv w:val="1"/>
      <w:marLeft w:val="0"/>
      <w:marRight w:val="0"/>
      <w:marTop w:val="0"/>
      <w:marBottom w:val="0"/>
      <w:divBdr>
        <w:top w:val="none" w:sz="0" w:space="0" w:color="auto"/>
        <w:left w:val="none" w:sz="0" w:space="0" w:color="auto"/>
        <w:bottom w:val="none" w:sz="0" w:space="0" w:color="auto"/>
        <w:right w:val="none" w:sz="0" w:space="0" w:color="auto"/>
      </w:divBdr>
    </w:div>
    <w:div w:id="947353381">
      <w:bodyDiv w:val="1"/>
      <w:marLeft w:val="0"/>
      <w:marRight w:val="0"/>
      <w:marTop w:val="0"/>
      <w:marBottom w:val="0"/>
      <w:divBdr>
        <w:top w:val="none" w:sz="0" w:space="0" w:color="auto"/>
        <w:left w:val="none" w:sz="0" w:space="0" w:color="auto"/>
        <w:bottom w:val="none" w:sz="0" w:space="0" w:color="auto"/>
        <w:right w:val="none" w:sz="0" w:space="0" w:color="auto"/>
      </w:divBdr>
    </w:div>
    <w:div w:id="20336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17DF-DE66-4772-B6A1-1044DD4D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3</cp:revision>
  <cp:lastPrinted>2022-07-29T12:26:00Z</cp:lastPrinted>
  <dcterms:created xsi:type="dcterms:W3CDTF">2022-07-29T09:40:00Z</dcterms:created>
  <dcterms:modified xsi:type="dcterms:W3CDTF">2022-07-29T12:29:00Z</dcterms:modified>
</cp:coreProperties>
</file>