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8B" w:rsidRPr="00A627B5" w:rsidRDefault="00C3678B" w:rsidP="00C3678B">
      <w:pPr>
        <w:jc w:val="center"/>
        <w:rPr>
          <w:b/>
          <w:bCs/>
        </w:rPr>
      </w:pPr>
    </w:p>
    <w:p w:rsidR="00C3678B" w:rsidRPr="00A627B5" w:rsidRDefault="00890879" w:rsidP="00890879">
      <w:pPr>
        <w:jc w:val="center"/>
        <w:rPr>
          <w:b/>
          <w:bCs/>
        </w:rPr>
      </w:pPr>
      <w:r>
        <w:rPr>
          <w:b/>
          <w:bCs/>
        </w:rPr>
        <w:t xml:space="preserve">Vendim nr. 109 </w:t>
      </w:r>
      <w:r w:rsidRPr="00890879">
        <w:rPr>
          <w:b/>
        </w:rPr>
        <w:t>datë</w:t>
      </w:r>
      <w:r w:rsidRPr="00890879">
        <w:rPr>
          <w:b/>
        </w:rPr>
        <w:t xml:space="preserve"> 28.07.2022</w:t>
      </w:r>
    </w:p>
    <w:p w:rsidR="00C3678B" w:rsidRPr="00A627B5" w:rsidRDefault="00C3678B" w:rsidP="00C3678B">
      <w:pPr>
        <w:jc w:val="center"/>
        <w:rPr>
          <w:b/>
          <w:bCs/>
        </w:rPr>
      </w:pPr>
    </w:p>
    <w:p w:rsidR="00C3678B" w:rsidRPr="00A627B5" w:rsidRDefault="00C3678B" w:rsidP="00C3678B">
      <w:pPr>
        <w:tabs>
          <w:tab w:val="left" w:pos="0"/>
          <w:tab w:val="left" w:pos="720"/>
        </w:tabs>
        <w:jc w:val="both"/>
      </w:pPr>
      <w:r w:rsidRPr="00A627B5">
        <w:tab/>
        <w:t>Kolegji i Gjykatës Kushtetuese të Republikës së Shqipërisë, i përbërë nga:</w:t>
      </w:r>
    </w:p>
    <w:p w:rsidR="00C3678B" w:rsidRPr="00A627B5" w:rsidRDefault="00C3678B" w:rsidP="00C3678B">
      <w:pPr>
        <w:tabs>
          <w:tab w:val="left" w:pos="0"/>
          <w:tab w:val="left" w:pos="720"/>
        </w:tabs>
        <w:jc w:val="both"/>
      </w:pPr>
    </w:p>
    <w:p w:rsidR="00C3678B" w:rsidRPr="00A627B5" w:rsidRDefault="00C3678B" w:rsidP="00A805FF">
      <w:pPr>
        <w:ind w:left="1440" w:firstLine="1537"/>
        <w:jc w:val="both"/>
        <w:rPr>
          <w:bCs/>
        </w:rPr>
      </w:pPr>
      <w:r w:rsidRPr="00A627B5">
        <w:rPr>
          <w:bCs/>
        </w:rPr>
        <w:t xml:space="preserve">Vitore Tusha, </w:t>
      </w:r>
      <w:r w:rsidRPr="00A627B5">
        <w:rPr>
          <w:bCs/>
        </w:rPr>
        <w:tab/>
        <w:t xml:space="preserve">Kryetare </w:t>
      </w:r>
    </w:p>
    <w:p w:rsidR="00C3678B" w:rsidRPr="00A627B5" w:rsidRDefault="00C3678B" w:rsidP="00A805FF">
      <w:pPr>
        <w:ind w:left="1440" w:firstLine="1537"/>
        <w:jc w:val="both"/>
        <w:rPr>
          <w:bCs/>
        </w:rPr>
      </w:pPr>
      <w:proofErr w:type="spellStart"/>
      <w:r w:rsidRPr="00A627B5">
        <w:rPr>
          <w:bCs/>
        </w:rPr>
        <w:t>Sonila</w:t>
      </w:r>
      <w:proofErr w:type="spellEnd"/>
      <w:r w:rsidRPr="00A627B5">
        <w:rPr>
          <w:bCs/>
        </w:rPr>
        <w:t xml:space="preserve"> Bejtja,</w:t>
      </w:r>
      <w:r w:rsidRPr="00A627B5">
        <w:rPr>
          <w:bCs/>
        </w:rPr>
        <w:tab/>
      </w:r>
      <w:r w:rsidRPr="00A627B5">
        <w:rPr>
          <w:bCs/>
        </w:rPr>
        <w:tab/>
        <w:t xml:space="preserve">Anëtare   </w:t>
      </w:r>
    </w:p>
    <w:p w:rsidR="00C3678B" w:rsidRPr="00A627B5" w:rsidRDefault="00C3678B" w:rsidP="00A805FF">
      <w:pPr>
        <w:ind w:left="1440" w:firstLine="1537"/>
        <w:jc w:val="both"/>
        <w:rPr>
          <w:bCs/>
        </w:rPr>
      </w:pPr>
      <w:r w:rsidRPr="00A627B5">
        <w:rPr>
          <w:bCs/>
        </w:rPr>
        <w:t xml:space="preserve">Altin </w:t>
      </w:r>
      <w:proofErr w:type="spellStart"/>
      <w:r w:rsidRPr="00A627B5">
        <w:rPr>
          <w:bCs/>
        </w:rPr>
        <w:t>Binaj</w:t>
      </w:r>
      <w:proofErr w:type="spellEnd"/>
      <w:r w:rsidRPr="00A627B5">
        <w:rPr>
          <w:bCs/>
        </w:rPr>
        <w:t>,</w:t>
      </w:r>
      <w:r w:rsidRPr="00A627B5">
        <w:rPr>
          <w:bCs/>
        </w:rPr>
        <w:tab/>
      </w:r>
      <w:r w:rsidRPr="00A627B5">
        <w:rPr>
          <w:bCs/>
        </w:rPr>
        <w:tab/>
        <w:t xml:space="preserve">Anëtar     </w:t>
      </w:r>
    </w:p>
    <w:p w:rsidR="00C3678B" w:rsidRPr="00A627B5" w:rsidRDefault="00C3678B" w:rsidP="00C3678B">
      <w:pPr>
        <w:jc w:val="both"/>
      </w:pPr>
    </w:p>
    <w:p w:rsidR="00C3678B" w:rsidRPr="00A627B5" w:rsidRDefault="00C3678B" w:rsidP="00A805FF">
      <w:pPr>
        <w:ind w:firstLine="720"/>
        <w:jc w:val="both"/>
      </w:pPr>
      <w:r w:rsidRPr="00C3678B">
        <w:t>në datën 28.07.2022 mori</w:t>
      </w:r>
      <w:r w:rsidRPr="00A627B5">
        <w:t xml:space="preserve"> në shqyrtim paraprak </w:t>
      </w:r>
      <w:r w:rsidRPr="00C3678B">
        <w:t>kërkesën nr. 5 (P) 2022</w:t>
      </w:r>
      <w:r w:rsidRPr="00A627B5">
        <w:t xml:space="preserve"> të Regjistrit Themeltar, që i përket:</w:t>
      </w:r>
      <w:r w:rsidR="00A805FF">
        <w:t xml:space="preserve"> </w:t>
      </w:r>
    </w:p>
    <w:p w:rsidR="005A6AA8" w:rsidRPr="00717F5C" w:rsidRDefault="005A6AA8" w:rsidP="005A6AA8">
      <w:pPr>
        <w:jc w:val="center"/>
        <w:rPr>
          <w:b/>
        </w:rPr>
      </w:pPr>
    </w:p>
    <w:p w:rsidR="00F3695C" w:rsidRDefault="005A6AA8" w:rsidP="005A6AA8">
      <w:pPr>
        <w:ind w:firstLine="720"/>
        <w:rPr>
          <w:b/>
        </w:rPr>
      </w:pPr>
      <w:r w:rsidRPr="00717F5C">
        <w:rPr>
          <w:b/>
        </w:rPr>
        <w:t>KËRKUES</w:t>
      </w:r>
      <w:r>
        <w:rPr>
          <w:b/>
        </w:rPr>
        <w:t>:</w:t>
      </w:r>
      <w:r>
        <w:rPr>
          <w:b/>
        </w:rPr>
        <w:tab/>
      </w:r>
      <w:r>
        <w:rPr>
          <w:b/>
        </w:rPr>
        <w:tab/>
        <w:t>PETRIT BEKTESHI</w:t>
      </w:r>
    </w:p>
    <w:p w:rsidR="005A6AA8" w:rsidRDefault="005A6AA8" w:rsidP="005A6AA8">
      <w:pPr>
        <w:ind w:firstLine="720"/>
        <w:rPr>
          <w:b/>
        </w:rPr>
      </w:pPr>
    </w:p>
    <w:p w:rsidR="005A6AA8" w:rsidRDefault="00C3678B" w:rsidP="005A6AA8">
      <w:pPr>
        <w:pStyle w:val="BodyTextIndent2"/>
      </w:pPr>
      <w:r>
        <w:t>OBJEKTI</w:t>
      </w:r>
      <w:r w:rsidR="005A6AA8">
        <w:t xml:space="preserve">: </w:t>
      </w:r>
      <w:r w:rsidR="005A6AA8">
        <w:tab/>
        <w:t>Shfuqizimi i vendimit nr. 00-2021-1048 (130), datë 09.12.2021 të Kolegjit Penal të Gjykatës së Lartë, si i papajtueshëm me Kushtetutën e Republikës së Shqipërisë.</w:t>
      </w:r>
    </w:p>
    <w:p w:rsidR="005A6AA8" w:rsidRDefault="005A6AA8" w:rsidP="005A6AA8">
      <w:pPr>
        <w:pStyle w:val="BodyTextIndent2"/>
      </w:pPr>
    </w:p>
    <w:p w:rsidR="005A6AA8" w:rsidRDefault="00C3678B" w:rsidP="005A6AA8">
      <w:pPr>
        <w:pStyle w:val="BodyTextIndent2"/>
        <w:rPr>
          <w:b w:val="0"/>
        </w:rPr>
      </w:pPr>
      <w:r>
        <w:t>BAZA LIGJORE</w:t>
      </w:r>
      <w:r w:rsidR="005A6AA8">
        <w:t>:</w:t>
      </w:r>
      <w:r w:rsidR="005A6AA8">
        <w:tab/>
      </w:r>
      <w:r w:rsidR="005A6AA8" w:rsidRPr="005A6AA8">
        <w:rPr>
          <w:b w:val="0"/>
        </w:rPr>
        <w:t>Nenet</w:t>
      </w:r>
      <w:r w:rsidR="005A6AA8">
        <w:t xml:space="preserve"> </w:t>
      </w:r>
      <w:r w:rsidR="005A6AA8" w:rsidRPr="005A6AA8">
        <w:rPr>
          <w:b w:val="0"/>
        </w:rPr>
        <w:t>29</w:t>
      </w:r>
      <w:r w:rsidR="005A6AA8">
        <w:rPr>
          <w:b w:val="0"/>
        </w:rPr>
        <w:t>, 31, 131, pika 1, shkronja “f”</w:t>
      </w:r>
      <w:r w:rsidR="00D6242C">
        <w:rPr>
          <w:b w:val="0"/>
        </w:rPr>
        <w:t>,</w:t>
      </w:r>
      <w:r w:rsidR="005A6AA8">
        <w:rPr>
          <w:b w:val="0"/>
        </w:rPr>
        <w:t xml:space="preserve"> 134, pika 1, shkronja “i</w:t>
      </w:r>
      <w:r w:rsidR="00D6242C">
        <w:rPr>
          <w:b w:val="0"/>
        </w:rPr>
        <w:t>”</w:t>
      </w:r>
      <w:r w:rsidR="005A6AA8">
        <w:rPr>
          <w:b w:val="0"/>
        </w:rPr>
        <w:t xml:space="preserve"> </w:t>
      </w:r>
      <w:r w:rsidR="00D6242C">
        <w:rPr>
          <w:b w:val="0"/>
        </w:rPr>
        <w:t xml:space="preserve">dhe 135 </w:t>
      </w:r>
      <w:r w:rsidR="005A6AA8">
        <w:rPr>
          <w:b w:val="0"/>
        </w:rPr>
        <w:t>të Kushtetu</w:t>
      </w:r>
      <w:r w:rsidR="00D6242C">
        <w:rPr>
          <w:b w:val="0"/>
        </w:rPr>
        <w:t>tës së Republikës së Shqipërisë;</w:t>
      </w:r>
      <w:r w:rsidR="005A6AA8">
        <w:rPr>
          <w:b w:val="0"/>
        </w:rPr>
        <w:t xml:space="preserve"> nenet 71 e vijues të ligjit nr. 8577, datë 10.02.2000 “Për organizimin dhe funksionimin e Gjykatës Kushtetuese”, të ndryshuar; neni 6 i Konventës Evropiane për të Drejtat e Njeriut </w:t>
      </w:r>
      <w:r w:rsidR="005A6AA8">
        <w:rPr>
          <w:b w:val="0"/>
          <w:i/>
        </w:rPr>
        <w:t>(KEDNJ)</w:t>
      </w:r>
      <w:r w:rsidR="005A6AA8">
        <w:rPr>
          <w:b w:val="0"/>
        </w:rPr>
        <w:t>.</w:t>
      </w:r>
    </w:p>
    <w:p w:rsidR="005A6AA8" w:rsidRDefault="005A6AA8" w:rsidP="005A6AA8">
      <w:pPr>
        <w:pStyle w:val="BodyTextIndent2"/>
      </w:pPr>
    </w:p>
    <w:p w:rsidR="00DD1CA1" w:rsidRPr="00ED6B42" w:rsidRDefault="00DD1CA1" w:rsidP="00DD1CA1">
      <w:pPr>
        <w:ind w:firstLine="567"/>
        <w:jc w:val="both"/>
        <w:rPr>
          <w:bCs/>
          <w:lang w:eastAsia="fr-FR"/>
        </w:rPr>
      </w:pPr>
      <w:r w:rsidRPr="00ED6B42">
        <w:rPr>
          <w:bCs/>
          <w:lang w:eastAsia="fr-FR"/>
        </w:rPr>
        <w:t xml:space="preserve">Kolegji i Gjykatës Kushtetuese </w:t>
      </w:r>
      <w:r w:rsidRPr="00ED6B42">
        <w:rPr>
          <w:bCs/>
        </w:rPr>
        <w:t>(</w:t>
      </w:r>
      <w:r w:rsidRPr="00ED6B42">
        <w:rPr>
          <w:bCs/>
          <w:i/>
          <w:iCs/>
        </w:rPr>
        <w:t>Kolegji</w:t>
      </w:r>
      <w:r w:rsidRPr="00ED6B42">
        <w:rPr>
          <w:bCs/>
        </w:rPr>
        <w:t>)</w:t>
      </w:r>
      <w:r>
        <w:rPr>
          <w:bCs/>
          <w:lang w:eastAsia="fr-FR"/>
        </w:rPr>
        <w:t>, pasi dëgjoi relatorin</w:t>
      </w:r>
      <w:r w:rsidRPr="00ED6B42">
        <w:rPr>
          <w:bCs/>
          <w:lang w:eastAsia="fr-FR"/>
        </w:rPr>
        <w:t xml:space="preserve"> e çështjes </w:t>
      </w:r>
      <w:r>
        <w:rPr>
          <w:bCs/>
          <w:lang w:eastAsia="fr-FR"/>
        </w:rPr>
        <w:t xml:space="preserve">Altin </w:t>
      </w:r>
      <w:proofErr w:type="spellStart"/>
      <w:r>
        <w:rPr>
          <w:bCs/>
          <w:lang w:eastAsia="fr-FR"/>
        </w:rPr>
        <w:t>Binaj</w:t>
      </w:r>
      <w:proofErr w:type="spellEnd"/>
      <w:r w:rsidRPr="00ED6B42">
        <w:rPr>
          <w:bCs/>
          <w:lang w:eastAsia="fr-FR"/>
        </w:rPr>
        <w:t>, shqyrtoi kërkesën, dokumentet shoqëruese dhe diskutoi çështjen në tërësi,</w:t>
      </w:r>
    </w:p>
    <w:p w:rsidR="00FD00D6" w:rsidRDefault="00FD00D6" w:rsidP="00DD1CA1">
      <w:pPr>
        <w:jc w:val="center"/>
        <w:rPr>
          <w:rFonts w:eastAsia="Times New Roman"/>
          <w:b/>
          <w:bCs/>
        </w:rPr>
      </w:pPr>
    </w:p>
    <w:p w:rsidR="00DD1CA1" w:rsidRPr="00ED6B42" w:rsidRDefault="00DD1CA1" w:rsidP="00DD1CA1">
      <w:pPr>
        <w:jc w:val="center"/>
        <w:rPr>
          <w:rFonts w:eastAsia="Times New Roman"/>
          <w:b/>
          <w:bCs/>
        </w:rPr>
      </w:pPr>
      <w:r w:rsidRPr="00ED6B42">
        <w:rPr>
          <w:rFonts w:eastAsia="Times New Roman"/>
          <w:b/>
          <w:bCs/>
        </w:rPr>
        <w:t>V Ë R E N:</w:t>
      </w:r>
    </w:p>
    <w:p w:rsidR="005A6AA8" w:rsidRPr="00717F5C" w:rsidRDefault="005A6AA8" w:rsidP="005A6AA8">
      <w:pPr>
        <w:keepNext/>
        <w:jc w:val="center"/>
        <w:outlineLvl w:val="0"/>
        <w:rPr>
          <w:b/>
        </w:rPr>
      </w:pPr>
      <w:r w:rsidRPr="00717F5C">
        <w:rPr>
          <w:b/>
        </w:rPr>
        <w:t>I</w:t>
      </w:r>
    </w:p>
    <w:p w:rsidR="005A6AA8" w:rsidRPr="00717F5C" w:rsidRDefault="005A6AA8" w:rsidP="005A6AA8">
      <w:pPr>
        <w:jc w:val="center"/>
        <w:rPr>
          <w:b/>
        </w:rPr>
      </w:pPr>
      <w:r w:rsidRPr="00717F5C">
        <w:rPr>
          <w:b/>
        </w:rPr>
        <w:t>Rrethanat e çështjes</w:t>
      </w:r>
    </w:p>
    <w:p w:rsidR="00EA4FF7" w:rsidRDefault="00EA4FF7" w:rsidP="005A6AA8">
      <w:pPr>
        <w:pStyle w:val="BodyTextIndent2"/>
        <w:numPr>
          <w:ilvl w:val="0"/>
          <w:numId w:val="1"/>
        </w:numPr>
        <w:tabs>
          <w:tab w:val="left" w:pos="990"/>
        </w:tabs>
        <w:ind w:left="0" w:firstLine="720"/>
        <w:rPr>
          <w:b w:val="0"/>
        </w:rPr>
      </w:pPr>
      <w:r w:rsidRPr="00BC2111">
        <w:rPr>
          <w:b w:val="0"/>
        </w:rPr>
        <w:t xml:space="preserve">Prokuroria </w:t>
      </w:r>
      <w:r>
        <w:rPr>
          <w:b w:val="0"/>
        </w:rPr>
        <w:t xml:space="preserve">pranë Gjykatës së Rrethit Gjyqësor Elbasan ka regjistruar procedimin penal nr. 752/2011 në ngarkim të shtetasve E.M. dhe A.C. për kryerjen në bashkëpunim të veprave penale “Prodhimi dhe shitja e lëndëve narkotike”, “Mbajtja, prodhimi dhe transportimi i substancave kimike” dhe “Mbajtja pa leje e municioneve luftarake”, të parashikuara nga nenet 283/2, 285 dhe 278/3 të Kodit Penal </w:t>
      </w:r>
      <w:r>
        <w:rPr>
          <w:b w:val="0"/>
          <w:i/>
        </w:rPr>
        <w:t>(KP)</w:t>
      </w:r>
      <w:r>
        <w:rPr>
          <w:b w:val="0"/>
        </w:rPr>
        <w:t xml:space="preserve">, ndërsa në datën 14.05.2012 është vendosur ndarja e këtij procedimi penal </w:t>
      </w:r>
      <w:r w:rsidR="00D56606">
        <w:rPr>
          <w:b w:val="0"/>
        </w:rPr>
        <w:t xml:space="preserve">me </w:t>
      </w:r>
      <w:r w:rsidR="00380CE5">
        <w:rPr>
          <w:b w:val="0"/>
        </w:rPr>
        <w:t xml:space="preserve">atë </w:t>
      </w:r>
      <w:r>
        <w:rPr>
          <w:b w:val="0"/>
        </w:rPr>
        <w:t>nr. 75</w:t>
      </w:r>
      <w:r w:rsidR="004A3305">
        <w:rPr>
          <w:b w:val="0"/>
        </w:rPr>
        <w:t>2</w:t>
      </w:r>
      <w:r>
        <w:rPr>
          <w:b w:val="0"/>
        </w:rPr>
        <w:t>/1 të vitit 2011, në ngarkim të kërkuesit dhe disa të bashkëpandehurve të tjerë, për kryerjen e veprës penale “Prodhimi dhe shitja e narkotikëve”, të parashikuar nga neni 283, paragrafi 2, i KP-së.</w:t>
      </w:r>
    </w:p>
    <w:p w:rsidR="000B6E0F" w:rsidRPr="007F36FB" w:rsidRDefault="00EA4FF7" w:rsidP="00DF1ED7">
      <w:pPr>
        <w:pStyle w:val="BodyTextIndent2"/>
        <w:numPr>
          <w:ilvl w:val="0"/>
          <w:numId w:val="1"/>
        </w:numPr>
        <w:tabs>
          <w:tab w:val="left" w:pos="990"/>
        </w:tabs>
        <w:ind w:left="0" w:firstLine="720"/>
        <w:rPr>
          <w:b w:val="0"/>
        </w:rPr>
      </w:pPr>
      <w:r w:rsidRPr="00EA4FF7">
        <w:rPr>
          <w:b w:val="0"/>
        </w:rPr>
        <w:t xml:space="preserve">Në vijim, </w:t>
      </w:r>
      <w:r w:rsidR="00BC2111" w:rsidRPr="00EA4FF7">
        <w:rPr>
          <w:b w:val="0"/>
        </w:rPr>
        <w:t>Prokuroria pranë Gjykatës së Rrethit Gjyqësor Elbasan i është drejtuar Gjykatës së Rrethit Gjyqësor Elbasan me kërkesë për gjykimin e çështjes me nr. 752/1 procedimi penal të vitit 2011</w:t>
      </w:r>
      <w:r w:rsidR="000B6E0F" w:rsidRPr="00EA4FF7">
        <w:rPr>
          <w:b w:val="0"/>
        </w:rPr>
        <w:t>.</w:t>
      </w:r>
      <w:r w:rsidRPr="00EA4FF7">
        <w:rPr>
          <w:b w:val="0"/>
        </w:rPr>
        <w:t xml:space="preserve"> </w:t>
      </w:r>
      <w:r w:rsidR="000B6E0F" w:rsidRPr="00EA4FF7">
        <w:rPr>
          <w:b w:val="0"/>
        </w:rPr>
        <w:t xml:space="preserve">Me vendimin nr. 540, datë 27.05.2014, Gjykata e Rrethit Gjyqësor Elbasan ka vendosur, ndër të tjera: </w:t>
      </w:r>
      <w:r w:rsidR="000B6E0F" w:rsidRPr="00EA4FF7">
        <w:rPr>
          <w:b w:val="0"/>
          <w:i/>
        </w:rPr>
        <w:t>“...</w:t>
      </w:r>
      <w:r w:rsidR="000B6E0F" w:rsidRPr="00EA4FF7">
        <w:rPr>
          <w:b w:val="0"/>
        </w:rPr>
        <w:t xml:space="preserve"> </w:t>
      </w:r>
      <w:r w:rsidR="000B6E0F" w:rsidRPr="00EA4FF7">
        <w:rPr>
          <w:b w:val="0"/>
          <w:i/>
        </w:rPr>
        <w:t xml:space="preserve">Deklarimin fajtor të </w:t>
      </w:r>
      <w:proofErr w:type="spellStart"/>
      <w:r w:rsidR="000B6E0F" w:rsidRPr="00EA4FF7">
        <w:rPr>
          <w:b w:val="0"/>
          <w:i/>
        </w:rPr>
        <w:t>të</w:t>
      </w:r>
      <w:proofErr w:type="spellEnd"/>
      <w:r w:rsidR="000B6E0F" w:rsidRPr="00EA4FF7">
        <w:rPr>
          <w:b w:val="0"/>
          <w:i/>
        </w:rPr>
        <w:t xml:space="preserve"> pandehurit Petrit </w:t>
      </w:r>
      <w:proofErr w:type="spellStart"/>
      <w:r w:rsidR="000B6E0F" w:rsidRPr="00EA4FF7">
        <w:rPr>
          <w:b w:val="0"/>
          <w:i/>
        </w:rPr>
        <w:t>Baftjar</w:t>
      </w:r>
      <w:proofErr w:type="spellEnd"/>
      <w:r w:rsidR="000B6E0F" w:rsidRPr="00EA4FF7">
        <w:rPr>
          <w:b w:val="0"/>
          <w:i/>
        </w:rPr>
        <w:t xml:space="preserve"> </w:t>
      </w:r>
      <w:proofErr w:type="spellStart"/>
      <w:r w:rsidR="000B6E0F" w:rsidRPr="00EA4FF7">
        <w:rPr>
          <w:b w:val="0"/>
          <w:i/>
        </w:rPr>
        <w:t>Bekteshi</w:t>
      </w:r>
      <w:proofErr w:type="spellEnd"/>
      <w:r w:rsidR="000B6E0F" w:rsidRPr="00EA4FF7">
        <w:rPr>
          <w:b w:val="0"/>
          <w:i/>
        </w:rPr>
        <w:t xml:space="preserve">, për kryerjen e veprës penale të </w:t>
      </w:r>
      <w:r w:rsidR="008910FF" w:rsidRPr="00EA4FF7">
        <w:rPr>
          <w:b w:val="0"/>
          <w:i/>
        </w:rPr>
        <w:t>“P</w:t>
      </w:r>
      <w:r w:rsidR="000B6E0F" w:rsidRPr="00EA4FF7">
        <w:rPr>
          <w:b w:val="0"/>
          <w:i/>
        </w:rPr>
        <w:t xml:space="preserve">rodhimit dhe shitjes së narkotikëve”, në formën e mbajtjes së substancave narkotike </w:t>
      </w:r>
      <w:r w:rsidR="00E56A1B" w:rsidRPr="00EA4FF7">
        <w:rPr>
          <w:b w:val="0"/>
          <w:i/>
        </w:rPr>
        <w:t xml:space="preserve">dhe ofrimit për shitje, më shumë se një herë, parashikuar nga neni 283/2 i Kodit Penal dhe në bazë të këtij neni e nenit 49 të Kodit Penal dënimin e tij me 7 (shatë) vjet burgim. Vuajtja e dënimit me burgim për të pandehurin të fillojë nga </w:t>
      </w:r>
      <w:r w:rsidR="00E56A1B" w:rsidRPr="007F36FB">
        <w:rPr>
          <w:b w:val="0"/>
          <w:i/>
        </w:rPr>
        <w:t>dita e ekzekutimit të vendimit</w:t>
      </w:r>
      <w:r w:rsidR="00D074FF" w:rsidRPr="007F36FB">
        <w:rPr>
          <w:b w:val="0"/>
          <w:i/>
        </w:rPr>
        <w:t xml:space="preserve">, ku të llogaritet </w:t>
      </w:r>
      <w:r w:rsidR="00AD4CD2">
        <w:rPr>
          <w:b w:val="0"/>
          <w:i/>
        </w:rPr>
        <w:t>e</w:t>
      </w:r>
      <w:r w:rsidR="008910FF" w:rsidRPr="007F36FB">
        <w:rPr>
          <w:b w:val="0"/>
          <w:i/>
        </w:rPr>
        <w:t xml:space="preserve">dhe </w:t>
      </w:r>
      <w:r w:rsidR="00D074FF" w:rsidRPr="007F36FB">
        <w:rPr>
          <w:b w:val="0"/>
          <w:i/>
        </w:rPr>
        <w:t>koha e qëndrimit me masë sigurimi “Arrest në burg” dhe të kryhet në burg të sigurisë së zakonshme.”</w:t>
      </w:r>
      <w:r w:rsidR="00D074FF" w:rsidRPr="007F36FB">
        <w:rPr>
          <w:b w:val="0"/>
        </w:rPr>
        <w:t>.</w:t>
      </w:r>
    </w:p>
    <w:p w:rsidR="00D074FF" w:rsidRPr="007F36FB" w:rsidRDefault="00D074FF" w:rsidP="005A6AA8">
      <w:pPr>
        <w:pStyle w:val="BodyTextIndent2"/>
        <w:numPr>
          <w:ilvl w:val="0"/>
          <w:numId w:val="1"/>
        </w:numPr>
        <w:tabs>
          <w:tab w:val="left" w:pos="990"/>
        </w:tabs>
        <w:ind w:left="0" w:firstLine="720"/>
        <w:rPr>
          <w:b w:val="0"/>
        </w:rPr>
      </w:pPr>
      <w:r w:rsidRPr="007F36FB">
        <w:rPr>
          <w:b w:val="0"/>
        </w:rPr>
        <w:t>Me vendimin nr. 10-2015-2389 (1022), datë 24.12.2015, Gjykata e Apelit Durrës ka vendosur</w:t>
      </w:r>
      <w:r w:rsidR="008910FF" w:rsidRPr="007F36FB">
        <w:rPr>
          <w:b w:val="0"/>
        </w:rPr>
        <w:t xml:space="preserve"> </w:t>
      </w:r>
      <w:r w:rsidR="00DB134C" w:rsidRPr="007F36FB">
        <w:rPr>
          <w:b w:val="0"/>
        </w:rPr>
        <w:t>lënien në fuqi të vendimit nr. 540, datë 27.05.2014 të Gjykatës së Rrethit Gjyqësor Elbasan për disa të bashkëpandehur dhe prishjen e tij</w:t>
      </w:r>
      <w:r w:rsidR="008910FF" w:rsidRPr="007F36FB">
        <w:rPr>
          <w:b w:val="0"/>
        </w:rPr>
        <w:t xml:space="preserve"> e pushimin e çështjes penale në ngarkim të kërk</w:t>
      </w:r>
      <w:r w:rsidR="007F36FB" w:rsidRPr="007F36FB">
        <w:rPr>
          <w:b w:val="0"/>
        </w:rPr>
        <w:t xml:space="preserve">uesit dhe të A.C., </w:t>
      </w:r>
      <w:proofErr w:type="spellStart"/>
      <w:r w:rsidR="007F36FB" w:rsidRPr="007F36FB">
        <w:rPr>
          <w:b w:val="0"/>
        </w:rPr>
        <w:t>I.Rr</w:t>
      </w:r>
      <w:proofErr w:type="spellEnd"/>
      <w:r w:rsidR="007F36FB" w:rsidRPr="007F36FB">
        <w:rPr>
          <w:b w:val="0"/>
        </w:rPr>
        <w:t>. e H.S.</w:t>
      </w:r>
    </w:p>
    <w:p w:rsidR="008910FF" w:rsidRDefault="008910FF" w:rsidP="005A6AA8">
      <w:pPr>
        <w:pStyle w:val="BodyTextIndent2"/>
        <w:numPr>
          <w:ilvl w:val="0"/>
          <w:numId w:val="1"/>
        </w:numPr>
        <w:tabs>
          <w:tab w:val="left" w:pos="990"/>
        </w:tabs>
        <w:ind w:left="0" w:firstLine="720"/>
        <w:rPr>
          <w:b w:val="0"/>
        </w:rPr>
      </w:pPr>
      <w:r w:rsidRPr="007F36FB">
        <w:rPr>
          <w:b w:val="0"/>
        </w:rPr>
        <w:t xml:space="preserve">Për rekursin e paraqitur nga prokurori pranë Gjykatës së Apelit Durrës, </w:t>
      </w:r>
      <w:r w:rsidR="003121A0" w:rsidRPr="007F36FB">
        <w:rPr>
          <w:b w:val="0"/>
        </w:rPr>
        <w:t>Kolegji Penal i Gjykatës së Lartë, me vendimin nr. 00-2021-1048 (130), datë 09.12.2021, ka vendosur prishjen e vendimit  nr. 10</w:t>
      </w:r>
      <w:r w:rsidR="003121A0" w:rsidRPr="003121A0">
        <w:rPr>
          <w:b w:val="0"/>
        </w:rPr>
        <w:t>-2015-2389 (1022), datë 24.12.2015 të Gjykatës së Apelit Durrës</w:t>
      </w:r>
      <w:r w:rsidR="003121A0">
        <w:rPr>
          <w:b w:val="0"/>
        </w:rPr>
        <w:t xml:space="preserve"> dhe kthimin e çështjes për rishqyrtim në atë gjykatë, me tjetër trup gjykues. </w:t>
      </w:r>
    </w:p>
    <w:p w:rsidR="003121A0" w:rsidRDefault="00AD4CD2" w:rsidP="005A6AA8">
      <w:pPr>
        <w:pStyle w:val="BodyTextIndent2"/>
        <w:numPr>
          <w:ilvl w:val="0"/>
          <w:numId w:val="1"/>
        </w:numPr>
        <w:tabs>
          <w:tab w:val="left" w:pos="990"/>
        </w:tabs>
        <w:ind w:left="0" w:firstLine="720"/>
        <w:rPr>
          <w:b w:val="0"/>
        </w:rPr>
      </w:pPr>
      <w:r>
        <w:rPr>
          <w:b w:val="0"/>
        </w:rPr>
        <w:t>Në datën 23.06.2022</w:t>
      </w:r>
      <w:r w:rsidR="009A1452">
        <w:rPr>
          <w:b w:val="0"/>
        </w:rPr>
        <w:t xml:space="preserve"> kërkuesi i është drejtuar Gjykatës Kushtetuese </w:t>
      </w:r>
      <w:r w:rsidR="009A1452">
        <w:rPr>
          <w:b w:val="0"/>
          <w:i/>
        </w:rPr>
        <w:t xml:space="preserve">(Gjykata) </w:t>
      </w:r>
      <w:r w:rsidR="009A1452">
        <w:rPr>
          <w:b w:val="0"/>
        </w:rPr>
        <w:t>me ankim kushtetues individual duke kërkuar shfuqizimin e vendimit nr. 00-2021-1048 (130), datë 09.12.2021 të Kolegjit Penal të Gjykatës së Lartë.</w:t>
      </w:r>
    </w:p>
    <w:p w:rsidR="00D958BC" w:rsidRDefault="00D958BC" w:rsidP="00A805FF">
      <w:pPr>
        <w:pStyle w:val="BodyTextIndent2"/>
        <w:tabs>
          <w:tab w:val="left" w:pos="990"/>
        </w:tabs>
        <w:ind w:left="0" w:firstLine="0"/>
        <w:jc w:val="center"/>
      </w:pPr>
    </w:p>
    <w:p w:rsidR="009A1452" w:rsidRDefault="009A1452" w:rsidP="00A805FF">
      <w:pPr>
        <w:pStyle w:val="BodyTextIndent2"/>
        <w:tabs>
          <w:tab w:val="left" w:pos="990"/>
        </w:tabs>
        <w:ind w:left="0" w:firstLine="0"/>
        <w:jc w:val="center"/>
      </w:pPr>
      <w:r>
        <w:t>II</w:t>
      </w:r>
    </w:p>
    <w:p w:rsidR="009A1452" w:rsidRPr="009A1452" w:rsidRDefault="009A1452" w:rsidP="009A1452">
      <w:pPr>
        <w:pStyle w:val="BodyTextIndent2"/>
        <w:tabs>
          <w:tab w:val="left" w:pos="990"/>
        </w:tabs>
        <w:ind w:left="0" w:firstLine="0"/>
        <w:jc w:val="center"/>
      </w:pPr>
      <w:r>
        <w:t>Pretendimet e kërkuesit</w:t>
      </w:r>
    </w:p>
    <w:p w:rsidR="009A1452" w:rsidRDefault="009A1452" w:rsidP="009A1452">
      <w:pPr>
        <w:pStyle w:val="BodyTextIndent2"/>
        <w:numPr>
          <w:ilvl w:val="0"/>
          <w:numId w:val="1"/>
        </w:numPr>
        <w:tabs>
          <w:tab w:val="left" w:pos="990"/>
        </w:tabs>
        <w:ind w:left="0" w:firstLine="720"/>
        <w:rPr>
          <w:b w:val="0"/>
        </w:rPr>
      </w:pPr>
      <w:r w:rsidRPr="003F7D92">
        <w:rPr>
          <w:rFonts w:eastAsia="MS Mincho"/>
          <w:i/>
          <w:spacing w:val="2"/>
        </w:rPr>
        <w:t xml:space="preserve">Kërkuesi </w:t>
      </w:r>
      <w:r w:rsidRPr="009A1452">
        <w:rPr>
          <w:rFonts w:eastAsia="MS Mincho"/>
          <w:b w:val="0"/>
          <w:spacing w:val="2"/>
        </w:rPr>
        <w:t>ka parashtruar se i është cenuar e drejta për proces të rregullt ligjor, në aspektet e mëposhtme</w:t>
      </w:r>
      <w:r>
        <w:rPr>
          <w:rFonts w:eastAsia="MS Mincho"/>
          <w:b w:val="0"/>
          <w:spacing w:val="2"/>
        </w:rPr>
        <w:t>:</w:t>
      </w:r>
    </w:p>
    <w:p w:rsidR="009A1452" w:rsidRDefault="009A1452" w:rsidP="009A1452">
      <w:pPr>
        <w:pStyle w:val="BodyTextIndent2"/>
        <w:numPr>
          <w:ilvl w:val="0"/>
          <w:numId w:val="2"/>
        </w:numPr>
        <w:tabs>
          <w:tab w:val="left" w:pos="1260"/>
        </w:tabs>
        <w:ind w:left="1170" w:hanging="450"/>
        <w:rPr>
          <w:b w:val="0"/>
        </w:rPr>
      </w:pPr>
      <w:r>
        <w:rPr>
          <w:b w:val="0"/>
          <w:i/>
        </w:rPr>
        <w:t xml:space="preserve">E drejta e </w:t>
      </w:r>
      <w:proofErr w:type="spellStart"/>
      <w:r>
        <w:rPr>
          <w:b w:val="0"/>
          <w:i/>
        </w:rPr>
        <w:t>aksesit</w:t>
      </w:r>
      <w:proofErr w:type="spellEnd"/>
      <w:r>
        <w:rPr>
          <w:b w:val="0"/>
          <w:i/>
        </w:rPr>
        <w:t xml:space="preserve"> në gjykatë</w:t>
      </w:r>
      <w:r>
        <w:rPr>
          <w:b w:val="0"/>
        </w:rPr>
        <w:t>, pasi Gjykata e Lartë ka vendosur në dhomë këshillimi prishjen e vendimit të Gjykatës së Apelit Durrës dhe kthimin e çështjes për rigjykim në atë gjykatë pa e njoftuar për zhvillimin e seancës gjyqësore dhe pa i dhënë mundësinë për paraqitjen e parashtrimeve për çështjen.</w:t>
      </w:r>
    </w:p>
    <w:p w:rsidR="009A1452" w:rsidRDefault="008E4D78" w:rsidP="009A1452">
      <w:pPr>
        <w:pStyle w:val="BodyTextIndent2"/>
        <w:numPr>
          <w:ilvl w:val="0"/>
          <w:numId w:val="2"/>
        </w:numPr>
        <w:tabs>
          <w:tab w:val="left" w:pos="1260"/>
        </w:tabs>
        <w:ind w:left="1170" w:hanging="450"/>
        <w:rPr>
          <w:b w:val="0"/>
        </w:rPr>
      </w:pPr>
      <w:r>
        <w:rPr>
          <w:b w:val="0"/>
          <w:i/>
        </w:rPr>
        <w:t>Parimi i barazisë së armëve dhe kontradiktoritetit,</w:t>
      </w:r>
      <w:r>
        <w:rPr>
          <w:b w:val="0"/>
        </w:rPr>
        <w:t xml:space="preserve"> për shkak të pamundësisë së paraqitjes së parashtrimeve për çështjen</w:t>
      </w:r>
      <w:r w:rsidR="00AD4CD2">
        <w:rPr>
          <w:b w:val="0"/>
        </w:rPr>
        <w:t>,</w:t>
      </w:r>
      <w:r>
        <w:rPr>
          <w:b w:val="0"/>
        </w:rPr>
        <w:t xml:space="preserve"> si rrjedhojë e </w:t>
      </w:r>
      <w:proofErr w:type="spellStart"/>
      <w:r>
        <w:rPr>
          <w:b w:val="0"/>
        </w:rPr>
        <w:t>mosnjoftimit</w:t>
      </w:r>
      <w:proofErr w:type="spellEnd"/>
      <w:r>
        <w:rPr>
          <w:b w:val="0"/>
        </w:rPr>
        <w:t xml:space="preserve"> të datës së gjykimit.</w:t>
      </w:r>
    </w:p>
    <w:p w:rsidR="00F62744" w:rsidRDefault="008E4D78" w:rsidP="009A1452">
      <w:pPr>
        <w:pStyle w:val="BodyTextIndent2"/>
        <w:numPr>
          <w:ilvl w:val="0"/>
          <w:numId w:val="2"/>
        </w:numPr>
        <w:tabs>
          <w:tab w:val="left" w:pos="1260"/>
        </w:tabs>
        <w:ind w:left="1170" w:hanging="450"/>
        <w:rPr>
          <w:b w:val="0"/>
        </w:rPr>
      </w:pPr>
      <w:r>
        <w:rPr>
          <w:b w:val="0"/>
          <w:i/>
        </w:rPr>
        <w:t>Parimi i sigurisë juridike</w:t>
      </w:r>
      <w:r>
        <w:rPr>
          <w:b w:val="0"/>
        </w:rPr>
        <w:t xml:space="preserve">, </w:t>
      </w:r>
      <w:r w:rsidR="00FA40DA">
        <w:rPr>
          <w:b w:val="0"/>
        </w:rPr>
        <w:t xml:space="preserve">në drejtim të </w:t>
      </w:r>
      <w:proofErr w:type="spellStart"/>
      <w:r w:rsidR="00FA40DA">
        <w:rPr>
          <w:b w:val="0"/>
        </w:rPr>
        <w:t>pritshmërive</w:t>
      </w:r>
      <w:proofErr w:type="spellEnd"/>
      <w:r w:rsidR="00FA40DA">
        <w:rPr>
          <w:b w:val="0"/>
        </w:rPr>
        <w:t xml:space="preserve"> të ligjshme, </w:t>
      </w:r>
      <w:r>
        <w:rPr>
          <w:b w:val="0"/>
        </w:rPr>
        <w:t>pasi</w:t>
      </w:r>
      <w:r w:rsidR="00F62744">
        <w:rPr>
          <w:b w:val="0"/>
        </w:rPr>
        <w:t>:</w:t>
      </w:r>
    </w:p>
    <w:p w:rsidR="002642C8" w:rsidRDefault="002642C8" w:rsidP="002642C8">
      <w:pPr>
        <w:pStyle w:val="BodyTextIndent2"/>
        <w:numPr>
          <w:ilvl w:val="1"/>
          <w:numId w:val="2"/>
        </w:numPr>
        <w:tabs>
          <w:tab w:val="left" w:pos="1800"/>
        </w:tabs>
        <w:ind w:left="1620" w:hanging="630"/>
        <w:rPr>
          <w:b w:val="0"/>
        </w:rPr>
      </w:pPr>
      <w:r>
        <w:rPr>
          <w:b w:val="0"/>
        </w:rPr>
        <w:t xml:space="preserve">Gjykata e Lartë ka konsideruar si provë përgjimin telefonik, si dhe ka </w:t>
      </w:r>
      <w:proofErr w:type="spellStart"/>
      <w:r>
        <w:rPr>
          <w:b w:val="0"/>
        </w:rPr>
        <w:t>konkluduar</w:t>
      </w:r>
      <w:proofErr w:type="spellEnd"/>
      <w:r>
        <w:rPr>
          <w:b w:val="0"/>
        </w:rPr>
        <w:t xml:space="preserve"> se edhe me një provë t</w:t>
      </w:r>
      <w:r w:rsidR="0080678E">
        <w:rPr>
          <w:b w:val="0"/>
        </w:rPr>
        <w:t>ë vetme</w:t>
      </w:r>
      <w:r w:rsidR="00103160">
        <w:rPr>
          <w:b w:val="0"/>
        </w:rPr>
        <w:t>,</w:t>
      </w:r>
      <w:r>
        <w:rPr>
          <w:b w:val="0"/>
        </w:rPr>
        <w:t xml:space="preserve"> </w:t>
      </w:r>
      <w:r w:rsidR="0033588A">
        <w:rPr>
          <w:b w:val="0"/>
        </w:rPr>
        <w:t xml:space="preserve">të tillë </w:t>
      </w:r>
      <w:r w:rsidR="008C7401">
        <w:rPr>
          <w:b w:val="0"/>
        </w:rPr>
        <w:t>si rezultati</w:t>
      </w:r>
      <w:r>
        <w:rPr>
          <w:b w:val="0"/>
        </w:rPr>
        <w:t xml:space="preserve"> </w:t>
      </w:r>
      <w:r w:rsidR="008C7401">
        <w:rPr>
          <w:b w:val="0"/>
        </w:rPr>
        <w:t>i</w:t>
      </w:r>
      <w:r>
        <w:rPr>
          <w:b w:val="0"/>
        </w:rPr>
        <w:t xml:space="preserve"> përgjimit telefonik, akuza konsiderohet e provuar. Referuar legjislacionit procedural penal dhe praktikës gjyqësore të Kole</w:t>
      </w:r>
      <w:r w:rsidR="00143F66">
        <w:rPr>
          <w:b w:val="0"/>
        </w:rPr>
        <w:t>gjit Penal të Gjykatës së Lartë</w:t>
      </w:r>
      <w:r w:rsidR="00AD4CD2">
        <w:rPr>
          <w:b w:val="0"/>
        </w:rPr>
        <w:t>,</w:t>
      </w:r>
      <w:r>
        <w:rPr>
          <w:b w:val="0"/>
        </w:rPr>
        <w:t xml:space="preserve"> kuptimi i provës jepet nga neni 149 i KPP-së. Rrethanat e kryerjes së veprës penale dhe fajësia e të pandehurit mund të përcaktohen vetëm përmes prova</w:t>
      </w:r>
      <w:r w:rsidR="001428D7">
        <w:rPr>
          <w:b w:val="0"/>
        </w:rPr>
        <w:t>ve, sipas kuptimit të këtij neni,</w:t>
      </w:r>
      <w:r>
        <w:rPr>
          <w:b w:val="0"/>
        </w:rPr>
        <w:t xml:space="preserve"> dhe jo mjeteve të kërkimit të provës, siç është përgjimi. Ky i fundit nuk mund të përdoret për të provuar akuzën pa u shoqëruar </w:t>
      </w:r>
      <w:r w:rsidR="00D90D3B">
        <w:rPr>
          <w:b w:val="0"/>
        </w:rPr>
        <w:t xml:space="preserve">edhe </w:t>
      </w:r>
      <w:r>
        <w:rPr>
          <w:b w:val="0"/>
        </w:rPr>
        <w:t xml:space="preserve">me prova të tjera. Po kështu, vendimi i Kolegjit Penal të Gjykatës së Lartë bie ndesh me praktikën e konsoliduar të kësaj gjykate se fajësia nuk mund të </w:t>
      </w:r>
      <w:proofErr w:type="spellStart"/>
      <w:r>
        <w:rPr>
          <w:b w:val="0"/>
        </w:rPr>
        <w:t>konkludohet</w:t>
      </w:r>
      <w:proofErr w:type="spellEnd"/>
      <w:r>
        <w:rPr>
          <w:b w:val="0"/>
        </w:rPr>
        <w:t xml:space="preserve"> mbi bazën e një prove të vetme.</w:t>
      </w:r>
    </w:p>
    <w:p w:rsidR="002642C8" w:rsidRDefault="002642C8" w:rsidP="002642C8">
      <w:pPr>
        <w:pStyle w:val="BodyTextIndent2"/>
        <w:numPr>
          <w:ilvl w:val="1"/>
          <w:numId w:val="2"/>
        </w:numPr>
        <w:tabs>
          <w:tab w:val="left" w:pos="1800"/>
        </w:tabs>
        <w:ind w:left="1620" w:hanging="630"/>
        <w:rPr>
          <w:b w:val="0"/>
        </w:rPr>
      </w:pPr>
      <w:r>
        <w:rPr>
          <w:b w:val="0"/>
        </w:rPr>
        <w:t xml:space="preserve">Gjatë vlerësimit të masës së sigurimit personal për disa nga </w:t>
      </w:r>
      <w:r w:rsidR="007F1171">
        <w:rPr>
          <w:b w:val="0"/>
        </w:rPr>
        <w:t xml:space="preserve">të </w:t>
      </w:r>
      <w:r>
        <w:rPr>
          <w:b w:val="0"/>
        </w:rPr>
        <w:t xml:space="preserve">bashkëpandehurit e tjerë, Gjykata e Apelit Durrës dhe Gjykata e Lartë kanë </w:t>
      </w:r>
      <w:proofErr w:type="spellStart"/>
      <w:r>
        <w:rPr>
          <w:b w:val="0"/>
        </w:rPr>
        <w:t>konkluduar</w:t>
      </w:r>
      <w:proofErr w:type="spellEnd"/>
      <w:r>
        <w:rPr>
          <w:b w:val="0"/>
        </w:rPr>
        <w:t xml:space="preserve"> se informacionet e përfituara nga përgjimi telefonik dhe ai parandalues nuk krijo</w:t>
      </w:r>
      <w:r w:rsidR="00D90D3B">
        <w:rPr>
          <w:b w:val="0"/>
        </w:rPr>
        <w:t>j</w:t>
      </w:r>
      <w:r>
        <w:rPr>
          <w:b w:val="0"/>
        </w:rPr>
        <w:t>n</w:t>
      </w:r>
      <w:r w:rsidR="00D90D3B">
        <w:rPr>
          <w:b w:val="0"/>
        </w:rPr>
        <w:t>ë</w:t>
      </w:r>
      <w:r>
        <w:rPr>
          <w:b w:val="0"/>
        </w:rPr>
        <w:t xml:space="preserve"> bindjen se ata janë të përfshirë në tregtimin e lëndëve narkotike. </w:t>
      </w:r>
    </w:p>
    <w:p w:rsidR="002642C8" w:rsidRPr="002642C8" w:rsidRDefault="002642C8" w:rsidP="002642C8">
      <w:pPr>
        <w:pStyle w:val="BodyTextIndent2"/>
        <w:numPr>
          <w:ilvl w:val="1"/>
          <w:numId w:val="2"/>
        </w:numPr>
        <w:tabs>
          <w:tab w:val="left" w:pos="1800"/>
        </w:tabs>
        <w:ind w:left="1620" w:hanging="540"/>
        <w:rPr>
          <w:b w:val="0"/>
        </w:rPr>
      </w:pPr>
      <w:r w:rsidRPr="002642C8">
        <w:rPr>
          <w:b w:val="0"/>
        </w:rPr>
        <w:t xml:space="preserve">Vendimi i Gjykatës së Lartë, i marrë në dhomë këshillimi, ka ndryshuar gjendjen e palëve në proces, e cila ishte vendosur prej 7 vjetësh. </w:t>
      </w:r>
      <w:r w:rsidR="00F12F95">
        <w:rPr>
          <w:b w:val="0"/>
        </w:rPr>
        <w:t>Për më tepër, k</w:t>
      </w:r>
      <w:r w:rsidRPr="002642C8">
        <w:rPr>
          <w:b w:val="0"/>
        </w:rPr>
        <w:t xml:space="preserve">jo gjykatë ka krijuar një qëndrim tërësisht të ri e antiligjor.  </w:t>
      </w:r>
    </w:p>
    <w:p w:rsidR="002642C8" w:rsidRDefault="0060300F" w:rsidP="009A1452">
      <w:pPr>
        <w:pStyle w:val="BodyTextIndent2"/>
        <w:numPr>
          <w:ilvl w:val="0"/>
          <w:numId w:val="2"/>
        </w:numPr>
        <w:tabs>
          <w:tab w:val="left" w:pos="1260"/>
        </w:tabs>
        <w:ind w:left="1170" w:hanging="450"/>
        <w:rPr>
          <w:b w:val="0"/>
        </w:rPr>
      </w:pPr>
      <w:r>
        <w:rPr>
          <w:b w:val="0"/>
        </w:rPr>
        <w:t xml:space="preserve">Duke mos kryer njoftimin e të pandehurve për gjykimin e çështjes penale, </w:t>
      </w:r>
      <w:r w:rsidRPr="0060300F">
        <w:rPr>
          <w:b w:val="0"/>
        </w:rPr>
        <w:t xml:space="preserve">Gjykata </w:t>
      </w:r>
      <w:r>
        <w:rPr>
          <w:b w:val="0"/>
        </w:rPr>
        <w:t xml:space="preserve">e Lartë </w:t>
      </w:r>
      <w:r w:rsidRPr="0060300F">
        <w:rPr>
          <w:b w:val="0"/>
        </w:rPr>
        <w:t xml:space="preserve">ka legjitimuar si subjekt procedural në proces </w:t>
      </w:r>
      <w:r>
        <w:rPr>
          <w:b w:val="0"/>
        </w:rPr>
        <w:t>shtet</w:t>
      </w:r>
      <w:r w:rsidR="00F53237">
        <w:rPr>
          <w:b w:val="0"/>
        </w:rPr>
        <w:t>a</w:t>
      </w:r>
      <w:r>
        <w:rPr>
          <w:b w:val="0"/>
        </w:rPr>
        <w:t xml:space="preserve">sin </w:t>
      </w:r>
      <w:r w:rsidRPr="0060300F">
        <w:rPr>
          <w:b w:val="0"/>
        </w:rPr>
        <w:t xml:space="preserve">E.R., i cili ka </w:t>
      </w:r>
      <w:r w:rsidR="00F53237">
        <w:rPr>
          <w:b w:val="0"/>
        </w:rPr>
        <w:t>ndërruar jetë</w:t>
      </w:r>
      <w:r>
        <w:rPr>
          <w:b w:val="0"/>
        </w:rPr>
        <w:t xml:space="preserve">, si dhe ka prishur vendimin e Gjykatës së </w:t>
      </w:r>
      <w:r w:rsidR="00F53237">
        <w:rPr>
          <w:b w:val="0"/>
        </w:rPr>
        <w:t>A</w:t>
      </w:r>
      <w:r>
        <w:rPr>
          <w:b w:val="0"/>
        </w:rPr>
        <w:t xml:space="preserve">pelit Durrës për shtetasin K.P., i cili, gjithashtu, ka </w:t>
      </w:r>
      <w:r w:rsidR="00F53237">
        <w:rPr>
          <w:b w:val="0"/>
        </w:rPr>
        <w:t>ndërruar jetë</w:t>
      </w:r>
      <w:r>
        <w:rPr>
          <w:b w:val="0"/>
        </w:rPr>
        <w:t xml:space="preserve">. </w:t>
      </w:r>
    </w:p>
    <w:p w:rsidR="0060300F" w:rsidRDefault="0060300F" w:rsidP="0060300F">
      <w:pPr>
        <w:pStyle w:val="BodyTextIndent2"/>
        <w:tabs>
          <w:tab w:val="left" w:pos="1260"/>
        </w:tabs>
        <w:ind w:left="0" w:firstLine="0"/>
        <w:rPr>
          <w:b w:val="0"/>
        </w:rPr>
      </w:pPr>
    </w:p>
    <w:p w:rsidR="0060300F" w:rsidRDefault="0060300F" w:rsidP="0060300F">
      <w:pPr>
        <w:pStyle w:val="BodyTextIndent2"/>
        <w:tabs>
          <w:tab w:val="left" w:pos="1260"/>
        </w:tabs>
        <w:ind w:left="0" w:firstLine="0"/>
        <w:jc w:val="center"/>
      </w:pPr>
      <w:r>
        <w:t>III</w:t>
      </w:r>
    </w:p>
    <w:p w:rsidR="0060300F" w:rsidRDefault="0060300F" w:rsidP="0060300F">
      <w:pPr>
        <w:pStyle w:val="BodyTextIndent2"/>
        <w:tabs>
          <w:tab w:val="left" w:pos="1260"/>
        </w:tabs>
        <w:ind w:left="0" w:firstLine="0"/>
        <w:jc w:val="center"/>
      </w:pPr>
      <w:r>
        <w:t xml:space="preserve">Vlerësimi i </w:t>
      </w:r>
      <w:r w:rsidR="00DD1CA1">
        <w:t>Kolegjit</w:t>
      </w:r>
    </w:p>
    <w:p w:rsidR="0060300F" w:rsidRPr="0060300F" w:rsidRDefault="0060300F" w:rsidP="0060300F">
      <w:pPr>
        <w:pStyle w:val="BodyTextIndent2"/>
        <w:tabs>
          <w:tab w:val="left" w:pos="0"/>
        </w:tabs>
        <w:ind w:left="0" w:firstLine="720"/>
        <w:rPr>
          <w:b w:val="0"/>
          <w:i/>
        </w:rPr>
      </w:pPr>
      <w:r>
        <w:rPr>
          <w:b w:val="0"/>
          <w:i/>
        </w:rPr>
        <w:t>A</w:t>
      </w:r>
      <w:r w:rsidRPr="0060300F">
        <w:rPr>
          <w:b w:val="0"/>
          <w:i/>
        </w:rPr>
        <w:t>. Pë</w:t>
      </w:r>
      <w:r>
        <w:rPr>
          <w:b w:val="0"/>
          <w:i/>
        </w:rPr>
        <w:t>r legjitimimin e kërkuesit</w:t>
      </w:r>
    </w:p>
    <w:p w:rsidR="009A1452" w:rsidRPr="0060300F" w:rsidRDefault="0060300F" w:rsidP="009A1452">
      <w:pPr>
        <w:pStyle w:val="BodyTextIndent2"/>
        <w:numPr>
          <w:ilvl w:val="0"/>
          <w:numId w:val="1"/>
        </w:numPr>
        <w:tabs>
          <w:tab w:val="left" w:pos="990"/>
        </w:tabs>
        <w:ind w:left="0" w:firstLine="720"/>
        <w:rPr>
          <w:b w:val="0"/>
        </w:rPr>
      </w:pPr>
      <w:r w:rsidRPr="0060300F">
        <w:rPr>
          <w:b w:val="0"/>
          <w:spacing w:val="2"/>
        </w:rPr>
        <w:t xml:space="preserve">Çështja e legjitimimit </w:t>
      </w:r>
      <w:r w:rsidRPr="0060300F">
        <w:rPr>
          <w:b w:val="0"/>
          <w:i/>
          <w:spacing w:val="2"/>
        </w:rPr>
        <w:t>(</w:t>
      </w:r>
      <w:proofErr w:type="spellStart"/>
      <w:r w:rsidRPr="0060300F">
        <w:rPr>
          <w:b w:val="0"/>
          <w:i/>
          <w:spacing w:val="2"/>
        </w:rPr>
        <w:t>locus</w:t>
      </w:r>
      <w:proofErr w:type="spellEnd"/>
      <w:r w:rsidRPr="0060300F">
        <w:rPr>
          <w:b w:val="0"/>
          <w:i/>
          <w:spacing w:val="2"/>
        </w:rPr>
        <w:t xml:space="preserve"> </w:t>
      </w:r>
      <w:proofErr w:type="spellStart"/>
      <w:r w:rsidRPr="0060300F">
        <w:rPr>
          <w:b w:val="0"/>
          <w:i/>
          <w:spacing w:val="2"/>
        </w:rPr>
        <w:t>standi</w:t>
      </w:r>
      <w:proofErr w:type="spellEnd"/>
      <w:r w:rsidRPr="0060300F">
        <w:rPr>
          <w:b w:val="0"/>
          <w:i/>
          <w:spacing w:val="2"/>
        </w:rPr>
        <w:t>)</w:t>
      </w:r>
      <w:r w:rsidRPr="0060300F">
        <w:rPr>
          <w:b w:val="0"/>
          <w:spacing w:val="2"/>
        </w:rPr>
        <w:t xml:space="preserve"> është vlerësuar nga Gjykata si një ndër aspektet kryesore që lidhet me inicimin e një procesi kushtetues. Sipas neneve 131, pika 1, shkronja “f” dhe 134, pika</w:t>
      </w:r>
      <w:r w:rsidR="007F1171">
        <w:rPr>
          <w:b w:val="0"/>
          <w:spacing w:val="2"/>
        </w:rPr>
        <w:t>t</w:t>
      </w:r>
      <w:r w:rsidRPr="0060300F">
        <w:rPr>
          <w:b w:val="0"/>
          <w:spacing w:val="2"/>
        </w:rPr>
        <w:t xml:space="preserve"> 1, shkronja “i” dhe 2, të Kushtetutës, si dhe nenit 71 të ligjit nr. 8577/2000, çdo individ, person fizik ose juridik, subjekt i së drejtës private dhe publike, mund të vërë në lëvizje Gjykatën për gjykimin përfundimtar të ankesave kundër çdo akti të pushtetit publik ose vendimi gjyqësor që cenon të drejtat dhe liritë themelore të garantuara në Kushtetutë</w:t>
      </w:r>
      <w:r>
        <w:rPr>
          <w:b w:val="0"/>
          <w:spacing w:val="2"/>
        </w:rPr>
        <w:t>.</w:t>
      </w:r>
    </w:p>
    <w:p w:rsidR="0060300F" w:rsidRDefault="0060300F" w:rsidP="009A1452">
      <w:pPr>
        <w:pStyle w:val="BodyTextIndent2"/>
        <w:numPr>
          <w:ilvl w:val="0"/>
          <w:numId w:val="1"/>
        </w:numPr>
        <w:tabs>
          <w:tab w:val="left" w:pos="990"/>
        </w:tabs>
        <w:ind w:left="0" w:firstLine="720"/>
        <w:rPr>
          <w:b w:val="0"/>
        </w:rPr>
      </w:pPr>
      <w:r w:rsidRPr="0060300F">
        <w:rPr>
          <w:b w:val="0"/>
        </w:rPr>
        <w:t>Ankimi kushtetues individual, në vijim të dispozitave kushtetuese, rregullohet edhe nga dispozitat e ligjit nr. 8577/2000, i cili në nenin 71/a përcakton si kritere kumulative legjitimimi shterimin e mjeteve juridike, paraqitjen e kërkesës brenda afatit përkatës, ardhjen drejtpërdrejt e realisht të pasojave, si dhe mundësinë për rivendosjen e së drejtës së shkelur</w:t>
      </w:r>
      <w:r>
        <w:rPr>
          <w:b w:val="0"/>
        </w:rPr>
        <w:t>.</w:t>
      </w:r>
    </w:p>
    <w:p w:rsidR="0060300F" w:rsidRPr="0060300F" w:rsidRDefault="0060300F" w:rsidP="009A1452">
      <w:pPr>
        <w:pStyle w:val="BodyTextIndent2"/>
        <w:numPr>
          <w:ilvl w:val="0"/>
          <w:numId w:val="1"/>
        </w:numPr>
        <w:tabs>
          <w:tab w:val="left" w:pos="990"/>
        </w:tabs>
        <w:ind w:left="0" w:firstLine="720"/>
        <w:rPr>
          <w:b w:val="0"/>
        </w:rPr>
      </w:pPr>
      <w:r>
        <w:rPr>
          <w:b w:val="0"/>
        </w:rPr>
        <w:t>Kërkuesi</w:t>
      </w:r>
      <w:r w:rsidR="00F34A4D">
        <w:rPr>
          <w:b w:val="0"/>
        </w:rPr>
        <w:t xml:space="preserve">, </w:t>
      </w:r>
      <w:r w:rsidR="00F34A4D" w:rsidRPr="00F34A4D">
        <w:rPr>
          <w:rFonts w:eastAsia="Calibri"/>
          <w:b w:val="0"/>
          <w:lang w:eastAsia="x-none"/>
        </w:rPr>
        <w:t>si bartës i të drejtave dhe lirive themelore të parashikuara nga Kushtetuta,</w:t>
      </w:r>
      <w:r w:rsidRPr="00F34A4D">
        <w:rPr>
          <w:b w:val="0"/>
        </w:rPr>
        <w:t xml:space="preserve"> </w:t>
      </w:r>
      <w:r>
        <w:rPr>
          <w:b w:val="0"/>
        </w:rPr>
        <w:t xml:space="preserve">legjitimohet </w:t>
      </w:r>
      <w:proofErr w:type="spellStart"/>
      <w:r>
        <w:rPr>
          <w:b w:val="0"/>
          <w:i/>
        </w:rPr>
        <w:t>ratione</w:t>
      </w:r>
      <w:proofErr w:type="spellEnd"/>
      <w:r>
        <w:rPr>
          <w:b w:val="0"/>
          <w:i/>
        </w:rPr>
        <w:t xml:space="preserve"> </w:t>
      </w:r>
      <w:proofErr w:type="spellStart"/>
      <w:r>
        <w:rPr>
          <w:b w:val="0"/>
          <w:i/>
        </w:rPr>
        <w:t>personae</w:t>
      </w:r>
      <w:proofErr w:type="spellEnd"/>
      <w:r>
        <w:rPr>
          <w:b w:val="0"/>
          <w:i/>
        </w:rPr>
        <w:t xml:space="preserve">, </w:t>
      </w:r>
      <w:r w:rsidRPr="0060300F">
        <w:rPr>
          <w:b w:val="0"/>
        </w:rPr>
        <w:t xml:space="preserve">bazuar në nenet 131, pika 1, shkronja “f” dhe 134, pika 1, shkronja “i”, të Kushtetutës, pasi ka qenë palë në procesin gjyqësor, ndaj të cilit ka ngritur pretendime në këtë Gjykatë </w:t>
      </w:r>
      <w:r w:rsidRPr="0060300F">
        <w:rPr>
          <w:b w:val="0"/>
          <w:bCs/>
        </w:rPr>
        <w:t>dhe ka interes të drejtpërdrejtë në çështjen e parashtruar</w:t>
      </w:r>
      <w:r>
        <w:rPr>
          <w:b w:val="0"/>
          <w:bCs/>
        </w:rPr>
        <w:t>.</w:t>
      </w:r>
    </w:p>
    <w:p w:rsidR="0060300F" w:rsidRPr="00FF51D2" w:rsidRDefault="0060300F" w:rsidP="0060300F">
      <w:pPr>
        <w:pStyle w:val="BodyTextIndent2"/>
        <w:numPr>
          <w:ilvl w:val="0"/>
          <w:numId w:val="1"/>
        </w:numPr>
        <w:tabs>
          <w:tab w:val="left" w:pos="1170"/>
        </w:tabs>
        <w:ind w:left="0" w:firstLine="720"/>
        <w:rPr>
          <w:b w:val="0"/>
        </w:rPr>
      </w:pPr>
      <w:r w:rsidRPr="0060300F">
        <w:rPr>
          <w:b w:val="0"/>
        </w:rPr>
        <w:t xml:space="preserve">Lidhur me kriterin e </w:t>
      </w:r>
      <w:r w:rsidRPr="0060300F">
        <w:rPr>
          <w:b w:val="0"/>
          <w:i/>
        </w:rPr>
        <w:t>shterimit të mjeteve juridike efektive</w:t>
      </w:r>
      <w:r w:rsidRPr="0060300F">
        <w:rPr>
          <w:b w:val="0"/>
        </w:rPr>
        <w:t xml:space="preserve">, sipas </w:t>
      </w:r>
      <w:r w:rsidRPr="0060300F">
        <w:rPr>
          <w:b w:val="0"/>
          <w:color w:val="000000"/>
        </w:rPr>
        <w:t xml:space="preserve">neneve </w:t>
      </w:r>
      <w:r w:rsidRPr="0060300F">
        <w:rPr>
          <w:b w:val="0"/>
        </w:rPr>
        <w:t xml:space="preserve">131, pika 1, shkronja “f” dhe 134, pika 1, shkronja “i”, </w:t>
      </w:r>
      <w:r w:rsidRPr="0060300F">
        <w:rPr>
          <w:b w:val="0"/>
          <w:color w:val="000000"/>
        </w:rPr>
        <w:t>të Kushtetutës,</w:t>
      </w:r>
      <w:r w:rsidRPr="0060300F">
        <w:rPr>
          <w:b w:val="0"/>
        </w:rPr>
        <w:t xml:space="preserve"> </w:t>
      </w:r>
      <w:r w:rsidRPr="0060300F">
        <w:rPr>
          <w:b w:val="0"/>
          <w:color w:val="000000"/>
        </w:rPr>
        <w:t xml:space="preserve">individi mund t’i drejtohet Gjykatës me ankim </w:t>
      </w:r>
      <w:r w:rsidR="0016186C" w:rsidRPr="0060300F">
        <w:rPr>
          <w:b w:val="0"/>
          <w:color w:val="000000"/>
        </w:rPr>
        <w:t xml:space="preserve">kushtetues </w:t>
      </w:r>
      <w:r w:rsidRPr="0060300F">
        <w:rPr>
          <w:b w:val="0"/>
          <w:color w:val="000000"/>
        </w:rPr>
        <w:t>individual, vetëm pasi të ketë shteruar të gjitha mjetet juridike për mbrojtjen e të drejtave kushtetuese që ai pretendon se i janë cenuar.</w:t>
      </w:r>
      <w:r w:rsidRPr="0060300F">
        <w:rPr>
          <w:b w:val="0"/>
        </w:rPr>
        <w:t xml:space="preserve"> </w:t>
      </w:r>
      <w:r w:rsidR="008C7084" w:rsidRPr="008C7084">
        <w:rPr>
          <w:b w:val="0"/>
        </w:rPr>
        <w:t>Qëllimi i këtij neni të Kushtetutës është, ndër të tjera, të mundësojë, brenda sistemit gjyqësor të zakonshëm, parandalimin ose riparimin e shkeljeve të pretenduara, përpara se të tilla pre</w:t>
      </w:r>
      <w:r w:rsidR="00D8581C">
        <w:rPr>
          <w:b w:val="0"/>
        </w:rPr>
        <w:t>tendime të paraqiten në Gjykatë</w:t>
      </w:r>
      <w:r w:rsidR="008C7084" w:rsidRPr="008C7084">
        <w:rPr>
          <w:b w:val="0"/>
        </w:rPr>
        <w:t xml:space="preserve"> </w:t>
      </w:r>
      <w:r w:rsidR="00823147">
        <w:rPr>
          <w:b w:val="0"/>
          <w:i/>
        </w:rPr>
        <w:t>(shih vendim</w:t>
      </w:r>
      <w:r w:rsidR="00D8581C">
        <w:rPr>
          <w:b w:val="0"/>
          <w:i/>
        </w:rPr>
        <w:t>in</w:t>
      </w:r>
      <w:r w:rsidR="00823147">
        <w:rPr>
          <w:b w:val="0"/>
          <w:i/>
        </w:rPr>
        <w:t xml:space="preserve"> nr. 12</w:t>
      </w:r>
      <w:r w:rsidR="008C7084" w:rsidRPr="008C7084">
        <w:rPr>
          <w:b w:val="0"/>
          <w:i/>
        </w:rPr>
        <w:t>, datë 2</w:t>
      </w:r>
      <w:r w:rsidR="00823147">
        <w:rPr>
          <w:b w:val="0"/>
          <w:i/>
        </w:rPr>
        <w:t>4</w:t>
      </w:r>
      <w:r w:rsidR="008C7084" w:rsidRPr="008C7084">
        <w:rPr>
          <w:b w:val="0"/>
          <w:i/>
        </w:rPr>
        <w:t>.0</w:t>
      </w:r>
      <w:r w:rsidR="00823147">
        <w:rPr>
          <w:b w:val="0"/>
          <w:i/>
        </w:rPr>
        <w:t>5</w:t>
      </w:r>
      <w:r w:rsidR="008C7084" w:rsidRPr="008C7084">
        <w:rPr>
          <w:b w:val="0"/>
          <w:i/>
        </w:rPr>
        <w:t>.202</w:t>
      </w:r>
      <w:r w:rsidR="00823147">
        <w:rPr>
          <w:b w:val="0"/>
          <w:i/>
        </w:rPr>
        <w:t>2</w:t>
      </w:r>
      <w:r w:rsidR="008C7084" w:rsidRPr="008C7084">
        <w:rPr>
          <w:b w:val="0"/>
          <w:i/>
        </w:rPr>
        <w:t xml:space="preserve"> të Gjykatës Kushtetuese)</w:t>
      </w:r>
      <w:r w:rsidR="008C7084" w:rsidRPr="0060300F">
        <w:rPr>
          <w:b w:val="0"/>
          <w:bCs/>
        </w:rPr>
        <w:t xml:space="preserve">. </w:t>
      </w:r>
      <w:r w:rsidRPr="0060300F">
        <w:rPr>
          <w:b w:val="0"/>
          <w:color w:val="000000"/>
          <w:lang w:eastAsia="fr-FR"/>
        </w:rPr>
        <w:t xml:space="preserve">Shterimi i mjeteve juridike ka të bëjë me kontrollin subsidiar që ushtron </w:t>
      </w:r>
      <w:r w:rsidR="008C7084">
        <w:rPr>
          <w:b w:val="0"/>
          <w:color w:val="000000"/>
          <w:lang w:eastAsia="fr-FR"/>
        </w:rPr>
        <w:t xml:space="preserve">kjo </w:t>
      </w:r>
      <w:r w:rsidRPr="0060300F">
        <w:rPr>
          <w:b w:val="0"/>
          <w:color w:val="000000"/>
          <w:lang w:eastAsia="fr-FR"/>
        </w:rPr>
        <w:t>G</w:t>
      </w:r>
      <w:r w:rsidR="008C7084">
        <w:rPr>
          <w:b w:val="0"/>
          <w:color w:val="000000"/>
          <w:lang w:eastAsia="sq-AL"/>
        </w:rPr>
        <w:t>jykatë</w:t>
      </w:r>
      <w:r w:rsidRPr="0060300F">
        <w:rPr>
          <w:b w:val="0"/>
          <w:color w:val="000000"/>
          <w:lang w:eastAsia="sq-AL"/>
        </w:rPr>
        <w:t xml:space="preserve">, përfshirë edhe rastet e shkeljes së të drejtave të individit </w:t>
      </w:r>
      <w:r w:rsidRPr="0060300F">
        <w:rPr>
          <w:b w:val="0"/>
          <w:i/>
          <w:color w:val="000000"/>
          <w:lang w:eastAsia="sq-AL"/>
        </w:rPr>
        <w:t>(</w:t>
      </w:r>
      <w:r w:rsidR="001B1216">
        <w:rPr>
          <w:b w:val="0"/>
          <w:i/>
          <w:color w:val="000000"/>
          <w:lang w:eastAsia="sq-AL"/>
        </w:rPr>
        <w:t>shih vendimin</w:t>
      </w:r>
      <w:r w:rsidR="008C7084" w:rsidRPr="008C7084">
        <w:rPr>
          <w:b w:val="0"/>
          <w:i/>
          <w:color w:val="000000"/>
          <w:lang w:eastAsia="sq-AL"/>
        </w:rPr>
        <w:t xml:space="preserve"> nr. </w:t>
      </w:r>
      <w:r w:rsidR="003D53ED">
        <w:rPr>
          <w:b w:val="0"/>
          <w:i/>
          <w:color w:val="000000"/>
          <w:lang w:eastAsia="sq-AL"/>
        </w:rPr>
        <w:t>38</w:t>
      </w:r>
      <w:r w:rsidR="008C7084" w:rsidRPr="008C7084">
        <w:rPr>
          <w:b w:val="0"/>
          <w:i/>
          <w:color w:val="000000"/>
          <w:lang w:eastAsia="sq-AL"/>
        </w:rPr>
        <w:t xml:space="preserve">, datë </w:t>
      </w:r>
      <w:r w:rsidR="003D53ED">
        <w:rPr>
          <w:b w:val="0"/>
          <w:i/>
          <w:color w:val="000000"/>
          <w:lang w:eastAsia="sq-AL"/>
        </w:rPr>
        <w:t>02</w:t>
      </w:r>
      <w:r w:rsidR="008C7084" w:rsidRPr="008C7084">
        <w:rPr>
          <w:b w:val="0"/>
          <w:i/>
          <w:color w:val="000000"/>
          <w:lang w:eastAsia="sq-AL"/>
        </w:rPr>
        <w:t>.</w:t>
      </w:r>
      <w:r w:rsidR="003D53ED">
        <w:rPr>
          <w:b w:val="0"/>
          <w:i/>
          <w:color w:val="000000"/>
          <w:lang w:eastAsia="sq-AL"/>
        </w:rPr>
        <w:t>12</w:t>
      </w:r>
      <w:r w:rsidR="008C7084" w:rsidRPr="008C7084">
        <w:rPr>
          <w:b w:val="0"/>
          <w:i/>
          <w:color w:val="000000"/>
          <w:lang w:eastAsia="sq-AL"/>
        </w:rPr>
        <w:t>.2021</w:t>
      </w:r>
      <w:r w:rsidR="001B1216">
        <w:rPr>
          <w:b w:val="0"/>
          <w:i/>
          <w:color w:val="000000"/>
          <w:lang w:eastAsia="sq-AL"/>
        </w:rPr>
        <w:t xml:space="preserve"> </w:t>
      </w:r>
      <w:r w:rsidRPr="0060300F">
        <w:rPr>
          <w:b w:val="0"/>
          <w:i/>
          <w:iCs/>
          <w:color w:val="000000"/>
          <w:lang w:eastAsia="sq-AL"/>
        </w:rPr>
        <w:t>të Gjykatës Kushtetuese)</w:t>
      </w:r>
      <w:r w:rsidRPr="0060300F">
        <w:rPr>
          <w:b w:val="0"/>
          <w:iCs/>
          <w:color w:val="000000"/>
          <w:lang w:eastAsia="sq-AL"/>
        </w:rPr>
        <w:t>.</w:t>
      </w:r>
      <w:r w:rsidRPr="0060300F">
        <w:rPr>
          <w:rFonts w:eastAsia="Times New Roman"/>
          <w:b w:val="0"/>
        </w:rPr>
        <w:t xml:space="preserve"> </w:t>
      </w:r>
      <w:r w:rsidR="0016186C">
        <w:rPr>
          <w:rFonts w:eastAsia="Times New Roman"/>
          <w:b w:val="0"/>
        </w:rPr>
        <w:t xml:space="preserve"> </w:t>
      </w:r>
    </w:p>
    <w:p w:rsidR="00FF51D2" w:rsidRPr="00FF51D2" w:rsidRDefault="00FF51D2" w:rsidP="0060300F">
      <w:pPr>
        <w:pStyle w:val="BodyTextIndent2"/>
        <w:numPr>
          <w:ilvl w:val="0"/>
          <w:numId w:val="1"/>
        </w:numPr>
        <w:tabs>
          <w:tab w:val="left" w:pos="1170"/>
        </w:tabs>
        <w:ind w:left="0" w:firstLine="720"/>
        <w:rPr>
          <w:b w:val="0"/>
          <w:i/>
        </w:rPr>
      </w:pPr>
      <w:r w:rsidRPr="00FF51D2">
        <w:rPr>
          <w:b w:val="0"/>
        </w:rPr>
        <w:t xml:space="preserve">Duke qenë se mbrojtja kushtetuese ka një funksion subsidiar, ajo mund të kërkohet vetëm për një vendim përfundimtar, të çfarëdolloj forme, që përmbyll procesin gjyqësor. Cenimi i së drejtës për një proces të rregullt ligjor, të garantuar nga neni 42 i Kushtetutës, mund të pretendohet në këtë Gjykatë vetëm pasi të shterohen të gjitha mundësitë e ofruara nga sistemi i apelimeve dhe kjo vlen edhe në rastet kur procedurat gjyqësore paraprake çojnë në një rëndim të mëtejshëm ose në </w:t>
      </w:r>
      <w:proofErr w:type="spellStart"/>
      <w:r w:rsidRPr="00FF51D2">
        <w:rPr>
          <w:b w:val="0"/>
        </w:rPr>
        <w:t>tejzgjatjen</w:t>
      </w:r>
      <w:proofErr w:type="spellEnd"/>
      <w:r w:rsidRPr="00FF51D2">
        <w:rPr>
          <w:b w:val="0"/>
        </w:rPr>
        <w:t xml:space="preserve"> e cenimit të kësaj të drejte </w:t>
      </w:r>
      <w:r w:rsidRPr="00FF51D2">
        <w:rPr>
          <w:b w:val="0"/>
          <w:i/>
        </w:rPr>
        <w:t>(shih vendimet nr. 14, datë 11.03.2021; nr. 29, datë 30.03.2017 të Gjykatës Kushtetuese)</w:t>
      </w:r>
      <w:r>
        <w:rPr>
          <w:b w:val="0"/>
          <w:i/>
        </w:rPr>
        <w:t>.</w:t>
      </w:r>
    </w:p>
    <w:p w:rsidR="0060300F" w:rsidRPr="0016186C" w:rsidRDefault="0027649C" w:rsidP="003B0739">
      <w:pPr>
        <w:pStyle w:val="BodyTextIndent2"/>
        <w:numPr>
          <w:ilvl w:val="0"/>
          <w:numId w:val="1"/>
        </w:numPr>
        <w:tabs>
          <w:tab w:val="left" w:pos="1170"/>
        </w:tabs>
        <w:ind w:left="0" w:firstLine="720"/>
        <w:rPr>
          <w:b w:val="0"/>
        </w:rPr>
      </w:pPr>
      <w:r w:rsidRPr="0016186C">
        <w:rPr>
          <w:b w:val="0"/>
        </w:rPr>
        <w:t xml:space="preserve">Në rastin konkret, </w:t>
      </w:r>
      <w:r w:rsidR="00D8581C" w:rsidRPr="0016186C">
        <w:rPr>
          <w:b w:val="0"/>
        </w:rPr>
        <w:t xml:space="preserve">Kolegji vëren se </w:t>
      </w:r>
      <w:r w:rsidRPr="0016186C">
        <w:rPr>
          <w:b w:val="0"/>
        </w:rPr>
        <w:t>k</w:t>
      </w:r>
      <w:r w:rsidR="0060300F" w:rsidRPr="0016186C">
        <w:rPr>
          <w:b w:val="0"/>
        </w:rPr>
        <w:t xml:space="preserve">ërkuesi ka kundërshtuar në Gjykatë vendimin </w:t>
      </w:r>
      <w:r w:rsidR="00372C5B">
        <w:rPr>
          <w:b w:val="0"/>
        </w:rPr>
        <w:t>e</w:t>
      </w:r>
      <w:r w:rsidR="00072D76">
        <w:rPr>
          <w:b w:val="0"/>
        </w:rPr>
        <w:t xml:space="preserve"> Kolegji</w:t>
      </w:r>
      <w:r w:rsidR="005A610D">
        <w:rPr>
          <w:b w:val="0"/>
        </w:rPr>
        <w:t>t</w:t>
      </w:r>
      <w:r w:rsidR="00072D76">
        <w:rPr>
          <w:b w:val="0"/>
        </w:rPr>
        <w:t xml:space="preserve"> Penal të</w:t>
      </w:r>
      <w:r w:rsidR="00AD4CD2">
        <w:rPr>
          <w:b w:val="0"/>
        </w:rPr>
        <w:t xml:space="preserve"> Gjykatës së Lartë</w:t>
      </w:r>
      <w:r w:rsidR="0060300F" w:rsidRPr="0016186C">
        <w:rPr>
          <w:b w:val="0"/>
        </w:rPr>
        <w:t xml:space="preserve"> </w:t>
      </w:r>
      <w:r w:rsidR="00372C5B">
        <w:rPr>
          <w:b w:val="0"/>
        </w:rPr>
        <w:t>që</w:t>
      </w:r>
      <w:r w:rsidR="0060300F" w:rsidRPr="0016186C">
        <w:rPr>
          <w:b w:val="0"/>
        </w:rPr>
        <w:t xml:space="preserve"> ka vendosur prishjen e vendimit  të Gjykatës së Apelit Durrës dhe kthimin e çështjes për rishqyrtim në atë gjykatë, me tjetër trup gjykues.</w:t>
      </w:r>
      <w:r w:rsidR="0087765C" w:rsidRPr="0016186C">
        <w:rPr>
          <w:b w:val="0"/>
        </w:rPr>
        <w:t xml:space="preserve"> </w:t>
      </w:r>
      <w:r w:rsidR="00D8581C" w:rsidRPr="0016186C">
        <w:rPr>
          <w:b w:val="0"/>
        </w:rPr>
        <w:t>Kolegji thekson</w:t>
      </w:r>
      <w:r w:rsidR="0087765C" w:rsidRPr="0016186C">
        <w:rPr>
          <w:b w:val="0"/>
        </w:rPr>
        <w:t xml:space="preserve"> se </w:t>
      </w:r>
      <w:r w:rsidR="005A610D">
        <w:rPr>
          <w:b w:val="0"/>
        </w:rPr>
        <w:t xml:space="preserve">vendimi </w:t>
      </w:r>
      <w:r w:rsidR="00372C5B" w:rsidRPr="0016186C">
        <w:rPr>
          <w:b w:val="0"/>
        </w:rPr>
        <w:t>nr. 00-2021-1048 (130), datë 09.12.2021</w:t>
      </w:r>
      <w:r w:rsidR="00372C5B">
        <w:rPr>
          <w:b w:val="0"/>
        </w:rPr>
        <w:t xml:space="preserve"> i Kolegjit Penal të Gjykatës së Lartë, objekt ankimi kushtetues,</w:t>
      </w:r>
      <w:r w:rsidR="0060300F" w:rsidRPr="0016186C">
        <w:rPr>
          <w:b w:val="0"/>
        </w:rPr>
        <w:t xml:space="preserve"> </w:t>
      </w:r>
      <w:r w:rsidR="00C35E60" w:rsidRPr="0016186C">
        <w:rPr>
          <w:b w:val="0"/>
        </w:rPr>
        <w:t xml:space="preserve">nuk ka vendosur në mënyrë përfundimtare për çështjen. </w:t>
      </w:r>
      <w:r w:rsidR="0060300F" w:rsidRPr="0016186C">
        <w:rPr>
          <w:b w:val="0"/>
        </w:rPr>
        <w:t xml:space="preserve">Procesi gjyqësor për </w:t>
      </w:r>
      <w:r w:rsidR="00C35E60" w:rsidRPr="0016186C">
        <w:rPr>
          <w:b w:val="0"/>
        </w:rPr>
        <w:t>përcaktimin e fajësisë</w:t>
      </w:r>
      <w:r w:rsidR="0060300F" w:rsidRPr="0016186C">
        <w:rPr>
          <w:b w:val="0"/>
        </w:rPr>
        <w:t>, në të cilin kërkue</w:t>
      </w:r>
      <w:r w:rsidR="00C35E60" w:rsidRPr="0016186C">
        <w:rPr>
          <w:b w:val="0"/>
        </w:rPr>
        <w:t>si</w:t>
      </w:r>
      <w:r w:rsidR="0060300F" w:rsidRPr="0016186C">
        <w:rPr>
          <w:b w:val="0"/>
        </w:rPr>
        <w:t xml:space="preserve"> </w:t>
      </w:r>
      <w:r w:rsidR="00C35E60" w:rsidRPr="0016186C">
        <w:rPr>
          <w:b w:val="0"/>
        </w:rPr>
        <w:t>është i bashkëpandehur</w:t>
      </w:r>
      <w:r w:rsidR="0060300F" w:rsidRPr="0016186C">
        <w:rPr>
          <w:b w:val="0"/>
        </w:rPr>
        <w:t xml:space="preserve">, vazhdon ende të gjykohet në themel nga gjykatat e juridiksionit të zakonshëm. </w:t>
      </w:r>
      <w:r w:rsidR="00372C5B">
        <w:rPr>
          <w:b w:val="0"/>
        </w:rPr>
        <w:t>Për rrjedhojë,</w:t>
      </w:r>
      <w:r w:rsidR="0060300F" w:rsidRPr="0016186C">
        <w:rPr>
          <w:b w:val="0"/>
        </w:rPr>
        <w:t xml:space="preserve"> </w:t>
      </w:r>
      <w:r w:rsidR="0051436C">
        <w:rPr>
          <w:b w:val="0"/>
        </w:rPr>
        <w:t>ky vendim</w:t>
      </w:r>
      <w:r w:rsidR="00372C5B">
        <w:rPr>
          <w:b w:val="0"/>
        </w:rPr>
        <w:t xml:space="preserve"> </w:t>
      </w:r>
      <w:r w:rsidR="0060300F" w:rsidRPr="0016186C">
        <w:rPr>
          <w:b w:val="0"/>
        </w:rPr>
        <w:t xml:space="preserve">nuk mund të konsiderohet përfundimtar në kuptim të </w:t>
      </w:r>
      <w:r w:rsidR="005A610D">
        <w:rPr>
          <w:b w:val="0"/>
        </w:rPr>
        <w:t>shterimit të mjeteve</w:t>
      </w:r>
      <w:r w:rsidR="0060300F" w:rsidRPr="0016186C">
        <w:rPr>
          <w:b w:val="0"/>
        </w:rPr>
        <w:t xml:space="preserve"> juridike efektive, sipas nenit 131, pika </w:t>
      </w:r>
      <w:r w:rsidRPr="0016186C">
        <w:rPr>
          <w:b w:val="0"/>
        </w:rPr>
        <w:t>1, shkronja “f”, të Kushtetutës, pasi</w:t>
      </w:r>
      <w:r w:rsidR="0060300F" w:rsidRPr="0016186C">
        <w:rPr>
          <w:b w:val="0"/>
        </w:rPr>
        <w:t xml:space="preserve"> </w:t>
      </w:r>
      <w:r w:rsidRPr="0016186C">
        <w:rPr>
          <w:b w:val="0"/>
        </w:rPr>
        <w:t>k</w:t>
      </w:r>
      <w:r w:rsidR="0087765C" w:rsidRPr="0016186C">
        <w:rPr>
          <w:b w:val="0"/>
        </w:rPr>
        <w:t xml:space="preserve">ërkuesi ka ende mjete në dispozicion për të paraqitur pretendimet </w:t>
      </w:r>
      <w:r w:rsidR="00330682" w:rsidRPr="0016186C">
        <w:rPr>
          <w:b w:val="0"/>
        </w:rPr>
        <w:t>e</w:t>
      </w:r>
      <w:r w:rsidR="0087765C" w:rsidRPr="0016186C">
        <w:rPr>
          <w:b w:val="0"/>
        </w:rPr>
        <w:t xml:space="preserve"> tij për të drejtat që pretendon se i janë shkelur.</w:t>
      </w:r>
    </w:p>
    <w:p w:rsidR="0060300F" w:rsidRDefault="0060300F" w:rsidP="00C35E60">
      <w:pPr>
        <w:pStyle w:val="ListParagraph"/>
        <w:numPr>
          <w:ilvl w:val="0"/>
          <w:numId w:val="1"/>
        </w:numPr>
        <w:tabs>
          <w:tab w:val="left" w:pos="1080"/>
        </w:tabs>
        <w:ind w:left="0" w:firstLine="720"/>
        <w:jc w:val="both"/>
      </w:pPr>
      <w:r>
        <w:t xml:space="preserve">Për </w:t>
      </w:r>
      <w:r w:rsidR="0087765C">
        <w:t>sa më lart</w:t>
      </w:r>
      <w:r>
        <w:t xml:space="preserve">, </w:t>
      </w:r>
      <w:r w:rsidR="00372C5B">
        <w:t>Kolegji çmon</w:t>
      </w:r>
      <w:r w:rsidR="00C35E60">
        <w:t xml:space="preserve"> se kërkuesi</w:t>
      </w:r>
      <w:r>
        <w:t xml:space="preserve"> nuk ka shteruar mjetet </w:t>
      </w:r>
      <w:r w:rsidR="00AD4CD2">
        <w:t>juridike</w:t>
      </w:r>
      <w:r>
        <w:t xml:space="preserve"> efektive në dispozicion të t</w:t>
      </w:r>
      <w:r w:rsidR="00C35E60">
        <w:t>ij</w:t>
      </w:r>
      <w:r w:rsidR="00AD4CD2">
        <w:t>,</w:t>
      </w:r>
      <w:r>
        <w:t xml:space="preserve"> në gjykat</w:t>
      </w:r>
      <w:r w:rsidR="00AD4CD2">
        <w:t>at e juridiksionit të zakonshëm</w:t>
      </w:r>
      <w:r>
        <w:t xml:space="preserve"> përpara se t’i drejtohe</w:t>
      </w:r>
      <w:r w:rsidR="00C35E60">
        <w:t>t</w:t>
      </w:r>
      <w:r>
        <w:t xml:space="preserve"> kësaj Gjykate.</w:t>
      </w:r>
    </w:p>
    <w:p w:rsidR="0060300F" w:rsidRPr="007D140F" w:rsidRDefault="0060300F" w:rsidP="00C35E60">
      <w:pPr>
        <w:pStyle w:val="ListParagraph"/>
        <w:numPr>
          <w:ilvl w:val="0"/>
          <w:numId w:val="1"/>
        </w:numPr>
        <w:tabs>
          <w:tab w:val="left" w:pos="1080"/>
        </w:tabs>
        <w:ind w:left="0" w:firstLine="720"/>
        <w:jc w:val="both"/>
        <w:rPr>
          <w:spacing w:val="2"/>
        </w:rPr>
      </w:pPr>
      <w:r>
        <w:t>Në</w:t>
      </w:r>
      <w:r w:rsidRPr="00FE1BEF">
        <w:rPr>
          <w:bCs/>
        </w:rPr>
        <w:t xml:space="preserve"> përfundim</w:t>
      </w:r>
      <w:r w:rsidRPr="00FE1BEF">
        <w:t xml:space="preserve">, </w:t>
      </w:r>
      <w:r w:rsidR="00372C5B">
        <w:t xml:space="preserve">Kolegji vlerëson </w:t>
      </w:r>
      <w:r w:rsidRPr="00ED6B42">
        <w:rPr>
          <w:color w:val="000000"/>
        </w:rPr>
        <w:t>se ankimi individual kushtetues nuk plotëson kriteret ligjore</w:t>
      </w:r>
      <w:r>
        <w:rPr>
          <w:color w:val="000000"/>
        </w:rPr>
        <w:t xml:space="preserve"> paraprake</w:t>
      </w:r>
      <w:r w:rsidRPr="00ED6B42">
        <w:rPr>
          <w:color w:val="000000"/>
        </w:rPr>
        <w:t xml:space="preserve"> për pranimin e tij </w:t>
      </w:r>
      <w:r w:rsidRPr="00ED6B42">
        <w:t>për shqyrtim në seancë plenare</w:t>
      </w:r>
      <w:r>
        <w:t>.</w:t>
      </w:r>
    </w:p>
    <w:p w:rsidR="007D140F" w:rsidRPr="00124EE5" w:rsidRDefault="007D140F" w:rsidP="007D140F">
      <w:pPr>
        <w:pStyle w:val="ListParagraph"/>
        <w:tabs>
          <w:tab w:val="left" w:pos="1080"/>
        </w:tabs>
        <w:jc w:val="both"/>
        <w:rPr>
          <w:spacing w:val="2"/>
        </w:rPr>
      </w:pPr>
    </w:p>
    <w:p w:rsidR="00372C5B" w:rsidRPr="00E95C5C" w:rsidRDefault="00372C5B" w:rsidP="00372C5B">
      <w:pPr>
        <w:tabs>
          <w:tab w:val="left" w:pos="720"/>
          <w:tab w:val="left" w:pos="1080"/>
          <w:tab w:val="left" w:pos="1260"/>
        </w:tabs>
        <w:contextualSpacing/>
        <w:jc w:val="center"/>
        <w:rPr>
          <w:rFonts w:eastAsia="Times New Roman"/>
          <w:b/>
        </w:rPr>
      </w:pPr>
      <w:r w:rsidRPr="00E95C5C">
        <w:rPr>
          <w:rFonts w:eastAsia="Times New Roman"/>
          <w:b/>
        </w:rPr>
        <w:t>PËR KËTO ARSYE,</w:t>
      </w:r>
    </w:p>
    <w:p w:rsidR="00372C5B" w:rsidRPr="00E95C5C" w:rsidRDefault="00372C5B" w:rsidP="00372C5B">
      <w:pPr>
        <w:tabs>
          <w:tab w:val="left" w:pos="1080"/>
        </w:tabs>
        <w:ind w:firstLine="720"/>
        <w:contextualSpacing/>
        <w:jc w:val="both"/>
        <w:rPr>
          <w:rFonts w:eastAsia="Times New Roman"/>
        </w:rPr>
      </w:pPr>
      <w:r w:rsidRPr="00E95C5C">
        <w:rPr>
          <w:rFonts w:eastAsia="Times New Roman"/>
        </w:rPr>
        <w:t>Kolegji i Gjykatës Kushtetuese të Republikës së Shqipërisë, në bazë të neneve 31 dhe 31/a, pikat 1 dhe 2, shkronja “d”, të ligjit nr. 8577, datë 10.02.2000 “Për organizimin dhe funksionimin e Gjykatës Kushtetuese të Republikës së Shqipërisë”, të ndryshuar,</w:t>
      </w:r>
    </w:p>
    <w:p w:rsidR="00372C5B" w:rsidRPr="00E95C5C" w:rsidRDefault="00372C5B" w:rsidP="00372C5B">
      <w:pPr>
        <w:pStyle w:val="ListParagraph"/>
        <w:tabs>
          <w:tab w:val="left" w:pos="1080"/>
        </w:tabs>
        <w:ind w:left="1440"/>
        <w:jc w:val="both"/>
        <w:rPr>
          <w:rFonts w:eastAsia="Times New Roman"/>
        </w:rPr>
      </w:pPr>
    </w:p>
    <w:p w:rsidR="00372C5B" w:rsidRPr="00E95C5C" w:rsidRDefault="00372C5B" w:rsidP="00372C5B">
      <w:pPr>
        <w:tabs>
          <w:tab w:val="left" w:pos="1080"/>
        </w:tabs>
        <w:contextualSpacing/>
        <w:jc w:val="center"/>
        <w:rPr>
          <w:rFonts w:eastAsia="Times New Roman"/>
          <w:b/>
          <w:u w:val="single"/>
        </w:rPr>
      </w:pPr>
      <w:r w:rsidRPr="00E95C5C">
        <w:rPr>
          <w:rFonts w:eastAsia="Times New Roman"/>
          <w:b/>
        </w:rPr>
        <w:t>V E N D O S I:</w:t>
      </w:r>
    </w:p>
    <w:p w:rsidR="00372C5B" w:rsidRDefault="00372C5B" w:rsidP="00372C5B">
      <w:pPr>
        <w:tabs>
          <w:tab w:val="left" w:pos="720"/>
        </w:tabs>
        <w:contextualSpacing/>
        <w:jc w:val="both"/>
        <w:rPr>
          <w:rFonts w:eastAsia="Times New Roman"/>
        </w:rPr>
      </w:pPr>
      <w:r w:rsidRPr="00E95C5C">
        <w:rPr>
          <w:rFonts w:eastAsia="Times New Roman"/>
        </w:rPr>
        <w:tab/>
      </w:r>
      <w:proofErr w:type="spellStart"/>
      <w:r w:rsidRPr="00E95C5C">
        <w:rPr>
          <w:rFonts w:eastAsia="Times New Roman"/>
        </w:rPr>
        <w:t>Moskalimin</w:t>
      </w:r>
      <w:proofErr w:type="spellEnd"/>
      <w:r w:rsidRPr="00E95C5C">
        <w:rPr>
          <w:rFonts w:eastAsia="Times New Roman"/>
        </w:rPr>
        <w:t xml:space="preserve"> e çështjes për shqyrtim në seancë plenare.</w:t>
      </w:r>
    </w:p>
    <w:p w:rsidR="009A1452" w:rsidRPr="00BC2111" w:rsidRDefault="009A1452" w:rsidP="00372C5B">
      <w:pPr>
        <w:tabs>
          <w:tab w:val="left" w:pos="851"/>
        </w:tabs>
        <w:rPr>
          <w:b/>
        </w:rPr>
      </w:pPr>
    </w:p>
    <w:sectPr w:rsidR="009A1452" w:rsidRPr="00BC2111" w:rsidSect="00FD00D6">
      <w:footerReference w:type="default" r:id="rId7"/>
      <w:footerReference w:type="first" r:id="rId8"/>
      <w:pgSz w:w="11906" w:h="16838"/>
      <w:pgMar w:top="426" w:right="1440" w:bottom="709"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78" w:rsidRDefault="00337E78" w:rsidP="005A6AA8">
      <w:pPr>
        <w:spacing w:line="240" w:lineRule="auto"/>
      </w:pPr>
      <w:r>
        <w:separator/>
      </w:r>
    </w:p>
  </w:endnote>
  <w:endnote w:type="continuationSeparator" w:id="0">
    <w:p w:rsidR="00337E78" w:rsidRDefault="00337E78" w:rsidP="005A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652014"/>
      <w:docPartObj>
        <w:docPartGallery w:val="Page Numbers (Bottom of Page)"/>
        <w:docPartUnique/>
      </w:docPartObj>
    </w:sdtPr>
    <w:sdtEndPr>
      <w:rPr>
        <w:noProof/>
      </w:rPr>
    </w:sdtEndPr>
    <w:sdtContent>
      <w:p w:rsidR="00DD1CA1" w:rsidRDefault="00DD1CA1" w:rsidP="00DD1CA1">
        <w:pPr>
          <w:pStyle w:val="Header"/>
        </w:pPr>
      </w:p>
      <w:p w:rsidR="00DD1CA1" w:rsidRPr="001C1419" w:rsidRDefault="00DD1CA1" w:rsidP="00DD1CA1">
        <w:pPr>
          <w:pBdr>
            <w:top w:val="thinThickSmallGap" w:sz="24" w:space="1" w:color="622423"/>
          </w:pBdr>
          <w:tabs>
            <w:tab w:val="center" w:pos="4680"/>
            <w:tab w:val="right" w:pos="9360"/>
          </w:tabs>
          <w:spacing w:line="240" w:lineRule="auto"/>
          <w:jc w:val="both"/>
          <w:rPr>
            <w:rFonts w:ascii="Cambria" w:hAnsi="Cambria"/>
          </w:rPr>
        </w:pPr>
        <w:r w:rsidRPr="001C1419">
          <w:rPr>
            <w:rFonts w:ascii="Cambria" w:hAnsi="Cambria"/>
          </w:rPr>
          <w:t>Vendim i Kolegjit</w:t>
        </w:r>
      </w:p>
      <w:p w:rsidR="00DD1CA1" w:rsidRPr="001C1419" w:rsidRDefault="00DD1CA1" w:rsidP="00DD1CA1">
        <w:pPr>
          <w:pBdr>
            <w:top w:val="thinThickSmallGap" w:sz="24" w:space="1" w:color="622423"/>
          </w:pBdr>
          <w:tabs>
            <w:tab w:val="right" w:pos="9360"/>
          </w:tabs>
          <w:spacing w:line="240" w:lineRule="auto"/>
          <w:jc w:val="both"/>
        </w:pPr>
        <w:r w:rsidRPr="001C1419">
          <w:rPr>
            <w:rFonts w:ascii="Cambria" w:hAnsi="Cambria"/>
          </w:rPr>
          <w:t xml:space="preserve">Kërkues: </w:t>
        </w:r>
        <w:r>
          <w:rPr>
            <w:rFonts w:ascii="Cambria" w:hAnsi="Cambria"/>
          </w:rPr>
          <w:t xml:space="preserve">Petrit </w:t>
        </w:r>
        <w:proofErr w:type="spellStart"/>
        <w:r>
          <w:rPr>
            <w:rFonts w:ascii="Cambria" w:hAnsi="Cambria"/>
          </w:rPr>
          <w:t>Bekteshi</w:t>
        </w:r>
        <w:proofErr w:type="spellEnd"/>
        <w:r w:rsidRPr="001C1419">
          <w:rPr>
            <w:rFonts w:ascii="Cambria" w:hAnsi="Cambria"/>
          </w:rPr>
          <w:tab/>
          <w:t xml:space="preserve">Faqe </w:t>
        </w:r>
        <w:r w:rsidRPr="001C1419">
          <w:fldChar w:fldCharType="begin"/>
        </w:r>
        <w:r w:rsidRPr="001C1419">
          <w:instrText xml:space="preserve"> PAGE   \* MERGEFORMAT </w:instrText>
        </w:r>
        <w:r w:rsidRPr="001C1419">
          <w:fldChar w:fldCharType="separate"/>
        </w:r>
        <w:r w:rsidR="00890879" w:rsidRPr="00890879">
          <w:rPr>
            <w:rFonts w:ascii="Cambria" w:hAnsi="Cambria"/>
            <w:noProof/>
          </w:rPr>
          <w:t>5</w:t>
        </w:r>
        <w:r w:rsidRPr="001C1419">
          <w:fldChar w:fldCharType="end"/>
        </w:r>
      </w:p>
      <w:p w:rsidR="0060300F" w:rsidRDefault="00337E78">
        <w:pPr>
          <w:pStyle w:val="Footer"/>
          <w:jc w:val="right"/>
        </w:pPr>
      </w:p>
    </w:sdtContent>
  </w:sdt>
  <w:p w:rsidR="0060300F" w:rsidRDefault="006030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FF" w:rsidRDefault="008910FF">
    <w:pPr>
      <w:pStyle w:val="Footer"/>
      <w:jc w:val="right"/>
    </w:pPr>
  </w:p>
  <w:p w:rsidR="008910FF" w:rsidRDefault="008910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78" w:rsidRDefault="00337E78" w:rsidP="005A6AA8">
      <w:pPr>
        <w:spacing w:line="240" w:lineRule="auto"/>
      </w:pPr>
      <w:r>
        <w:separator/>
      </w:r>
    </w:p>
  </w:footnote>
  <w:footnote w:type="continuationSeparator" w:id="0">
    <w:p w:rsidR="00337E78" w:rsidRDefault="00337E78" w:rsidP="005A6A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24B4F"/>
    <w:multiLevelType w:val="hybridMultilevel"/>
    <w:tmpl w:val="0A8E3324"/>
    <w:lvl w:ilvl="0" w:tplc="5E2C437A">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9D7AF3"/>
    <w:multiLevelType w:val="hybridMultilevel"/>
    <w:tmpl w:val="1B887590"/>
    <w:lvl w:ilvl="0" w:tplc="E896445A">
      <w:start w:val="1"/>
      <w:numFmt w:val="decimal"/>
      <w:lvlText w:val="6.%1."/>
      <w:lvlJc w:val="left"/>
      <w:pPr>
        <w:ind w:left="1440" w:hanging="360"/>
      </w:pPr>
      <w:rPr>
        <w:rFonts w:hint="default"/>
      </w:rPr>
    </w:lvl>
    <w:lvl w:ilvl="1" w:tplc="1DB2A0AA">
      <w:start w:val="1"/>
      <w:numFmt w:val="decimal"/>
      <w:lvlText w:val="6.3.%2."/>
      <w:lvlJc w:val="left"/>
      <w:pPr>
        <w:ind w:left="2160" w:hanging="360"/>
      </w:pPr>
      <w:rPr>
        <w:rFonts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455A14"/>
    <w:multiLevelType w:val="hybridMultilevel"/>
    <w:tmpl w:val="03B6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A8"/>
    <w:rsid w:val="00012FED"/>
    <w:rsid w:val="00022888"/>
    <w:rsid w:val="00035CE4"/>
    <w:rsid w:val="00072D76"/>
    <w:rsid w:val="000B13BE"/>
    <w:rsid w:val="000B4822"/>
    <w:rsid w:val="000B6E0F"/>
    <w:rsid w:val="000D6AE3"/>
    <w:rsid w:val="00103160"/>
    <w:rsid w:val="001428D7"/>
    <w:rsid w:val="00143F66"/>
    <w:rsid w:val="0016186C"/>
    <w:rsid w:val="0018464D"/>
    <w:rsid w:val="001A7071"/>
    <w:rsid w:val="001B1216"/>
    <w:rsid w:val="001B68C8"/>
    <w:rsid w:val="001D3810"/>
    <w:rsid w:val="001E4720"/>
    <w:rsid w:val="00232584"/>
    <w:rsid w:val="002642C8"/>
    <w:rsid w:val="00265E59"/>
    <w:rsid w:val="0027649C"/>
    <w:rsid w:val="002F3C67"/>
    <w:rsid w:val="003121A0"/>
    <w:rsid w:val="00330682"/>
    <w:rsid w:val="0033588A"/>
    <w:rsid w:val="00337E78"/>
    <w:rsid w:val="00372C5B"/>
    <w:rsid w:val="003739E3"/>
    <w:rsid w:val="00380CE5"/>
    <w:rsid w:val="003D53ED"/>
    <w:rsid w:val="0045218F"/>
    <w:rsid w:val="004A3305"/>
    <w:rsid w:val="004B7738"/>
    <w:rsid w:val="0051436C"/>
    <w:rsid w:val="00554C1B"/>
    <w:rsid w:val="005A610D"/>
    <w:rsid w:val="005A6AA8"/>
    <w:rsid w:val="005F49F3"/>
    <w:rsid w:val="0060300F"/>
    <w:rsid w:val="006228F6"/>
    <w:rsid w:val="00625B46"/>
    <w:rsid w:val="0066010B"/>
    <w:rsid w:val="006B5220"/>
    <w:rsid w:val="00737F94"/>
    <w:rsid w:val="007D140F"/>
    <w:rsid w:val="007F1171"/>
    <w:rsid w:val="007F36FB"/>
    <w:rsid w:val="0080678E"/>
    <w:rsid w:val="00823147"/>
    <w:rsid w:val="00874546"/>
    <w:rsid w:val="0087765C"/>
    <w:rsid w:val="00890879"/>
    <w:rsid w:val="008910FF"/>
    <w:rsid w:val="008960DF"/>
    <w:rsid w:val="008C7084"/>
    <w:rsid w:val="008C7401"/>
    <w:rsid w:val="008E4D78"/>
    <w:rsid w:val="00901304"/>
    <w:rsid w:val="00996D36"/>
    <w:rsid w:val="009A1452"/>
    <w:rsid w:val="00A805FF"/>
    <w:rsid w:val="00AD4CD2"/>
    <w:rsid w:val="00BB4FF8"/>
    <w:rsid w:val="00BB657B"/>
    <w:rsid w:val="00BC2111"/>
    <w:rsid w:val="00C35E60"/>
    <w:rsid w:val="00C35E7A"/>
    <w:rsid w:val="00C3678B"/>
    <w:rsid w:val="00D074FF"/>
    <w:rsid w:val="00D50E1A"/>
    <w:rsid w:val="00D56606"/>
    <w:rsid w:val="00D6242C"/>
    <w:rsid w:val="00D8581C"/>
    <w:rsid w:val="00D90D3B"/>
    <w:rsid w:val="00D958BC"/>
    <w:rsid w:val="00DB134C"/>
    <w:rsid w:val="00DD1CA1"/>
    <w:rsid w:val="00E234FA"/>
    <w:rsid w:val="00E342DD"/>
    <w:rsid w:val="00E3469A"/>
    <w:rsid w:val="00E35805"/>
    <w:rsid w:val="00E56A1B"/>
    <w:rsid w:val="00EA3740"/>
    <w:rsid w:val="00EA4FF7"/>
    <w:rsid w:val="00EE2197"/>
    <w:rsid w:val="00F12F95"/>
    <w:rsid w:val="00F30BCA"/>
    <w:rsid w:val="00F34A4D"/>
    <w:rsid w:val="00F3695C"/>
    <w:rsid w:val="00F53237"/>
    <w:rsid w:val="00F62744"/>
    <w:rsid w:val="00FA40DA"/>
    <w:rsid w:val="00FD00D6"/>
    <w:rsid w:val="00FD2E51"/>
    <w:rsid w:val="00FF2477"/>
    <w:rsid w:val="00FF51D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E7A7"/>
  <w15:chartTrackingRefBased/>
  <w15:docId w15:val="{21747786-1C69-486C-9AD1-C2543783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q-A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A8"/>
  </w:style>
  <w:style w:type="paragraph" w:styleId="Heading1">
    <w:name w:val="heading 1"/>
    <w:basedOn w:val="Normal"/>
    <w:next w:val="Normal"/>
    <w:link w:val="Heading1Char"/>
    <w:uiPriority w:val="9"/>
    <w:qFormat/>
    <w:rsid w:val="00E234F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60DF"/>
    <w:pPr>
      <w:spacing w:line="240" w:lineRule="auto"/>
    </w:pPr>
    <w:rPr>
      <w:sz w:val="20"/>
    </w:rPr>
  </w:style>
  <w:style w:type="character" w:customStyle="1" w:styleId="FootnoteTextChar">
    <w:name w:val="Footnote Text Char"/>
    <w:basedOn w:val="DefaultParagraphFont"/>
    <w:link w:val="FootnoteText"/>
    <w:uiPriority w:val="99"/>
    <w:semiHidden/>
    <w:rsid w:val="008960DF"/>
    <w:rPr>
      <w:sz w:val="20"/>
    </w:rPr>
  </w:style>
  <w:style w:type="paragraph" w:styleId="Header">
    <w:name w:val="header"/>
    <w:basedOn w:val="Normal"/>
    <w:link w:val="HeaderChar"/>
    <w:uiPriority w:val="99"/>
    <w:unhideWhenUsed/>
    <w:rsid w:val="00E234FA"/>
    <w:pPr>
      <w:tabs>
        <w:tab w:val="center" w:pos="4680"/>
        <w:tab w:val="right" w:pos="9360"/>
      </w:tabs>
    </w:pPr>
  </w:style>
  <w:style w:type="character" w:customStyle="1" w:styleId="HeaderChar">
    <w:name w:val="Header Char"/>
    <w:basedOn w:val="DefaultParagraphFont"/>
    <w:link w:val="Header"/>
    <w:uiPriority w:val="99"/>
    <w:rsid w:val="00E234FA"/>
  </w:style>
  <w:style w:type="paragraph" w:styleId="Footer">
    <w:name w:val="footer"/>
    <w:basedOn w:val="Normal"/>
    <w:link w:val="FooterChar"/>
    <w:uiPriority w:val="99"/>
    <w:unhideWhenUsed/>
    <w:rsid w:val="00E234FA"/>
    <w:pPr>
      <w:tabs>
        <w:tab w:val="center" w:pos="4680"/>
        <w:tab w:val="right" w:pos="9360"/>
      </w:tabs>
    </w:pPr>
  </w:style>
  <w:style w:type="character" w:customStyle="1" w:styleId="FooterChar">
    <w:name w:val="Footer Char"/>
    <w:basedOn w:val="DefaultParagraphFont"/>
    <w:link w:val="Footer"/>
    <w:uiPriority w:val="99"/>
    <w:rsid w:val="00E234FA"/>
  </w:style>
  <w:style w:type="character" w:styleId="FootnoteReference">
    <w:name w:val="footnote reference"/>
    <w:basedOn w:val="DefaultParagraphFont"/>
    <w:uiPriority w:val="99"/>
    <w:semiHidden/>
    <w:unhideWhenUsed/>
    <w:rsid w:val="00E234FA"/>
    <w:rPr>
      <w:rFonts w:ascii="Times New Roman" w:hAnsi="Times New Roman"/>
      <w:sz w:val="20"/>
      <w:vertAlign w:val="superscript"/>
    </w:rPr>
  </w:style>
  <w:style w:type="paragraph" w:styleId="BodyTextIndent">
    <w:name w:val="Body Text Indent"/>
    <w:basedOn w:val="Normal"/>
    <w:link w:val="BodyTextIndentChar"/>
    <w:uiPriority w:val="99"/>
    <w:unhideWhenUsed/>
    <w:rsid w:val="00E234FA"/>
    <w:pPr>
      <w:spacing w:after="120"/>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E234FA"/>
    <w:rPr>
      <w:rFonts w:ascii="Calibri" w:eastAsia="Calibri" w:hAnsi="Calibri"/>
      <w:sz w:val="22"/>
      <w:szCs w:val="22"/>
    </w:rPr>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E234FA"/>
    <w:pPr>
      <w:ind w:left="720"/>
      <w:contextualSpacing/>
    </w:p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E234FA"/>
  </w:style>
  <w:style w:type="character" w:customStyle="1" w:styleId="Heading1Char">
    <w:name w:val="Heading 1 Char"/>
    <w:basedOn w:val="DefaultParagraphFont"/>
    <w:link w:val="Heading1"/>
    <w:uiPriority w:val="9"/>
    <w:rsid w:val="00E234FA"/>
    <w:rPr>
      <w:b/>
    </w:rPr>
  </w:style>
  <w:style w:type="paragraph" w:styleId="BodyTextIndent2">
    <w:name w:val="Body Text Indent 2"/>
    <w:basedOn w:val="Normal"/>
    <w:link w:val="BodyTextIndent2Char"/>
    <w:uiPriority w:val="99"/>
    <w:unhideWhenUsed/>
    <w:rsid w:val="00E234FA"/>
    <w:pPr>
      <w:ind w:left="2880" w:hanging="2160"/>
      <w:jc w:val="both"/>
    </w:pPr>
    <w:rPr>
      <w:b/>
    </w:rPr>
  </w:style>
  <w:style w:type="character" w:customStyle="1" w:styleId="BodyTextIndent2Char">
    <w:name w:val="Body Text Indent 2 Char"/>
    <w:basedOn w:val="DefaultParagraphFont"/>
    <w:link w:val="BodyTextIndent2"/>
    <w:uiPriority w:val="99"/>
    <w:rsid w:val="00E234FA"/>
    <w:rPr>
      <w:b/>
    </w:rPr>
  </w:style>
  <w:style w:type="paragraph" w:styleId="BalloonText">
    <w:name w:val="Balloon Text"/>
    <w:basedOn w:val="Normal"/>
    <w:link w:val="BalloonTextChar"/>
    <w:uiPriority w:val="99"/>
    <w:semiHidden/>
    <w:unhideWhenUsed/>
    <w:rsid w:val="000D6A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PETRIT BEKTESHI</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Blerina</cp:lastModifiedBy>
  <cp:revision>3</cp:revision>
  <cp:lastPrinted>2022-07-29T10:53:00Z</cp:lastPrinted>
  <dcterms:created xsi:type="dcterms:W3CDTF">2022-07-29T10:53:00Z</dcterms:created>
  <dcterms:modified xsi:type="dcterms:W3CDTF">2022-07-29T12:11:00Z</dcterms:modified>
</cp:coreProperties>
</file>