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06" w:rsidRPr="00771327" w:rsidRDefault="00FD5106" w:rsidP="004C3D28">
      <w:pPr>
        <w:spacing w:after="0" w:line="360" w:lineRule="auto"/>
        <w:jc w:val="center"/>
        <w:rPr>
          <w:rFonts w:ascii="Times New Roman" w:hAnsi="Times New Roman"/>
          <w:b/>
          <w:sz w:val="24"/>
          <w:szCs w:val="24"/>
          <w:lang w:eastAsia="sq-AL"/>
        </w:rPr>
      </w:pPr>
      <w:r w:rsidRPr="00771327">
        <w:rPr>
          <w:rFonts w:ascii="Times New Roman" w:hAnsi="Times New Roman"/>
          <w:b/>
          <w:sz w:val="24"/>
          <w:szCs w:val="24"/>
          <w:lang w:eastAsia="sq-AL"/>
        </w:rPr>
        <w:t xml:space="preserve">  </w:t>
      </w:r>
      <w:r w:rsidR="004C3D28">
        <w:rPr>
          <w:rFonts w:ascii="Times New Roman" w:hAnsi="Times New Roman"/>
          <w:b/>
          <w:sz w:val="24"/>
          <w:szCs w:val="24"/>
          <w:lang w:eastAsia="sq-AL"/>
        </w:rPr>
        <w:t xml:space="preserve">Vendim nr. 138 </w:t>
      </w:r>
      <w:r w:rsidR="004C3D28" w:rsidRPr="004C3D28">
        <w:rPr>
          <w:rFonts w:ascii="Times New Roman" w:hAnsi="Times New Roman"/>
          <w:b/>
          <w:sz w:val="24"/>
          <w:szCs w:val="24"/>
        </w:rPr>
        <w:t>datë</w:t>
      </w:r>
      <w:r w:rsidR="004C3D28" w:rsidRPr="004C3D28">
        <w:rPr>
          <w:rFonts w:ascii="Times New Roman" w:hAnsi="Times New Roman"/>
          <w:b/>
          <w:sz w:val="24"/>
          <w:szCs w:val="24"/>
        </w:rPr>
        <w:t xml:space="preserve"> 14.10.2022</w:t>
      </w:r>
    </w:p>
    <w:p w:rsidR="00FD5106" w:rsidRPr="00771327" w:rsidRDefault="00FD5106" w:rsidP="00771327">
      <w:pPr>
        <w:spacing w:after="0" w:line="360" w:lineRule="auto"/>
        <w:ind w:firstLine="720"/>
        <w:jc w:val="center"/>
        <w:rPr>
          <w:rFonts w:ascii="Times New Roman" w:hAnsi="Times New Roman"/>
          <w:b/>
          <w:sz w:val="24"/>
          <w:szCs w:val="24"/>
          <w:lang w:eastAsia="sq-AL"/>
        </w:rPr>
      </w:pPr>
    </w:p>
    <w:p w:rsidR="00FD5106" w:rsidRPr="00771327" w:rsidRDefault="00FD5106" w:rsidP="00771327">
      <w:pPr>
        <w:tabs>
          <w:tab w:val="left" w:pos="0"/>
          <w:tab w:val="left" w:pos="720"/>
        </w:tabs>
        <w:spacing w:after="0" w:line="360" w:lineRule="auto"/>
        <w:ind w:firstLine="720"/>
        <w:rPr>
          <w:rFonts w:ascii="Times New Roman" w:hAnsi="Times New Roman"/>
          <w:sz w:val="24"/>
          <w:szCs w:val="24"/>
        </w:rPr>
      </w:pPr>
      <w:r w:rsidRPr="00771327">
        <w:rPr>
          <w:rFonts w:ascii="Times New Roman" w:hAnsi="Times New Roman"/>
          <w:sz w:val="24"/>
          <w:szCs w:val="24"/>
        </w:rPr>
        <w:t>Kolegji i Gjykatës Kushtetuese të Republikës së Shqipërisë, i përbërë nga:</w:t>
      </w:r>
    </w:p>
    <w:p w:rsidR="00FD5106" w:rsidRPr="00771327" w:rsidRDefault="00FD5106" w:rsidP="00771327">
      <w:pPr>
        <w:spacing w:after="0" w:line="360" w:lineRule="auto"/>
        <w:ind w:firstLine="720"/>
        <w:rPr>
          <w:rFonts w:ascii="Times New Roman" w:hAnsi="Times New Roman"/>
          <w:bCs/>
          <w:sz w:val="24"/>
          <w:szCs w:val="24"/>
        </w:rPr>
      </w:pPr>
    </w:p>
    <w:p w:rsidR="00FD5106" w:rsidRPr="00771327" w:rsidRDefault="00FD5106" w:rsidP="00771327">
      <w:pPr>
        <w:spacing w:after="0" w:line="360" w:lineRule="auto"/>
        <w:ind w:left="2160" w:firstLine="720"/>
        <w:rPr>
          <w:rFonts w:ascii="Times New Roman" w:hAnsi="Times New Roman"/>
          <w:bCs/>
          <w:sz w:val="24"/>
          <w:szCs w:val="24"/>
        </w:rPr>
      </w:pPr>
      <w:r w:rsidRPr="00771327">
        <w:rPr>
          <w:rFonts w:ascii="Times New Roman" w:hAnsi="Times New Roman"/>
          <w:bCs/>
          <w:sz w:val="24"/>
          <w:szCs w:val="24"/>
        </w:rPr>
        <w:t>Marsida Xhaferllari,</w:t>
      </w:r>
      <w:r w:rsidRPr="00771327">
        <w:rPr>
          <w:rFonts w:ascii="Times New Roman" w:hAnsi="Times New Roman"/>
          <w:bCs/>
          <w:sz w:val="24"/>
          <w:szCs w:val="24"/>
        </w:rPr>
        <w:tab/>
        <w:t xml:space="preserve">Anëtare </w:t>
      </w:r>
    </w:p>
    <w:p w:rsidR="00FD5106" w:rsidRPr="00771327" w:rsidRDefault="00FD5106" w:rsidP="00771327">
      <w:pPr>
        <w:spacing w:after="0" w:line="360" w:lineRule="auto"/>
        <w:ind w:left="2160" w:firstLine="720"/>
        <w:rPr>
          <w:rFonts w:ascii="Times New Roman" w:hAnsi="Times New Roman"/>
          <w:bCs/>
          <w:sz w:val="24"/>
          <w:szCs w:val="24"/>
        </w:rPr>
      </w:pPr>
      <w:r w:rsidRPr="00771327">
        <w:rPr>
          <w:rFonts w:ascii="Times New Roman" w:hAnsi="Times New Roman"/>
          <w:bCs/>
          <w:sz w:val="24"/>
          <w:szCs w:val="24"/>
        </w:rPr>
        <w:t>Ilir Toska,</w:t>
      </w:r>
      <w:r w:rsidRPr="00771327">
        <w:rPr>
          <w:rFonts w:ascii="Times New Roman" w:hAnsi="Times New Roman"/>
          <w:bCs/>
          <w:sz w:val="24"/>
          <w:szCs w:val="24"/>
        </w:rPr>
        <w:tab/>
      </w:r>
      <w:r w:rsidRPr="00771327">
        <w:rPr>
          <w:rFonts w:ascii="Times New Roman" w:hAnsi="Times New Roman"/>
          <w:bCs/>
          <w:sz w:val="24"/>
          <w:szCs w:val="24"/>
        </w:rPr>
        <w:tab/>
        <w:t>Anëtar</w:t>
      </w:r>
    </w:p>
    <w:p w:rsidR="00FD5106" w:rsidRPr="00771327" w:rsidRDefault="00FD5106" w:rsidP="00771327">
      <w:pPr>
        <w:spacing w:after="0" w:line="360" w:lineRule="auto"/>
        <w:ind w:left="2160" w:firstLine="720"/>
        <w:rPr>
          <w:rFonts w:ascii="Times New Roman" w:hAnsi="Times New Roman"/>
          <w:bCs/>
          <w:sz w:val="24"/>
          <w:szCs w:val="24"/>
        </w:rPr>
      </w:pPr>
      <w:r w:rsidRPr="00771327">
        <w:rPr>
          <w:rFonts w:ascii="Times New Roman" w:hAnsi="Times New Roman"/>
          <w:bCs/>
          <w:sz w:val="24"/>
          <w:szCs w:val="24"/>
        </w:rPr>
        <w:t>Fiona Papajorgji,</w:t>
      </w:r>
      <w:r w:rsidRPr="00771327">
        <w:rPr>
          <w:rFonts w:ascii="Times New Roman" w:hAnsi="Times New Roman"/>
          <w:bCs/>
          <w:sz w:val="24"/>
          <w:szCs w:val="24"/>
        </w:rPr>
        <w:tab/>
        <w:t>Anëtare</w:t>
      </w:r>
    </w:p>
    <w:p w:rsidR="00FD5106" w:rsidRPr="00771327" w:rsidRDefault="00FD5106" w:rsidP="00771327">
      <w:pPr>
        <w:spacing w:after="0" w:line="360" w:lineRule="auto"/>
        <w:ind w:firstLine="720"/>
        <w:jc w:val="both"/>
        <w:rPr>
          <w:rFonts w:ascii="Times New Roman" w:hAnsi="Times New Roman"/>
          <w:sz w:val="24"/>
          <w:szCs w:val="24"/>
        </w:rPr>
      </w:pPr>
    </w:p>
    <w:p w:rsidR="00FD5106" w:rsidRPr="00771327" w:rsidRDefault="00FD5106" w:rsidP="00771327">
      <w:pPr>
        <w:spacing w:after="0" w:line="360" w:lineRule="auto"/>
        <w:ind w:firstLine="720"/>
        <w:jc w:val="both"/>
        <w:rPr>
          <w:rFonts w:ascii="Times New Roman" w:hAnsi="Times New Roman"/>
          <w:sz w:val="24"/>
          <w:szCs w:val="24"/>
        </w:rPr>
      </w:pPr>
      <w:r w:rsidRPr="00771327">
        <w:rPr>
          <w:rFonts w:ascii="Times New Roman" w:hAnsi="Times New Roman"/>
          <w:sz w:val="24"/>
          <w:szCs w:val="24"/>
        </w:rPr>
        <w:t xml:space="preserve">në datën </w:t>
      </w:r>
      <w:r w:rsidR="003F0094">
        <w:rPr>
          <w:rFonts w:ascii="Times New Roman" w:hAnsi="Times New Roman"/>
          <w:sz w:val="24"/>
          <w:szCs w:val="24"/>
        </w:rPr>
        <w:t>14</w:t>
      </w:r>
      <w:r w:rsidRPr="00771327">
        <w:rPr>
          <w:rFonts w:ascii="Times New Roman" w:hAnsi="Times New Roman"/>
          <w:sz w:val="24"/>
          <w:szCs w:val="24"/>
        </w:rPr>
        <w:t>.10.2022 mori në shqyrtim paraprak kërkesën nr. 18 (A) 2022 të Regjistrit Themeltar, që i përket:</w:t>
      </w:r>
    </w:p>
    <w:p w:rsidR="00FD5106" w:rsidRPr="00771327" w:rsidRDefault="00FD5106" w:rsidP="00771327">
      <w:pPr>
        <w:spacing w:after="0" w:line="360" w:lineRule="auto"/>
        <w:ind w:firstLine="720"/>
        <w:rPr>
          <w:rFonts w:ascii="Times New Roman" w:eastAsia="MS Mincho" w:hAnsi="Times New Roman"/>
          <w:b/>
          <w:sz w:val="24"/>
          <w:szCs w:val="24"/>
        </w:rPr>
      </w:pPr>
    </w:p>
    <w:p w:rsidR="00FD5106" w:rsidRPr="00771327" w:rsidRDefault="00FD5106" w:rsidP="00771327">
      <w:pPr>
        <w:spacing w:after="0" w:line="360" w:lineRule="auto"/>
        <w:ind w:left="2880" w:hanging="2340"/>
        <w:jc w:val="both"/>
        <w:rPr>
          <w:rFonts w:ascii="Times New Roman" w:hAnsi="Times New Roman"/>
          <w:b/>
          <w:sz w:val="24"/>
          <w:szCs w:val="24"/>
        </w:rPr>
      </w:pPr>
      <w:r w:rsidRPr="00771327">
        <w:rPr>
          <w:rFonts w:ascii="Times New Roman" w:eastAsia="MS Mincho" w:hAnsi="Times New Roman"/>
          <w:b/>
          <w:sz w:val="24"/>
          <w:szCs w:val="24"/>
        </w:rPr>
        <w:t>KËRKUES:</w:t>
      </w:r>
      <w:r w:rsidRPr="00771327">
        <w:rPr>
          <w:rFonts w:ascii="Times New Roman" w:eastAsia="MS Mincho" w:hAnsi="Times New Roman"/>
          <w:b/>
          <w:sz w:val="24"/>
          <w:szCs w:val="24"/>
        </w:rPr>
        <w:tab/>
        <w:t>ANDREA CACA</w:t>
      </w:r>
    </w:p>
    <w:p w:rsidR="00FD5106" w:rsidRPr="00771327" w:rsidRDefault="00FD5106" w:rsidP="00771327">
      <w:pPr>
        <w:spacing w:after="0" w:line="360" w:lineRule="auto"/>
        <w:ind w:left="3600" w:hanging="2880"/>
        <w:jc w:val="both"/>
        <w:rPr>
          <w:rFonts w:ascii="Times New Roman" w:eastAsia="MS Mincho" w:hAnsi="Times New Roman"/>
          <w:b/>
          <w:sz w:val="24"/>
          <w:szCs w:val="24"/>
        </w:rPr>
      </w:pPr>
    </w:p>
    <w:p w:rsidR="00FD5106" w:rsidRPr="00771327" w:rsidRDefault="00FD5106" w:rsidP="00771327">
      <w:pPr>
        <w:spacing w:after="0" w:line="360" w:lineRule="auto"/>
        <w:ind w:left="2880" w:hanging="2340"/>
        <w:jc w:val="both"/>
        <w:rPr>
          <w:rFonts w:ascii="Times New Roman" w:eastAsia="MS Mincho" w:hAnsi="Times New Roman"/>
          <w:b/>
          <w:sz w:val="24"/>
          <w:szCs w:val="24"/>
        </w:rPr>
      </w:pPr>
      <w:r w:rsidRPr="00771327">
        <w:rPr>
          <w:rFonts w:ascii="Times New Roman" w:eastAsia="MS Mincho" w:hAnsi="Times New Roman"/>
          <w:b/>
          <w:sz w:val="24"/>
          <w:szCs w:val="24"/>
        </w:rPr>
        <w:t xml:space="preserve">OBJEKTI: </w:t>
      </w:r>
      <w:r w:rsidRPr="00771327">
        <w:rPr>
          <w:rFonts w:ascii="Times New Roman" w:eastAsia="MS Mincho" w:hAnsi="Times New Roman"/>
          <w:b/>
          <w:sz w:val="24"/>
          <w:szCs w:val="24"/>
        </w:rPr>
        <w:tab/>
        <w:t xml:space="preserve">Shfuqizimi i vendimeve nr. 69, datë 11.11.2021 të Gjykatës së Posaçme të Shkallës së Parë për Korrupsionin dhe Krimin e Organizuar; nr. 29, datë 18.05.2022 të Gjykatës së Posaçme të Apelit për Korrupsionin dhe Krimin e Organizuar, si të papajtueshme me Kushtetutën e Republikës së Shqipërisë. </w:t>
      </w:r>
    </w:p>
    <w:p w:rsidR="00FD5106" w:rsidRPr="00771327" w:rsidRDefault="00FD5106" w:rsidP="00771327">
      <w:pPr>
        <w:suppressAutoHyphens/>
        <w:spacing w:after="0" w:line="360" w:lineRule="auto"/>
        <w:ind w:left="2970" w:hanging="2250"/>
        <w:jc w:val="both"/>
        <w:outlineLvl w:val="0"/>
        <w:rPr>
          <w:rFonts w:ascii="Times New Roman" w:eastAsia="MS Mincho" w:hAnsi="Times New Roman"/>
          <w:b/>
          <w:sz w:val="24"/>
          <w:szCs w:val="24"/>
        </w:rPr>
      </w:pPr>
    </w:p>
    <w:p w:rsidR="00FD5106" w:rsidRPr="00771327" w:rsidRDefault="00FD5106" w:rsidP="00771327">
      <w:pPr>
        <w:spacing w:after="0" w:line="360" w:lineRule="auto"/>
        <w:ind w:left="2880" w:hanging="2340"/>
        <w:jc w:val="both"/>
        <w:rPr>
          <w:rFonts w:ascii="Times New Roman" w:eastAsia="MS Mincho" w:hAnsi="Times New Roman"/>
          <w:sz w:val="24"/>
          <w:szCs w:val="24"/>
        </w:rPr>
      </w:pPr>
      <w:r w:rsidRPr="00771327">
        <w:rPr>
          <w:rFonts w:ascii="Times New Roman" w:eastAsia="MS Mincho" w:hAnsi="Times New Roman"/>
          <w:b/>
          <w:sz w:val="24"/>
          <w:szCs w:val="24"/>
        </w:rPr>
        <w:t xml:space="preserve">BAZA LIGJORE: </w:t>
      </w:r>
      <w:r w:rsidRPr="00771327">
        <w:rPr>
          <w:rFonts w:ascii="Times New Roman" w:eastAsia="MS Mincho" w:hAnsi="Times New Roman"/>
          <w:b/>
          <w:sz w:val="24"/>
          <w:szCs w:val="24"/>
        </w:rPr>
        <w:tab/>
      </w:r>
      <w:r w:rsidRPr="00771327">
        <w:rPr>
          <w:rFonts w:ascii="Times New Roman" w:eastAsia="MS Mincho" w:hAnsi="Times New Roman"/>
          <w:sz w:val="24"/>
          <w:szCs w:val="24"/>
        </w:rPr>
        <w:t>Nenet 131, shkronja “f” dhe 134, pika 1, shkronja “i”</w:t>
      </w:r>
      <w:r w:rsidR="006A1C57">
        <w:rPr>
          <w:rFonts w:ascii="Times New Roman" w:eastAsia="MS Mincho" w:hAnsi="Times New Roman"/>
          <w:sz w:val="24"/>
          <w:szCs w:val="24"/>
        </w:rPr>
        <w:t>,</w:t>
      </w:r>
      <w:r w:rsidRPr="00771327">
        <w:rPr>
          <w:rFonts w:ascii="Times New Roman" w:eastAsia="MS Mincho" w:hAnsi="Times New Roman"/>
          <w:sz w:val="24"/>
          <w:szCs w:val="24"/>
        </w:rPr>
        <w:t xml:space="preserve"> të Kushtetutës së Republikës së Shqipërisë; </w:t>
      </w:r>
      <w:r w:rsidRPr="00771327">
        <w:rPr>
          <w:rFonts w:ascii="Times New Roman" w:hAnsi="Times New Roman"/>
          <w:sz w:val="24"/>
          <w:szCs w:val="24"/>
        </w:rPr>
        <w:t>neni 6, pikat 1 dhe 3, shkronja “d”</w:t>
      </w:r>
      <w:r w:rsidR="00E713FD">
        <w:rPr>
          <w:rFonts w:ascii="Times New Roman" w:hAnsi="Times New Roman"/>
          <w:sz w:val="24"/>
          <w:szCs w:val="24"/>
        </w:rPr>
        <w:t>,</w:t>
      </w:r>
      <w:r w:rsidRPr="00771327">
        <w:rPr>
          <w:rFonts w:ascii="Times New Roman" w:hAnsi="Times New Roman"/>
          <w:sz w:val="24"/>
          <w:szCs w:val="24"/>
        </w:rPr>
        <w:t xml:space="preserve"> të Konventës Evropiane për të Drejtat e Njeriut (</w:t>
      </w:r>
      <w:r w:rsidRPr="00771327">
        <w:rPr>
          <w:rFonts w:ascii="Times New Roman" w:hAnsi="Times New Roman"/>
          <w:i/>
          <w:sz w:val="24"/>
          <w:szCs w:val="24"/>
        </w:rPr>
        <w:t>KEDNJ</w:t>
      </w:r>
      <w:r w:rsidRPr="00771327">
        <w:rPr>
          <w:rFonts w:ascii="Times New Roman" w:hAnsi="Times New Roman"/>
          <w:sz w:val="24"/>
          <w:szCs w:val="24"/>
        </w:rPr>
        <w:t xml:space="preserve">); </w:t>
      </w:r>
      <w:r w:rsidRPr="00771327">
        <w:rPr>
          <w:rFonts w:ascii="Times New Roman" w:hAnsi="Times New Roman"/>
          <w:sz w:val="24"/>
          <w:szCs w:val="24"/>
          <w:lang w:eastAsia="sq-AL"/>
        </w:rPr>
        <w:t>ligji nr. 8577, datë 10.02.2000 “</w:t>
      </w:r>
      <w:r w:rsidRPr="00771327">
        <w:rPr>
          <w:rFonts w:ascii="Times New Roman" w:hAnsi="Times New Roman"/>
          <w:iCs/>
          <w:sz w:val="24"/>
          <w:szCs w:val="24"/>
          <w:lang w:eastAsia="sq-AL"/>
        </w:rPr>
        <w:t>Për organizimin dhe funksionimin e Gjykatës Kushtetuese të Republikës së Shqipërisë</w:t>
      </w:r>
      <w:r w:rsidRPr="00771327">
        <w:rPr>
          <w:rFonts w:ascii="Times New Roman" w:hAnsi="Times New Roman"/>
          <w:sz w:val="24"/>
          <w:szCs w:val="24"/>
          <w:lang w:eastAsia="sq-AL"/>
        </w:rPr>
        <w:t>”, i ndryshuar (</w:t>
      </w:r>
      <w:r w:rsidRPr="00771327">
        <w:rPr>
          <w:rFonts w:ascii="Times New Roman" w:hAnsi="Times New Roman"/>
          <w:i/>
          <w:sz w:val="24"/>
          <w:szCs w:val="24"/>
          <w:lang w:eastAsia="sq-AL"/>
        </w:rPr>
        <w:t>ligji nr. 8577/2000</w:t>
      </w:r>
      <w:r w:rsidRPr="00771327">
        <w:rPr>
          <w:rFonts w:ascii="Times New Roman" w:hAnsi="Times New Roman"/>
          <w:sz w:val="24"/>
          <w:szCs w:val="24"/>
          <w:lang w:eastAsia="sq-AL"/>
        </w:rPr>
        <w:t>)</w:t>
      </w:r>
      <w:r w:rsidRPr="00771327">
        <w:rPr>
          <w:rFonts w:ascii="Times New Roman" w:eastAsia="MS Mincho" w:hAnsi="Times New Roman"/>
          <w:sz w:val="24"/>
          <w:szCs w:val="24"/>
        </w:rPr>
        <w:t>.</w:t>
      </w:r>
    </w:p>
    <w:p w:rsidR="00FD5106" w:rsidRPr="00771327" w:rsidRDefault="00FD5106" w:rsidP="00771327">
      <w:pPr>
        <w:spacing w:after="0" w:line="360" w:lineRule="auto"/>
        <w:ind w:left="2880" w:hanging="2340"/>
        <w:jc w:val="both"/>
        <w:rPr>
          <w:rFonts w:ascii="Times New Roman" w:eastAsia="MS Mincho" w:hAnsi="Times New Roman"/>
          <w:sz w:val="24"/>
          <w:szCs w:val="24"/>
        </w:rPr>
      </w:pPr>
    </w:p>
    <w:p w:rsidR="00FD5106" w:rsidRPr="00771327" w:rsidRDefault="00FD5106" w:rsidP="00771327">
      <w:pPr>
        <w:tabs>
          <w:tab w:val="left" w:pos="1080"/>
        </w:tabs>
        <w:suppressAutoHyphens/>
        <w:spacing w:after="0" w:line="360" w:lineRule="auto"/>
        <w:ind w:firstLine="720"/>
        <w:contextualSpacing/>
        <w:jc w:val="both"/>
        <w:outlineLvl w:val="0"/>
        <w:rPr>
          <w:rFonts w:ascii="Times New Roman" w:eastAsia="Times New Roman" w:hAnsi="Times New Roman"/>
          <w:sz w:val="24"/>
          <w:szCs w:val="24"/>
          <w:lang w:eastAsia="fr-FR"/>
        </w:rPr>
      </w:pPr>
      <w:r w:rsidRPr="00771327">
        <w:rPr>
          <w:rFonts w:ascii="Times New Roman" w:eastAsia="Times New Roman" w:hAnsi="Times New Roman"/>
          <w:sz w:val="24"/>
          <w:szCs w:val="24"/>
          <w:lang w:eastAsia="fr-FR"/>
        </w:rPr>
        <w:t xml:space="preserve">Kolegji i Gjykatës Kushtetuese </w:t>
      </w:r>
      <w:r w:rsidRPr="00771327">
        <w:rPr>
          <w:rFonts w:ascii="Times New Roman" w:eastAsia="Times New Roman" w:hAnsi="Times New Roman"/>
          <w:sz w:val="24"/>
          <w:szCs w:val="24"/>
        </w:rPr>
        <w:t>(</w:t>
      </w:r>
      <w:r w:rsidRPr="00771327">
        <w:rPr>
          <w:rFonts w:ascii="Times New Roman" w:eastAsia="Times New Roman" w:hAnsi="Times New Roman"/>
          <w:i/>
          <w:sz w:val="24"/>
          <w:szCs w:val="24"/>
        </w:rPr>
        <w:t>Kolegji</w:t>
      </w:r>
      <w:r w:rsidRPr="00771327">
        <w:rPr>
          <w:rFonts w:ascii="Times New Roman" w:eastAsia="Times New Roman" w:hAnsi="Times New Roman"/>
          <w:sz w:val="24"/>
          <w:szCs w:val="24"/>
        </w:rPr>
        <w:t>)</w:t>
      </w:r>
      <w:r w:rsidRPr="00771327">
        <w:rPr>
          <w:rFonts w:ascii="Times New Roman" w:eastAsia="Times New Roman" w:hAnsi="Times New Roman"/>
          <w:sz w:val="24"/>
          <w:szCs w:val="24"/>
          <w:lang w:eastAsia="fr-FR"/>
        </w:rPr>
        <w:t xml:space="preserve">, pasi </w:t>
      </w:r>
      <w:r w:rsidRPr="00771327">
        <w:rPr>
          <w:rFonts w:ascii="Times New Roman" w:hAnsi="Times New Roman"/>
          <w:sz w:val="24"/>
          <w:szCs w:val="24"/>
        </w:rPr>
        <w:t xml:space="preserve">dëgjoi relatoren e çështjes </w:t>
      </w:r>
      <w:r w:rsidR="00771327">
        <w:rPr>
          <w:rFonts w:ascii="Times New Roman" w:hAnsi="Times New Roman"/>
          <w:sz w:val="24"/>
          <w:szCs w:val="24"/>
        </w:rPr>
        <w:t>Fiona Papajorgji</w:t>
      </w:r>
      <w:r w:rsidRPr="00771327">
        <w:rPr>
          <w:rFonts w:ascii="Times New Roman" w:eastAsia="Times New Roman" w:hAnsi="Times New Roman"/>
          <w:sz w:val="24"/>
          <w:szCs w:val="24"/>
          <w:lang w:eastAsia="fr-FR"/>
        </w:rPr>
        <w:t>, shqyrtoi kërkesën, dokumentet shoqëruese dhe diskutoi çështjen në tërësi,</w:t>
      </w:r>
    </w:p>
    <w:p w:rsidR="00FD5106" w:rsidRPr="00771327" w:rsidRDefault="00FD5106" w:rsidP="00771327">
      <w:pPr>
        <w:tabs>
          <w:tab w:val="left" w:pos="1080"/>
        </w:tabs>
        <w:spacing w:after="0" w:line="360" w:lineRule="auto"/>
        <w:contextualSpacing/>
        <w:jc w:val="center"/>
        <w:rPr>
          <w:rFonts w:ascii="Times New Roman" w:eastAsia="Times New Roman" w:hAnsi="Times New Roman"/>
          <w:sz w:val="24"/>
          <w:szCs w:val="24"/>
          <w:lang w:eastAsia="fr-FR"/>
        </w:rPr>
      </w:pPr>
    </w:p>
    <w:p w:rsidR="00FD5106" w:rsidRPr="00771327" w:rsidRDefault="00FD5106" w:rsidP="00771327">
      <w:pPr>
        <w:tabs>
          <w:tab w:val="left" w:pos="1080"/>
        </w:tabs>
        <w:spacing w:after="0" w:line="360" w:lineRule="auto"/>
        <w:contextualSpacing/>
        <w:jc w:val="center"/>
        <w:rPr>
          <w:rFonts w:ascii="Times New Roman" w:eastAsia="Times New Roman" w:hAnsi="Times New Roman"/>
          <w:b/>
          <w:sz w:val="24"/>
          <w:szCs w:val="24"/>
        </w:rPr>
      </w:pPr>
      <w:r w:rsidRPr="00771327">
        <w:rPr>
          <w:rFonts w:ascii="Times New Roman" w:eastAsia="Times New Roman" w:hAnsi="Times New Roman"/>
          <w:b/>
          <w:bCs/>
          <w:sz w:val="24"/>
          <w:szCs w:val="24"/>
        </w:rPr>
        <w:t>V Ë R E N:</w:t>
      </w:r>
    </w:p>
    <w:p w:rsidR="00FD5106" w:rsidRPr="00771327" w:rsidRDefault="00FD5106" w:rsidP="00771327">
      <w:pPr>
        <w:spacing w:after="0" w:line="360" w:lineRule="auto"/>
        <w:ind w:left="2970" w:hanging="2970"/>
        <w:contextualSpacing/>
        <w:jc w:val="center"/>
        <w:rPr>
          <w:rFonts w:ascii="Times New Roman" w:eastAsia="Times New Roman" w:hAnsi="Times New Roman"/>
          <w:b/>
          <w:sz w:val="24"/>
          <w:szCs w:val="24"/>
        </w:rPr>
      </w:pPr>
      <w:r w:rsidRPr="00771327">
        <w:rPr>
          <w:rFonts w:ascii="Times New Roman" w:eastAsia="Times New Roman" w:hAnsi="Times New Roman"/>
          <w:b/>
          <w:sz w:val="24"/>
          <w:szCs w:val="24"/>
        </w:rPr>
        <w:t>I</w:t>
      </w:r>
    </w:p>
    <w:p w:rsidR="00FD5106" w:rsidRPr="00771327" w:rsidRDefault="00FD5106" w:rsidP="00771327">
      <w:pPr>
        <w:spacing w:after="0" w:line="360" w:lineRule="auto"/>
        <w:ind w:left="2970" w:hanging="2970"/>
        <w:contextualSpacing/>
        <w:jc w:val="center"/>
        <w:rPr>
          <w:rFonts w:ascii="Times New Roman" w:eastAsia="MS Mincho" w:hAnsi="Times New Roman"/>
          <w:b/>
          <w:sz w:val="24"/>
          <w:szCs w:val="24"/>
        </w:rPr>
      </w:pPr>
      <w:r w:rsidRPr="00771327">
        <w:rPr>
          <w:rFonts w:ascii="Times New Roman" w:eastAsia="Times New Roman" w:hAnsi="Times New Roman"/>
          <w:b/>
          <w:sz w:val="24"/>
          <w:szCs w:val="24"/>
        </w:rPr>
        <w:t>Rrethanat e çështjes</w:t>
      </w:r>
    </w:p>
    <w:p w:rsidR="00FD5106" w:rsidRPr="00771327" w:rsidRDefault="00FD5106" w:rsidP="00771327">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sidRPr="00771327">
        <w:rPr>
          <w:rFonts w:ascii="Times New Roman" w:hAnsi="Times New Roman"/>
          <w:sz w:val="24"/>
          <w:szCs w:val="24"/>
        </w:rPr>
        <w:t>Prokuroria pranë Gjykatës së Rrethit Gjyqësor Durrës ka regjistruar procedimin penal nr. 2795, datë 17.12.2018 ndaj kërkuesit Andrea Caca dhe disa persona</w:t>
      </w:r>
      <w:r w:rsidR="00E713FD">
        <w:rPr>
          <w:rFonts w:ascii="Times New Roman" w:hAnsi="Times New Roman"/>
          <w:sz w:val="24"/>
          <w:szCs w:val="24"/>
        </w:rPr>
        <w:t>ve</w:t>
      </w:r>
      <w:r w:rsidRPr="00771327">
        <w:rPr>
          <w:rFonts w:ascii="Times New Roman" w:hAnsi="Times New Roman"/>
          <w:sz w:val="24"/>
          <w:szCs w:val="24"/>
        </w:rPr>
        <w:t xml:space="preserve"> t</w:t>
      </w:r>
      <w:r w:rsidR="00771327">
        <w:rPr>
          <w:rFonts w:ascii="Times New Roman" w:hAnsi="Times New Roman"/>
          <w:sz w:val="24"/>
          <w:szCs w:val="24"/>
        </w:rPr>
        <w:t>ë</w:t>
      </w:r>
      <w:r w:rsidRPr="00771327">
        <w:rPr>
          <w:rFonts w:ascii="Times New Roman" w:hAnsi="Times New Roman"/>
          <w:sz w:val="24"/>
          <w:szCs w:val="24"/>
        </w:rPr>
        <w:t xml:space="preserve"> tjer</w:t>
      </w:r>
      <w:r w:rsidR="00771327">
        <w:rPr>
          <w:rFonts w:ascii="Times New Roman" w:hAnsi="Times New Roman"/>
          <w:sz w:val="24"/>
          <w:szCs w:val="24"/>
        </w:rPr>
        <w:t>ë</w:t>
      </w:r>
      <w:r w:rsidRPr="00771327">
        <w:rPr>
          <w:rFonts w:ascii="Times New Roman" w:hAnsi="Times New Roman"/>
          <w:sz w:val="24"/>
          <w:szCs w:val="24"/>
        </w:rPr>
        <w:t xml:space="preserve"> për kryerjen e veprës penale “Prodhimi dhe shitja e narkotikëve”, </w:t>
      </w:r>
      <w:r w:rsidR="00E713FD">
        <w:rPr>
          <w:rFonts w:ascii="Times New Roman" w:hAnsi="Times New Roman"/>
          <w:sz w:val="24"/>
          <w:szCs w:val="24"/>
        </w:rPr>
        <w:t>t</w:t>
      </w:r>
      <w:r w:rsidR="00D13DB1">
        <w:rPr>
          <w:rFonts w:ascii="Times New Roman" w:hAnsi="Times New Roman"/>
          <w:sz w:val="24"/>
          <w:szCs w:val="24"/>
        </w:rPr>
        <w:t>ë</w:t>
      </w:r>
      <w:r w:rsidRPr="00771327">
        <w:rPr>
          <w:rFonts w:ascii="Times New Roman" w:hAnsi="Times New Roman"/>
          <w:sz w:val="24"/>
          <w:szCs w:val="24"/>
        </w:rPr>
        <w:t xml:space="preserve"> parashikuar nga neni 283/2 </w:t>
      </w:r>
      <w:r w:rsidR="00E713FD">
        <w:rPr>
          <w:rFonts w:ascii="Times New Roman" w:hAnsi="Times New Roman"/>
          <w:sz w:val="24"/>
          <w:szCs w:val="24"/>
        </w:rPr>
        <w:t>i</w:t>
      </w:r>
      <w:r w:rsidRPr="00771327">
        <w:rPr>
          <w:rFonts w:ascii="Times New Roman" w:hAnsi="Times New Roman"/>
          <w:sz w:val="24"/>
          <w:szCs w:val="24"/>
        </w:rPr>
        <w:t xml:space="preserve"> Kodit Penal (</w:t>
      </w:r>
      <w:r w:rsidRPr="00771327">
        <w:rPr>
          <w:rFonts w:ascii="Times New Roman" w:hAnsi="Times New Roman"/>
          <w:i/>
          <w:sz w:val="24"/>
          <w:szCs w:val="24"/>
        </w:rPr>
        <w:t>KP</w:t>
      </w:r>
      <w:r w:rsidRPr="00771327">
        <w:rPr>
          <w:rFonts w:ascii="Times New Roman" w:hAnsi="Times New Roman"/>
          <w:sz w:val="24"/>
          <w:szCs w:val="24"/>
        </w:rPr>
        <w:t xml:space="preserve">). Në përfundim të hetimeve, prokuroria </w:t>
      </w:r>
      <w:r w:rsidR="00E713FD">
        <w:rPr>
          <w:rFonts w:ascii="Times New Roman" w:hAnsi="Times New Roman"/>
          <w:sz w:val="24"/>
          <w:szCs w:val="24"/>
        </w:rPr>
        <w:t xml:space="preserve">e </w:t>
      </w:r>
      <w:r w:rsidRPr="00771327">
        <w:rPr>
          <w:rFonts w:ascii="Times New Roman" w:hAnsi="Times New Roman"/>
          <w:sz w:val="24"/>
          <w:szCs w:val="24"/>
        </w:rPr>
        <w:t xml:space="preserve">ka dërguar çështjen për gjykim së bashku me kërkesën për gjykim të shkurtuar. Pas shqyrtimit gjyqësor, Gjykata e Rrethit Gjyqësor Durrës, me vendimin nr. (11-2020-948) 100, datë 14.02.2020, ka vendosur deklarimin fajtor të kërkuesit sipas akuzës dhe në aplikim të nenit </w:t>
      </w:r>
      <w:r w:rsidRPr="00771327">
        <w:rPr>
          <w:rFonts w:ascii="Times New Roman" w:hAnsi="Times New Roman"/>
          <w:iCs/>
          <w:sz w:val="24"/>
          <w:szCs w:val="24"/>
        </w:rPr>
        <w:t>406 të Kodit të Procedurës Penale (</w:t>
      </w:r>
      <w:r w:rsidRPr="00771327">
        <w:rPr>
          <w:rFonts w:ascii="Times New Roman" w:hAnsi="Times New Roman"/>
          <w:i/>
          <w:iCs/>
          <w:sz w:val="24"/>
          <w:szCs w:val="24"/>
        </w:rPr>
        <w:t>KPP</w:t>
      </w:r>
      <w:r w:rsidRPr="00771327">
        <w:rPr>
          <w:rFonts w:ascii="Times New Roman" w:hAnsi="Times New Roman"/>
          <w:iCs/>
          <w:sz w:val="24"/>
          <w:szCs w:val="24"/>
        </w:rPr>
        <w:t xml:space="preserve">) e ka </w:t>
      </w:r>
      <w:r w:rsidRPr="00771327">
        <w:rPr>
          <w:rFonts w:ascii="Times New Roman" w:hAnsi="Times New Roman"/>
          <w:sz w:val="24"/>
          <w:szCs w:val="24"/>
        </w:rPr>
        <w:t>dënuar me 4 vjet e 8 muaj burgim. Ky vendim është lënë në fuqi nga Gjykata e Apelit Durrës me vendimin nr. 10-2020-1740/205, datë 22.12.2020.</w:t>
      </w:r>
    </w:p>
    <w:p w:rsidR="00FD5106" w:rsidRPr="00771327" w:rsidRDefault="00771327" w:rsidP="00771327">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Pr>
          <w:rFonts w:ascii="Times New Roman" w:hAnsi="Times New Roman"/>
          <w:bCs/>
          <w:iCs/>
          <w:sz w:val="24"/>
          <w:szCs w:val="24"/>
        </w:rPr>
        <w:t>K</w:t>
      </w:r>
      <w:r w:rsidR="00FD5106" w:rsidRPr="00771327">
        <w:rPr>
          <w:rFonts w:ascii="Times New Roman" w:hAnsi="Times New Roman"/>
          <w:bCs/>
          <w:iCs/>
          <w:sz w:val="24"/>
          <w:szCs w:val="24"/>
        </w:rPr>
        <w:t xml:space="preserve">ërkuesi është proceduar penalisht edhe nga </w:t>
      </w:r>
      <w:r w:rsidR="00FD5106" w:rsidRPr="00771327">
        <w:rPr>
          <w:rFonts w:ascii="Times New Roman" w:hAnsi="Times New Roman"/>
          <w:sz w:val="24"/>
          <w:szCs w:val="24"/>
        </w:rPr>
        <w:t xml:space="preserve">Prokuroria </w:t>
      </w:r>
      <w:r w:rsidR="00E713FD">
        <w:rPr>
          <w:rFonts w:ascii="Times New Roman" w:hAnsi="Times New Roman"/>
          <w:sz w:val="24"/>
          <w:szCs w:val="24"/>
        </w:rPr>
        <w:t xml:space="preserve">e </w:t>
      </w:r>
      <w:r w:rsidR="00FD5106" w:rsidRPr="00771327">
        <w:rPr>
          <w:rFonts w:ascii="Times New Roman" w:hAnsi="Times New Roman"/>
          <w:sz w:val="24"/>
          <w:szCs w:val="24"/>
        </w:rPr>
        <w:t>Posaçme kundër Korrupsionit dhe Krimit të Organizuar (</w:t>
      </w:r>
      <w:r w:rsidR="00FD5106" w:rsidRPr="00771327">
        <w:rPr>
          <w:rFonts w:ascii="Times New Roman" w:hAnsi="Times New Roman"/>
          <w:i/>
          <w:sz w:val="24"/>
          <w:szCs w:val="24"/>
        </w:rPr>
        <w:t>Prokuroria e Posaçme</w:t>
      </w:r>
      <w:r w:rsidR="00FD5106" w:rsidRPr="00771327">
        <w:rPr>
          <w:rFonts w:ascii="Times New Roman" w:hAnsi="Times New Roman"/>
          <w:sz w:val="24"/>
          <w:szCs w:val="24"/>
        </w:rPr>
        <w:t>)</w:t>
      </w:r>
      <w:r w:rsidR="00BB4DB6">
        <w:rPr>
          <w:rFonts w:ascii="Times New Roman" w:hAnsi="Times New Roman"/>
          <w:sz w:val="24"/>
          <w:szCs w:val="24"/>
        </w:rPr>
        <w:t xml:space="preserve"> </w:t>
      </w:r>
      <w:r w:rsidR="00FD5106" w:rsidRPr="00771327">
        <w:rPr>
          <w:rFonts w:ascii="Times New Roman" w:hAnsi="Times New Roman"/>
          <w:sz w:val="24"/>
          <w:szCs w:val="24"/>
        </w:rPr>
        <w:t xml:space="preserve">dhe është akuzuar për kryerjen e veprës penale “Trafikimi i narkotikëve”, kryer në bashkëpunim, mbetur në tentativë, të parashikuar nga neni 238/a/2-22 </w:t>
      </w:r>
      <w:r w:rsidR="00E713FD">
        <w:rPr>
          <w:rFonts w:ascii="Times New Roman" w:hAnsi="Times New Roman"/>
          <w:sz w:val="24"/>
          <w:szCs w:val="24"/>
        </w:rPr>
        <w:t>i</w:t>
      </w:r>
      <w:r w:rsidR="00FD5106" w:rsidRPr="00771327">
        <w:rPr>
          <w:rFonts w:ascii="Times New Roman" w:hAnsi="Times New Roman"/>
          <w:sz w:val="24"/>
          <w:szCs w:val="24"/>
        </w:rPr>
        <w:t xml:space="preserve"> KP-së. Në përfundim të gjykimit, Gjykata e Posaçme e Shkallës së Parë për Korrupsionin dhe Krimin e Organizuar (</w:t>
      </w:r>
      <w:r w:rsidR="00FD5106" w:rsidRPr="00771327">
        <w:rPr>
          <w:rFonts w:ascii="Times New Roman" w:hAnsi="Times New Roman"/>
          <w:i/>
          <w:sz w:val="24"/>
          <w:szCs w:val="24"/>
        </w:rPr>
        <w:t>GJKKO e Shkallës së Parë</w:t>
      </w:r>
      <w:r w:rsidR="00FD5106" w:rsidRPr="00771327">
        <w:rPr>
          <w:rFonts w:ascii="Times New Roman" w:hAnsi="Times New Roman"/>
          <w:sz w:val="24"/>
          <w:szCs w:val="24"/>
        </w:rPr>
        <w:t>)</w:t>
      </w:r>
      <w:r w:rsidR="00FD5106" w:rsidRPr="00771327">
        <w:rPr>
          <w:rFonts w:ascii="Times New Roman" w:hAnsi="Times New Roman"/>
          <w:bCs/>
          <w:sz w:val="24"/>
          <w:szCs w:val="24"/>
        </w:rPr>
        <w:t>, me vendimin nr. 43, datë 08.06.2021</w:t>
      </w:r>
      <w:r w:rsidR="00FD5106" w:rsidRPr="00771327">
        <w:rPr>
          <w:rFonts w:ascii="Times New Roman" w:hAnsi="Times New Roman"/>
          <w:sz w:val="24"/>
          <w:szCs w:val="24"/>
        </w:rPr>
        <w:t xml:space="preserve">, </w:t>
      </w:r>
      <w:r w:rsidR="00FD5106" w:rsidRPr="00771327">
        <w:rPr>
          <w:rFonts w:ascii="Times New Roman" w:hAnsi="Times New Roman"/>
          <w:bCs/>
          <w:sz w:val="24"/>
          <w:szCs w:val="24"/>
        </w:rPr>
        <w:t>ka vendosur d</w:t>
      </w:r>
      <w:r w:rsidR="00FD5106" w:rsidRPr="00771327">
        <w:rPr>
          <w:rFonts w:ascii="Times New Roman" w:hAnsi="Times New Roman"/>
          <w:iCs/>
          <w:sz w:val="24"/>
          <w:szCs w:val="24"/>
        </w:rPr>
        <w:t xml:space="preserve">eklarimin fajtor të kërkuesit sipas akuzës së prokurorisë dhe në aplikim të nenit 406 të KPP-së e ka dënuar me 6 vjet e 8 muaj burgim. Ky vendim është lënë në fuqi nga </w:t>
      </w:r>
      <w:r w:rsidR="00FD5106" w:rsidRPr="00771327">
        <w:rPr>
          <w:rFonts w:ascii="Times New Roman" w:hAnsi="Times New Roman"/>
          <w:sz w:val="24"/>
          <w:szCs w:val="24"/>
        </w:rPr>
        <w:t>Gjykata e Posaçme e Apelit për Korrupsionin dhe Krimin e Organizuar (</w:t>
      </w:r>
      <w:r w:rsidR="00FD5106" w:rsidRPr="00771327">
        <w:rPr>
          <w:rFonts w:ascii="Times New Roman" w:hAnsi="Times New Roman"/>
          <w:i/>
          <w:sz w:val="24"/>
          <w:szCs w:val="24"/>
        </w:rPr>
        <w:t>GJKKO e Apelit</w:t>
      </w:r>
      <w:r w:rsidR="00FD5106" w:rsidRPr="00771327">
        <w:rPr>
          <w:rFonts w:ascii="Times New Roman" w:hAnsi="Times New Roman"/>
          <w:sz w:val="24"/>
          <w:szCs w:val="24"/>
        </w:rPr>
        <w:t xml:space="preserve">) me vendimin nr. 9, datë 03.03.2022. </w:t>
      </w:r>
    </w:p>
    <w:p w:rsidR="00FD5106" w:rsidRPr="00771327" w:rsidRDefault="00FD5106" w:rsidP="00771327">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sidRPr="00771327">
        <w:rPr>
          <w:rFonts w:ascii="Times New Roman" w:hAnsi="Times New Roman"/>
          <w:sz w:val="24"/>
          <w:szCs w:val="24"/>
        </w:rPr>
        <w:t xml:space="preserve"> Po kështu, në kuadër të procedimit nr. 22 të vitit 2019, </w:t>
      </w:r>
      <w:r w:rsidR="00771327" w:rsidRPr="00771327">
        <w:rPr>
          <w:rFonts w:ascii="Times New Roman" w:hAnsi="Times New Roman"/>
          <w:sz w:val="24"/>
          <w:szCs w:val="24"/>
        </w:rPr>
        <w:t xml:space="preserve">kërkuesi është proceduar nga Prokuroria e Posaçme </w:t>
      </w:r>
      <w:r w:rsidRPr="00771327">
        <w:rPr>
          <w:rFonts w:ascii="Times New Roman" w:hAnsi="Times New Roman"/>
          <w:sz w:val="24"/>
          <w:szCs w:val="24"/>
        </w:rPr>
        <w:t>për  kryerjen e veprave penale “Trafikimi i narkotikëve”, në tentativë</w:t>
      </w:r>
      <w:r w:rsidR="00E713FD">
        <w:rPr>
          <w:rFonts w:ascii="Times New Roman" w:hAnsi="Times New Roman"/>
          <w:sz w:val="24"/>
          <w:szCs w:val="24"/>
        </w:rPr>
        <w:t>,</w:t>
      </w:r>
      <w:r w:rsidRPr="00771327">
        <w:rPr>
          <w:rFonts w:ascii="Times New Roman" w:hAnsi="Times New Roman"/>
          <w:sz w:val="24"/>
          <w:szCs w:val="24"/>
        </w:rPr>
        <w:t xml:space="preserve"> kryer në bashkëpunim në kuadër të grupit të strukturuar kriminal, “Grupi i strukturuar kriminal” dhe “Kryerja e veprave penale nga organizata kriminale dhe grupi i strukturuar kriminal”, të parashikuara nga nenet 283/a/1, 22, 28/4, 333/a/2 dhe 334/</w:t>
      </w:r>
      <w:r w:rsidR="00B11E20">
        <w:rPr>
          <w:rFonts w:ascii="Times New Roman" w:hAnsi="Times New Roman"/>
          <w:sz w:val="24"/>
          <w:szCs w:val="24"/>
        </w:rPr>
        <w:t>1</w:t>
      </w:r>
      <w:r w:rsidRPr="00771327">
        <w:rPr>
          <w:rFonts w:ascii="Times New Roman" w:hAnsi="Times New Roman"/>
          <w:sz w:val="24"/>
          <w:szCs w:val="24"/>
        </w:rPr>
        <w:t xml:space="preserve"> të KP-së. </w:t>
      </w:r>
    </w:p>
    <w:p w:rsidR="00FD5106" w:rsidRPr="00771327" w:rsidRDefault="00FD5106" w:rsidP="00771327">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sidRPr="00771327">
        <w:rPr>
          <w:rFonts w:ascii="Times New Roman" w:hAnsi="Times New Roman"/>
          <w:sz w:val="24"/>
          <w:szCs w:val="24"/>
        </w:rPr>
        <w:t>Në përfundim të gjykimit, GJKKO</w:t>
      </w:r>
      <w:r w:rsidR="00E713FD">
        <w:rPr>
          <w:rFonts w:ascii="Times New Roman" w:hAnsi="Times New Roman"/>
          <w:sz w:val="24"/>
          <w:szCs w:val="24"/>
        </w:rPr>
        <w:t>-ja</w:t>
      </w:r>
      <w:r w:rsidRPr="00771327">
        <w:rPr>
          <w:rFonts w:ascii="Times New Roman" w:hAnsi="Times New Roman"/>
          <w:sz w:val="24"/>
          <w:szCs w:val="24"/>
        </w:rPr>
        <w:t xml:space="preserve"> e Shkallës së Parë</w:t>
      </w:r>
      <w:r w:rsidRPr="00771327">
        <w:rPr>
          <w:rFonts w:ascii="Times New Roman" w:hAnsi="Times New Roman"/>
          <w:bCs/>
          <w:sz w:val="24"/>
          <w:szCs w:val="24"/>
        </w:rPr>
        <w:t>, me vendimin nr. 69, datë 11.11.2021</w:t>
      </w:r>
      <w:r w:rsidRPr="00771327">
        <w:rPr>
          <w:rFonts w:ascii="Times New Roman" w:hAnsi="Times New Roman"/>
          <w:sz w:val="24"/>
          <w:szCs w:val="24"/>
        </w:rPr>
        <w:t xml:space="preserve">, </w:t>
      </w:r>
      <w:r w:rsidRPr="00771327">
        <w:rPr>
          <w:rFonts w:ascii="Times New Roman" w:hAnsi="Times New Roman"/>
          <w:bCs/>
          <w:sz w:val="24"/>
          <w:szCs w:val="24"/>
        </w:rPr>
        <w:t>ka vendosur d</w:t>
      </w:r>
      <w:r w:rsidRPr="00771327">
        <w:rPr>
          <w:rFonts w:ascii="Times New Roman" w:hAnsi="Times New Roman"/>
          <w:iCs/>
          <w:sz w:val="24"/>
          <w:szCs w:val="24"/>
        </w:rPr>
        <w:t xml:space="preserve">eklarimin fajtor të kërkuesit sipas akuzave të prokurorisë dhe në aplikim të nenit 406 të KPP-së e ka dënuar atë përfundimisht 9 vjet e 4 muaj burgim. Gjykata ka arsyetuar se nga aktet dhe provat e analizuara </w:t>
      </w:r>
      <w:r w:rsidR="00D13DB1">
        <w:rPr>
          <w:rFonts w:ascii="Times New Roman" w:hAnsi="Times New Roman"/>
          <w:iCs/>
          <w:sz w:val="24"/>
          <w:szCs w:val="24"/>
        </w:rPr>
        <w:t>ë</w:t>
      </w:r>
      <w:r w:rsidR="00E713FD">
        <w:rPr>
          <w:rFonts w:ascii="Times New Roman" w:hAnsi="Times New Roman"/>
          <w:iCs/>
          <w:sz w:val="24"/>
          <w:szCs w:val="24"/>
        </w:rPr>
        <w:t>sht</w:t>
      </w:r>
      <w:r w:rsidR="00D13DB1">
        <w:rPr>
          <w:rFonts w:ascii="Times New Roman" w:hAnsi="Times New Roman"/>
          <w:iCs/>
          <w:sz w:val="24"/>
          <w:szCs w:val="24"/>
        </w:rPr>
        <w:t>ë</w:t>
      </w:r>
      <w:r w:rsidRPr="00771327">
        <w:rPr>
          <w:rFonts w:ascii="Times New Roman" w:hAnsi="Times New Roman"/>
          <w:iCs/>
          <w:sz w:val="24"/>
          <w:szCs w:val="24"/>
        </w:rPr>
        <w:t xml:space="preserve"> provua</w:t>
      </w:r>
      <w:r w:rsidR="00E713FD">
        <w:rPr>
          <w:rFonts w:ascii="Times New Roman" w:hAnsi="Times New Roman"/>
          <w:iCs/>
          <w:sz w:val="24"/>
          <w:szCs w:val="24"/>
        </w:rPr>
        <w:t>r</w:t>
      </w:r>
      <w:r w:rsidRPr="00771327">
        <w:rPr>
          <w:rFonts w:ascii="Times New Roman" w:hAnsi="Times New Roman"/>
          <w:iCs/>
          <w:sz w:val="24"/>
          <w:szCs w:val="24"/>
        </w:rPr>
        <w:t xml:space="preserve"> tej çdo dyshimi të arsyeshëm fajësia e të pandehurit për veprat penale për të cilat është akuzuar, si dhe element</w:t>
      </w:r>
      <w:r w:rsidR="00E713FD">
        <w:rPr>
          <w:rFonts w:ascii="Times New Roman" w:hAnsi="Times New Roman"/>
          <w:iCs/>
          <w:sz w:val="24"/>
          <w:szCs w:val="24"/>
        </w:rPr>
        <w:t>e</w:t>
      </w:r>
      <w:r w:rsidRPr="00771327">
        <w:rPr>
          <w:rFonts w:ascii="Times New Roman" w:hAnsi="Times New Roman"/>
          <w:iCs/>
          <w:sz w:val="24"/>
          <w:szCs w:val="24"/>
        </w:rPr>
        <w:t xml:space="preserve">t e grupit të strukturuar kriminal, gjë e cila tregon edhe për një rrezikshmëri shoqërore të lartë të veprës dhe të autorit,  dhe se veprat penale janë kryer me veprime aktive. Lidhur me caktimin e masës së dënimit, në rastin e kërkuesit gjykata, ndër të tjera, ka mbajtur në konsideratë rrethana të lidhura me rolin e spikatur të tij në kuadër të sigurimit të lëndës narkotike, gjendjen familjare dhe atë gjyqësore, nivelin e arsimimit, si dhe qëndrimin e mbajtur gjatë hetimit dhe gjykimit. Kundër këtij vendimi kërkuesi ka ushtruar ankim. </w:t>
      </w:r>
    </w:p>
    <w:p w:rsidR="00FD5106" w:rsidRPr="00897864" w:rsidRDefault="00FD5106" w:rsidP="00771327">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sidRPr="00771327">
        <w:rPr>
          <w:rFonts w:ascii="Times New Roman" w:hAnsi="Times New Roman"/>
          <w:sz w:val="24"/>
          <w:szCs w:val="24"/>
        </w:rPr>
        <w:t>GJKKO</w:t>
      </w:r>
      <w:r w:rsidR="00E713FD">
        <w:rPr>
          <w:rFonts w:ascii="Times New Roman" w:hAnsi="Times New Roman"/>
          <w:sz w:val="24"/>
          <w:szCs w:val="24"/>
        </w:rPr>
        <w:t>-ja</w:t>
      </w:r>
      <w:r w:rsidRPr="00771327">
        <w:rPr>
          <w:rFonts w:ascii="Times New Roman" w:hAnsi="Times New Roman"/>
          <w:sz w:val="24"/>
          <w:szCs w:val="24"/>
        </w:rPr>
        <w:t xml:space="preserve"> e Apelit, </w:t>
      </w:r>
      <w:r w:rsidRPr="00771327">
        <w:rPr>
          <w:rFonts w:ascii="Times New Roman" w:hAnsi="Times New Roman"/>
          <w:bCs/>
          <w:sz w:val="24"/>
          <w:szCs w:val="24"/>
        </w:rPr>
        <w:t>me vendimin nr. 29, datë 18.05.2022, ka vendosur l</w:t>
      </w:r>
      <w:r w:rsidRPr="00771327">
        <w:rPr>
          <w:rFonts w:ascii="Times New Roman" w:hAnsi="Times New Roman"/>
          <w:bCs/>
          <w:iCs/>
          <w:sz w:val="24"/>
          <w:szCs w:val="24"/>
        </w:rPr>
        <w:t>ënien në fuqi të vendimit</w:t>
      </w:r>
      <w:r w:rsidRPr="00771327">
        <w:rPr>
          <w:rFonts w:ascii="Times New Roman" w:hAnsi="Times New Roman"/>
          <w:bCs/>
          <w:sz w:val="24"/>
          <w:szCs w:val="24"/>
        </w:rPr>
        <w:t xml:space="preserve"> </w:t>
      </w:r>
      <w:r w:rsidR="00E713FD">
        <w:rPr>
          <w:rFonts w:ascii="Times New Roman" w:hAnsi="Times New Roman"/>
          <w:bCs/>
          <w:sz w:val="24"/>
          <w:szCs w:val="24"/>
        </w:rPr>
        <w:t>t</w:t>
      </w:r>
      <w:r w:rsidR="00D13DB1">
        <w:rPr>
          <w:rFonts w:ascii="Times New Roman" w:hAnsi="Times New Roman"/>
          <w:bCs/>
          <w:sz w:val="24"/>
          <w:szCs w:val="24"/>
        </w:rPr>
        <w:t>ë</w:t>
      </w:r>
      <w:r w:rsidR="00E713FD">
        <w:rPr>
          <w:rFonts w:ascii="Times New Roman" w:hAnsi="Times New Roman"/>
          <w:bCs/>
          <w:sz w:val="24"/>
          <w:szCs w:val="24"/>
        </w:rPr>
        <w:t xml:space="preserve"> </w:t>
      </w:r>
      <w:r w:rsidRPr="00771327">
        <w:rPr>
          <w:rFonts w:ascii="Times New Roman" w:hAnsi="Times New Roman"/>
          <w:bCs/>
          <w:sz w:val="24"/>
          <w:szCs w:val="24"/>
        </w:rPr>
        <w:t xml:space="preserve">GJKKO-së së Shkallës së Parë, pasi ka arsyetuar se </w:t>
      </w:r>
      <w:r w:rsidRPr="00771327">
        <w:rPr>
          <w:rFonts w:ascii="Times New Roman" w:hAnsi="Times New Roman"/>
          <w:bCs/>
          <w:iCs/>
          <w:sz w:val="24"/>
          <w:szCs w:val="24"/>
        </w:rPr>
        <w:t>vendimi ka qenë i drejtë dhe i bazuar në ligj</w:t>
      </w:r>
      <w:r w:rsidRPr="00771327">
        <w:rPr>
          <w:rFonts w:ascii="Times New Roman" w:hAnsi="Times New Roman"/>
          <w:sz w:val="24"/>
          <w:szCs w:val="24"/>
          <w:lang w:eastAsia="sq-AL"/>
        </w:rPr>
        <w:t xml:space="preserve">. </w:t>
      </w:r>
    </w:p>
    <w:p w:rsidR="00FD5106" w:rsidRPr="00771327" w:rsidRDefault="00FD5106" w:rsidP="00771327">
      <w:pPr>
        <w:pStyle w:val="ListParagraph"/>
        <w:numPr>
          <w:ilvl w:val="0"/>
          <w:numId w:val="1"/>
        </w:numPr>
        <w:tabs>
          <w:tab w:val="left" w:pos="1080"/>
        </w:tabs>
        <w:spacing w:after="0" w:line="360" w:lineRule="auto"/>
        <w:ind w:left="0" w:firstLine="720"/>
        <w:jc w:val="both"/>
        <w:rPr>
          <w:rFonts w:ascii="Times New Roman" w:hAnsi="Times New Roman"/>
          <w:bCs/>
          <w:sz w:val="24"/>
          <w:szCs w:val="24"/>
        </w:rPr>
      </w:pPr>
      <w:r w:rsidRPr="00771327">
        <w:rPr>
          <w:rFonts w:ascii="Times New Roman" w:hAnsi="Times New Roman"/>
          <w:sz w:val="24"/>
          <w:szCs w:val="24"/>
          <w:lang w:eastAsia="sq-AL"/>
        </w:rPr>
        <w:t xml:space="preserve">Në datën 22.06.2022 kërkuesi ka paraqitur ankim individual </w:t>
      </w:r>
      <w:r w:rsidR="00E713FD">
        <w:rPr>
          <w:rFonts w:ascii="Times New Roman" w:hAnsi="Times New Roman"/>
          <w:sz w:val="24"/>
          <w:szCs w:val="24"/>
          <w:lang w:eastAsia="sq-AL"/>
        </w:rPr>
        <w:t>n</w:t>
      </w:r>
      <w:r w:rsidR="00D13DB1">
        <w:rPr>
          <w:rFonts w:ascii="Times New Roman" w:hAnsi="Times New Roman"/>
          <w:sz w:val="24"/>
          <w:szCs w:val="24"/>
          <w:lang w:eastAsia="sq-AL"/>
        </w:rPr>
        <w:t>ë</w:t>
      </w:r>
      <w:r w:rsidR="00E713FD">
        <w:rPr>
          <w:rFonts w:ascii="Times New Roman" w:hAnsi="Times New Roman"/>
          <w:sz w:val="24"/>
          <w:szCs w:val="24"/>
          <w:lang w:eastAsia="sq-AL"/>
        </w:rPr>
        <w:t xml:space="preserve"> Gjykat</w:t>
      </w:r>
      <w:r w:rsidR="00D13DB1">
        <w:rPr>
          <w:rFonts w:ascii="Times New Roman" w:hAnsi="Times New Roman"/>
          <w:sz w:val="24"/>
          <w:szCs w:val="24"/>
          <w:lang w:eastAsia="sq-AL"/>
        </w:rPr>
        <w:t>ë</w:t>
      </w:r>
      <w:r w:rsidR="00E713FD">
        <w:rPr>
          <w:rFonts w:ascii="Times New Roman" w:hAnsi="Times New Roman"/>
          <w:sz w:val="24"/>
          <w:szCs w:val="24"/>
          <w:lang w:eastAsia="sq-AL"/>
        </w:rPr>
        <w:t xml:space="preserve">n Kushtetuese </w:t>
      </w:r>
      <w:r w:rsidRPr="00771327">
        <w:rPr>
          <w:rFonts w:ascii="Times New Roman" w:hAnsi="Times New Roman"/>
          <w:sz w:val="24"/>
          <w:szCs w:val="24"/>
          <w:lang w:eastAsia="sq-AL"/>
        </w:rPr>
        <w:t xml:space="preserve">me objekt shfuqizimin e vendimeve </w:t>
      </w:r>
      <w:r w:rsidRPr="00771327">
        <w:rPr>
          <w:rFonts w:ascii="Times New Roman" w:eastAsia="MS Mincho" w:hAnsi="Times New Roman"/>
          <w:sz w:val="24"/>
          <w:szCs w:val="24"/>
        </w:rPr>
        <w:t xml:space="preserve">nr. 69, datë 11.11.2021 të GJKKO-së së Shkallës së Parë dhe nr. 29, datë 18.05.2022 të GJKKO-së së Apelit, si të papajtueshme me Kushtetutën. </w:t>
      </w:r>
    </w:p>
    <w:p w:rsidR="00FD5106" w:rsidRPr="00771327" w:rsidRDefault="00FD5106" w:rsidP="00771327">
      <w:pPr>
        <w:pStyle w:val="ListParagraph"/>
        <w:shd w:val="clear" w:color="auto" w:fill="FFFFFF"/>
        <w:tabs>
          <w:tab w:val="left" w:pos="1080"/>
        </w:tabs>
        <w:spacing w:after="0" w:line="360" w:lineRule="auto"/>
        <w:jc w:val="both"/>
        <w:rPr>
          <w:rFonts w:ascii="Times New Roman" w:hAnsi="Times New Roman"/>
          <w:sz w:val="24"/>
          <w:szCs w:val="24"/>
        </w:rPr>
      </w:pPr>
    </w:p>
    <w:p w:rsidR="00FD5106" w:rsidRPr="00771327" w:rsidRDefault="00FD5106" w:rsidP="002F5EEE">
      <w:pPr>
        <w:shd w:val="clear" w:color="auto" w:fill="FFFFFF"/>
        <w:tabs>
          <w:tab w:val="left" w:pos="0"/>
          <w:tab w:val="left" w:pos="720"/>
          <w:tab w:val="left" w:pos="1080"/>
        </w:tabs>
        <w:spacing w:after="0" w:line="360" w:lineRule="auto"/>
        <w:jc w:val="center"/>
        <w:rPr>
          <w:rFonts w:ascii="Times New Roman" w:eastAsia="Times New Roman" w:hAnsi="Times New Roman"/>
          <w:b/>
          <w:sz w:val="24"/>
          <w:szCs w:val="24"/>
        </w:rPr>
      </w:pPr>
      <w:r w:rsidRPr="00771327">
        <w:rPr>
          <w:rFonts w:ascii="Times New Roman" w:eastAsia="Times New Roman" w:hAnsi="Times New Roman"/>
          <w:b/>
          <w:sz w:val="24"/>
          <w:szCs w:val="24"/>
        </w:rPr>
        <w:t>II</w:t>
      </w:r>
    </w:p>
    <w:p w:rsidR="00FD5106" w:rsidRPr="00771327" w:rsidRDefault="00FD5106" w:rsidP="002F5EEE">
      <w:pPr>
        <w:tabs>
          <w:tab w:val="left" w:pos="0"/>
          <w:tab w:val="left" w:pos="1080"/>
        </w:tabs>
        <w:spacing w:after="0" w:line="360" w:lineRule="auto"/>
        <w:contextualSpacing/>
        <w:jc w:val="center"/>
        <w:rPr>
          <w:rFonts w:ascii="Times New Roman" w:hAnsi="Times New Roman"/>
          <w:b/>
          <w:sz w:val="24"/>
          <w:szCs w:val="24"/>
        </w:rPr>
      </w:pPr>
      <w:r w:rsidRPr="00771327">
        <w:rPr>
          <w:rFonts w:ascii="Times New Roman" w:hAnsi="Times New Roman"/>
          <w:b/>
          <w:sz w:val="24"/>
          <w:szCs w:val="24"/>
        </w:rPr>
        <w:t>Pretendimet e kërkuesit</w:t>
      </w:r>
    </w:p>
    <w:p w:rsidR="007415A2" w:rsidRPr="00771327" w:rsidRDefault="007415A2" w:rsidP="00771327">
      <w:pPr>
        <w:pStyle w:val="BodyTextIndent"/>
        <w:numPr>
          <w:ilvl w:val="0"/>
          <w:numId w:val="1"/>
        </w:numPr>
        <w:tabs>
          <w:tab w:val="left" w:pos="720"/>
          <w:tab w:val="left" w:pos="1080"/>
        </w:tabs>
        <w:spacing w:after="0" w:line="360" w:lineRule="auto"/>
        <w:ind w:left="0" w:firstLine="720"/>
        <w:jc w:val="both"/>
      </w:pPr>
      <w:r w:rsidRPr="00771327">
        <w:rPr>
          <w:b/>
          <w:i/>
        </w:rPr>
        <w:t>Kërkuesi</w:t>
      </w:r>
      <w:r w:rsidRPr="00771327">
        <w:t xml:space="preserve">, në mënyrë të përmbledhur, ka pretenduar se i është cenuar e drejta për një proces të rregullt ligjor, </w:t>
      </w:r>
      <w:r w:rsidR="00E713FD">
        <w:t>e</w:t>
      </w:r>
      <w:r w:rsidRPr="00771327">
        <w:t xml:space="preserve"> garantuar nga nenet 31, 32, pika 2 dhe 42 të Kushtetutës, si dhe neni 6, pikat 1 dhe 3, shkronja “d”</w:t>
      </w:r>
      <w:r w:rsidR="00E713FD">
        <w:t>,</w:t>
      </w:r>
      <w:r w:rsidRPr="00771327">
        <w:t xml:space="preserve"> të KEDNJ-së, në aspektet e mëposhtme: </w:t>
      </w:r>
    </w:p>
    <w:p w:rsidR="007415A2" w:rsidRPr="00771327" w:rsidRDefault="007415A2" w:rsidP="00771327">
      <w:pPr>
        <w:pStyle w:val="BodyTextIndent2"/>
        <w:numPr>
          <w:ilvl w:val="1"/>
          <w:numId w:val="1"/>
        </w:numPr>
        <w:tabs>
          <w:tab w:val="left" w:pos="180"/>
        </w:tabs>
        <w:spacing w:after="0" w:line="360" w:lineRule="auto"/>
        <w:ind w:left="1260" w:hanging="540"/>
        <w:jc w:val="both"/>
        <w:rPr>
          <w:rFonts w:eastAsia="Arial Unicode MS"/>
        </w:rPr>
      </w:pPr>
      <w:r w:rsidRPr="00771327">
        <w:rPr>
          <w:i/>
        </w:rPr>
        <w:t xml:space="preserve">Parimi </w:t>
      </w:r>
      <w:r w:rsidR="00E713FD">
        <w:rPr>
          <w:i/>
        </w:rPr>
        <w:t xml:space="preserve">i </w:t>
      </w:r>
      <w:r w:rsidRPr="00771327">
        <w:rPr>
          <w:i/>
        </w:rPr>
        <w:t xml:space="preserve">prezumimit të pafajësisë, </w:t>
      </w:r>
      <w:r w:rsidRPr="00771327">
        <w:t xml:space="preserve">pasi prokuroria dhe gjykata e kanë bazuar hetimin dhe gjykimin vetëm në një provë të vetme, bisedat telefonike, duke i dhënë përgjimit vlerë të paracaktuar, pa </w:t>
      </w:r>
      <w:r w:rsidR="00E713FD">
        <w:t>e</w:t>
      </w:r>
      <w:r w:rsidRPr="00771327">
        <w:t xml:space="preserve"> analizuar dhe çmuar me provat e tjera, nëpërmjet të cilave mund të provohej pa/fajësia dhe rëndësia e pozitës së tij. Në këtë mënyrë, gjykatat kanë vepruar në kundërshtim me dispozitat procedurale penale lidhur me bazueshmërinë e vendimmarrjes së tyre në prova bindëse dhe të ligjshme. Për më tepër, kërkuesi është deklaruar fajtor në një proces tjetër gjyqësor, vendimi për të cilin ka marrë formë të prerë, duke bërë që gjykata të ketë kryer veprime procedurale vetëm për fasadë dhe që fajësia e tij të ketë qenë e paravendosur. </w:t>
      </w:r>
    </w:p>
    <w:p w:rsidR="007415A2" w:rsidRPr="00771327" w:rsidRDefault="007415A2" w:rsidP="00771327">
      <w:pPr>
        <w:pStyle w:val="BodyTextIndent2"/>
        <w:numPr>
          <w:ilvl w:val="1"/>
          <w:numId w:val="1"/>
        </w:numPr>
        <w:tabs>
          <w:tab w:val="left" w:pos="180"/>
        </w:tabs>
        <w:spacing w:after="0" w:line="360" w:lineRule="auto"/>
        <w:ind w:left="1260" w:hanging="540"/>
        <w:jc w:val="both"/>
        <w:rPr>
          <w:rFonts w:eastAsia="Arial Unicode MS"/>
        </w:rPr>
      </w:pPr>
      <w:r w:rsidRPr="00771327">
        <w:rPr>
          <w:i/>
        </w:rPr>
        <w:t>Parimi i kontradiktoritetit dhe i barazisë së armëve në procesin penal</w:t>
      </w:r>
      <w:r w:rsidRPr="00771327">
        <w:t xml:space="preserve">, pasi argumentet e mbrojtjes nuk janë dëgjuar njësoj sikurse </w:t>
      </w:r>
      <w:r w:rsidR="002E302B">
        <w:t xml:space="preserve">ato </w:t>
      </w:r>
      <w:r w:rsidRPr="00771327">
        <w:t>të prokurorit, duke e vendosur në disavantazh.</w:t>
      </w:r>
    </w:p>
    <w:p w:rsidR="007415A2" w:rsidRPr="00771327" w:rsidRDefault="007415A2" w:rsidP="00771327">
      <w:pPr>
        <w:pStyle w:val="BodyTextIndent2"/>
        <w:numPr>
          <w:ilvl w:val="1"/>
          <w:numId w:val="1"/>
        </w:numPr>
        <w:tabs>
          <w:tab w:val="left" w:pos="180"/>
        </w:tabs>
        <w:spacing w:after="0" w:line="360" w:lineRule="auto"/>
        <w:ind w:left="1260" w:hanging="540"/>
        <w:jc w:val="both"/>
        <w:rPr>
          <w:rFonts w:eastAsia="Arial Unicode MS"/>
        </w:rPr>
      </w:pPr>
      <w:r w:rsidRPr="00771327">
        <w:rPr>
          <w:i/>
          <w:lang w:eastAsia="fr-FR"/>
        </w:rPr>
        <w:t xml:space="preserve">Standardi </w:t>
      </w:r>
      <w:r w:rsidR="00E713FD">
        <w:rPr>
          <w:i/>
          <w:lang w:eastAsia="fr-FR"/>
        </w:rPr>
        <w:t>i</w:t>
      </w:r>
      <w:r w:rsidRPr="00771327">
        <w:rPr>
          <w:i/>
          <w:lang w:eastAsia="fr-FR"/>
        </w:rPr>
        <w:t xml:space="preserve"> arsyetimit të vendimit gjyqësor, </w:t>
      </w:r>
      <w:r w:rsidRPr="00771327">
        <w:rPr>
          <w:lang w:eastAsia="fr-FR"/>
        </w:rPr>
        <w:t>pasi vendimi nr. 69, datë 11.11.2021 i GJKKO-së së Shkallës së Parë është konfuz, i pakuptimtë dhe me mungesë të theksuar arsyetimi</w:t>
      </w:r>
      <w:r w:rsidR="00E713FD">
        <w:rPr>
          <w:lang w:eastAsia="fr-FR"/>
        </w:rPr>
        <w:t>,</w:t>
      </w:r>
      <w:r w:rsidRPr="00771327">
        <w:rPr>
          <w:lang w:eastAsia="fr-FR"/>
        </w:rPr>
        <w:t xml:space="preserve"> duke mos</w:t>
      </w:r>
      <w:r w:rsidR="00E713FD">
        <w:rPr>
          <w:lang w:eastAsia="fr-FR"/>
        </w:rPr>
        <w:t xml:space="preserve"> </w:t>
      </w:r>
      <w:r w:rsidRPr="00771327">
        <w:t>përshkruar mekanizmin e kryerjes së veprës penale</w:t>
      </w:r>
      <w:r w:rsidRPr="00771327">
        <w:rPr>
          <w:lang w:eastAsia="fr-FR"/>
        </w:rPr>
        <w:t>. Për më tepër që është dënuar 3 (tr</w:t>
      </w:r>
      <w:r w:rsidR="00E713FD">
        <w:rPr>
          <w:lang w:eastAsia="fr-FR"/>
        </w:rPr>
        <w:t>i</w:t>
      </w:r>
      <w:r w:rsidRPr="00771327">
        <w:rPr>
          <w:lang w:eastAsia="fr-FR"/>
        </w:rPr>
        <w:t xml:space="preserve">) herë për të njëjtën vepër penale.    </w:t>
      </w:r>
    </w:p>
    <w:p w:rsidR="00FD5106" w:rsidRPr="00771327" w:rsidRDefault="00FD5106" w:rsidP="00771327">
      <w:pPr>
        <w:pStyle w:val="ListParagraph"/>
        <w:tabs>
          <w:tab w:val="left" w:pos="1440"/>
        </w:tabs>
        <w:spacing w:after="0" w:line="360" w:lineRule="auto"/>
        <w:ind w:left="1260"/>
        <w:jc w:val="both"/>
        <w:rPr>
          <w:rFonts w:ascii="Times New Roman" w:hAnsi="Times New Roman"/>
          <w:sz w:val="24"/>
          <w:szCs w:val="24"/>
        </w:rPr>
      </w:pPr>
    </w:p>
    <w:p w:rsidR="00FD5106" w:rsidRPr="00771327" w:rsidRDefault="00FD5106" w:rsidP="00E904D2">
      <w:pPr>
        <w:spacing w:after="0" w:line="360" w:lineRule="auto"/>
        <w:ind w:left="90"/>
        <w:jc w:val="center"/>
        <w:rPr>
          <w:rFonts w:ascii="Times New Roman" w:eastAsia="Times New Roman" w:hAnsi="Times New Roman"/>
          <w:b/>
          <w:sz w:val="24"/>
          <w:szCs w:val="24"/>
        </w:rPr>
      </w:pPr>
      <w:r w:rsidRPr="00771327">
        <w:rPr>
          <w:rFonts w:ascii="Times New Roman" w:eastAsia="Times New Roman" w:hAnsi="Times New Roman"/>
          <w:b/>
          <w:sz w:val="24"/>
          <w:szCs w:val="24"/>
        </w:rPr>
        <w:t>III</w:t>
      </w:r>
    </w:p>
    <w:p w:rsidR="00FD5106" w:rsidRPr="00771327" w:rsidRDefault="00FD5106" w:rsidP="00771327">
      <w:pPr>
        <w:spacing w:after="0" w:line="360" w:lineRule="auto"/>
        <w:jc w:val="center"/>
        <w:rPr>
          <w:rFonts w:ascii="Times New Roman" w:eastAsia="Times New Roman" w:hAnsi="Times New Roman"/>
          <w:b/>
          <w:sz w:val="24"/>
          <w:szCs w:val="24"/>
        </w:rPr>
      </w:pPr>
      <w:r w:rsidRPr="00771327">
        <w:rPr>
          <w:rFonts w:ascii="Times New Roman" w:eastAsia="Times New Roman" w:hAnsi="Times New Roman"/>
          <w:b/>
          <w:sz w:val="24"/>
          <w:szCs w:val="24"/>
        </w:rPr>
        <w:t>Vlerësimi i Kolegjit</w:t>
      </w:r>
    </w:p>
    <w:p w:rsidR="00FD5106" w:rsidRPr="00771327" w:rsidRDefault="00FD5106" w:rsidP="00771327">
      <w:pPr>
        <w:numPr>
          <w:ilvl w:val="0"/>
          <w:numId w:val="2"/>
        </w:numPr>
        <w:tabs>
          <w:tab w:val="left" w:pos="1080"/>
        </w:tabs>
        <w:spacing w:after="0" w:line="360" w:lineRule="auto"/>
        <w:ind w:left="0" w:firstLine="720"/>
        <w:jc w:val="both"/>
        <w:rPr>
          <w:rFonts w:ascii="Times New Roman" w:hAnsi="Times New Roman"/>
          <w:sz w:val="24"/>
          <w:szCs w:val="24"/>
        </w:rPr>
      </w:pPr>
      <w:r w:rsidRPr="00771327">
        <w:rPr>
          <w:rFonts w:ascii="Times New Roman" w:hAnsi="Times New Roman"/>
          <w:i/>
          <w:sz w:val="24"/>
          <w:szCs w:val="24"/>
        </w:rPr>
        <w:t>Për legjitimimin e kërkues</w:t>
      </w:r>
      <w:r w:rsidR="00E713FD">
        <w:rPr>
          <w:rFonts w:ascii="Times New Roman" w:hAnsi="Times New Roman"/>
          <w:i/>
          <w:sz w:val="24"/>
          <w:szCs w:val="24"/>
        </w:rPr>
        <w:t>it</w:t>
      </w:r>
      <w:r w:rsidRPr="00771327">
        <w:rPr>
          <w:rFonts w:ascii="Times New Roman" w:hAnsi="Times New Roman"/>
          <w:i/>
          <w:sz w:val="24"/>
          <w:szCs w:val="24"/>
        </w:rPr>
        <w:t xml:space="preserve"> </w:t>
      </w:r>
    </w:p>
    <w:p w:rsidR="007415A2" w:rsidRPr="00771327" w:rsidRDefault="007415A2" w:rsidP="00771327">
      <w:pPr>
        <w:pStyle w:val="ListParagraph"/>
        <w:numPr>
          <w:ilvl w:val="0"/>
          <w:numId w:val="1"/>
        </w:numPr>
        <w:tabs>
          <w:tab w:val="left" w:pos="1080"/>
        </w:tabs>
        <w:spacing w:after="0" w:line="360" w:lineRule="auto"/>
        <w:ind w:left="0" w:firstLine="720"/>
        <w:jc w:val="both"/>
        <w:rPr>
          <w:rFonts w:ascii="Times New Roman" w:hAnsi="Times New Roman"/>
          <w:sz w:val="24"/>
          <w:szCs w:val="24"/>
        </w:rPr>
      </w:pPr>
      <w:r w:rsidRPr="00771327">
        <w:rPr>
          <w:rFonts w:ascii="Times New Roman" w:hAnsi="Times New Roman"/>
          <w:sz w:val="24"/>
          <w:szCs w:val="24"/>
        </w:rPr>
        <w:t>Çështja e legjitimimit (</w:t>
      </w:r>
      <w:r w:rsidRPr="00771327">
        <w:rPr>
          <w:rFonts w:ascii="Times New Roman" w:hAnsi="Times New Roman"/>
          <w:i/>
          <w:sz w:val="24"/>
          <w:szCs w:val="24"/>
        </w:rPr>
        <w:t>locus standi</w:t>
      </w:r>
      <w:r w:rsidRPr="00771327">
        <w:rPr>
          <w:rFonts w:ascii="Times New Roman" w:hAnsi="Times New Roman"/>
          <w:sz w:val="24"/>
          <w:szCs w:val="24"/>
        </w:rPr>
        <w:t>) është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B20FDC" w:rsidRPr="00B20FDC" w:rsidRDefault="007415A2" w:rsidP="00B20FDC">
      <w:pPr>
        <w:pStyle w:val="ListParagraph"/>
        <w:numPr>
          <w:ilvl w:val="0"/>
          <w:numId w:val="1"/>
        </w:numPr>
        <w:tabs>
          <w:tab w:val="left" w:pos="720"/>
          <w:tab w:val="left" w:pos="1080"/>
        </w:tabs>
        <w:spacing w:after="0" w:line="360" w:lineRule="auto"/>
        <w:ind w:left="0" w:firstLine="720"/>
        <w:jc w:val="both"/>
        <w:rPr>
          <w:rFonts w:ascii="Times New Roman" w:hAnsi="Times New Roman"/>
          <w:sz w:val="24"/>
          <w:szCs w:val="24"/>
        </w:rPr>
      </w:pPr>
      <w:r w:rsidRPr="00771327">
        <w:rPr>
          <w:rFonts w:ascii="Times New Roman" w:eastAsia="Times New Roman" w:hAnsi="Times New Roman"/>
          <w:sz w:val="24"/>
          <w:szCs w:val="24"/>
        </w:rPr>
        <w:t>Ankimi kushtetues individual, në çdo rast, duhet të plotësojë kriteret e nenit 71/a të ligjit nr. 8577/2000, që lidhen me shterimin e mjeteve juridike</w:t>
      </w:r>
      <w:r w:rsidR="00E713FD">
        <w:rPr>
          <w:rFonts w:ascii="Times New Roman" w:eastAsia="Times New Roman" w:hAnsi="Times New Roman"/>
          <w:sz w:val="24"/>
          <w:szCs w:val="24"/>
        </w:rPr>
        <w:t xml:space="preserve"> efektive</w:t>
      </w:r>
      <w:r w:rsidRPr="00771327">
        <w:rPr>
          <w:rFonts w:ascii="Times New Roman" w:eastAsia="Times New Roman" w:hAnsi="Times New Roman"/>
          <w:sz w:val="24"/>
          <w:szCs w:val="24"/>
        </w:rPr>
        <w:t>, afatin e paraqitjes së kërkesës, pasojat negative të pësuara në mënyrë të drejtpërdrejtë e reale, mundësinë për rivendosjen e së drejtës së shkelur, si dhe rregullimet e veçanta ligjore të shqyrtimit paraprak të kërkesës. Kriteret për pranueshmërinë e kërkesës janë të natyrës kumulative, në kuptimin që ato duhet të plotësohen njëkohësisht. Në këtë vështrim, mjafton mosplotësimi i njërit prej tyre që kërkuesi të mos legjitimohet për vënien në lëvizje të gjykimit kushtetues.</w:t>
      </w:r>
    </w:p>
    <w:p w:rsidR="00E713FD" w:rsidRPr="00370C56" w:rsidRDefault="00E713FD" w:rsidP="00E713FD">
      <w:pPr>
        <w:pStyle w:val="ListParagraph"/>
        <w:numPr>
          <w:ilvl w:val="0"/>
          <w:numId w:val="1"/>
        </w:numPr>
        <w:tabs>
          <w:tab w:val="left" w:pos="720"/>
          <w:tab w:val="left" w:pos="1080"/>
        </w:tabs>
        <w:spacing w:after="0" w:line="360" w:lineRule="auto"/>
        <w:ind w:left="0" w:firstLine="720"/>
        <w:jc w:val="both"/>
        <w:rPr>
          <w:rFonts w:ascii="Times New Roman" w:hAnsi="Times New Roman"/>
          <w:sz w:val="24"/>
          <w:szCs w:val="24"/>
        </w:rPr>
      </w:pPr>
      <w:r w:rsidRPr="00370C56">
        <w:rPr>
          <w:rFonts w:ascii="Times New Roman" w:eastAsia="MS Mincho" w:hAnsi="Times New Roman"/>
          <w:sz w:val="24"/>
          <w:szCs w:val="24"/>
        </w:rPr>
        <w:t>Kolegji konstaton se ankimi kushtetues është paraqitur nga kërkuesi Andrea Caca</w:t>
      </w:r>
      <w:r>
        <w:rPr>
          <w:rFonts w:ascii="Times New Roman" w:eastAsia="MS Mincho" w:hAnsi="Times New Roman"/>
          <w:sz w:val="24"/>
          <w:szCs w:val="24"/>
        </w:rPr>
        <w:t>,</w:t>
      </w:r>
      <w:r w:rsidRPr="00370C56">
        <w:rPr>
          <w:rFonts w:ascii="Times New Roman" w:eastAsia="MS Mincho" w:hAnsi="Times New Roman"/>
          <w:sz w:val="24"/>
          <w:szCs w:val="24"/>
        </w:rPr>
        <w:t xml:space="preserve"> por është nënshkruar</w:t>
      </w:r>
      <w:r>
        <w:rPr>
          <w:rFonts w:ascii="Times New Roman" w:eastAsia="MS Mincho" w:hAnsi="Times New Roman"/>
          <w:sz w:val="24"/>
          <w:szCs w:val="24"/>
        </w:rPr>
        <w:t>,</w:t>
      </w:r>
      <w:r w:rsidRPr="00370C56">
        <w:rPr>
          <w:rFonts w:ascii="Times New Roman" w:eastAsia="MS Mincho" w:hAnsi="Times New Roman"/>
          <w:sz w:val="24"/>
          <w:szCs w:val="24"/>
        </w:rPr>
        <w:t xml:space="preserve"> përveç tij</w:t>
      </w:r>
      <w:r>
        <w:rPr>
          <w:rFonts w:ascii="Times New Roman" w:eastAsia="MS Mincho" w:hAnsi="Times New Roman"/>
          <w:sz w:val="24"/>
          <w:szCs w:val="24"/>
        </w:rPr>
        <w:t>,</w:t>
      </w:r>
      <w:r w:rsidRPr="00370C56">
        <w:rPr>
          <w:rFonts w:ascii="Times New Roman" w:eastAsia="MS Mincho" w:hAnsi="Times New Roman"/>
          <w:sz w:val="24"/>
          <w:szCs w:val="24"/>
        </w:rPr>
        <w:t xml:space="preserve"> edhe nga person</w:t>
      </w:r>
      <w:r>
        <w:rPr>
          <w:rFonts w:ascii="Times New Roman" w:eastAsia="MS Mincho" w:hAnsi="Times New Roman"/>
          <w:sz w:val="24"/>
          <w:szCs w:val="24"/>
        </w:rPr>
        <w:t>i</w:t>
      </w:r>
      <w:r w:rsidRPr="00370C56">
        <w:rPr>
          <w:rFonts w:ascii="Times New Roman" w:eastAsia="MS Mincho" w:hAnsi="Times New Roman"/>
          <w:sz w:val="24"/>
          <w:szCs w:val="24"/>
        </w:rPr>
        <w:t xml:space="preserve"> tjetër E.K., që janë të bashkëpandehur në procesin gjyqësor penal objekt shqyrtimi. Nga përmbajtja dhe thelbi i ankimit kushtetues, si dhe komunikimet shkresore që Gjykata Kushtetuese ka mbajtur për efekt të plotësimit të ankimit</w:t>
      </w:r>
      <w:r>
        <w:rPr>
          <w:rFonts w:ascii="Times New Roman" w:eastAsia="MS Mincho" w:hAnsi="Times New Roman"/>
          <w:sz w:val="24"/>
          <w:szCs w:val="24"/>
        </w:rPr>
        <w:t xml:space="preserve"> kushtetues</w:t>
      </w:r>
      <w:r w:rsidRPr="00370C56">
        <w:rPr>
          <w:rFonts w:ascii="Times New Roman" w:eastAsia="MS Mincho" w:hAnsi="Times New Roman"/>
          <w:sz w:val="24"/>
          <w:szCs w:val="24"/>
        </w:rPr>
        <w:t>, Kolegji vëren se personi tjetër E.K. dukshëm nuk ka treguar interes për shqyrtimin e kësaj çështje</w:t>
      </w:r>
      <w:r>
        <w:rPr>
          <w:rFonts w:ascii="Times New Roman" w:eastAsia="MS Mincho" w:hAnsi="Times New Roman"/>
          <w:sz w:val="24"/>
          <w:szCs w:val="24"/>
        </w:rPr>
        <w:t>je</w:t>
      </w:r>
      <w:r w:rsidRPr="00370C56">
        <w:rPr>
          <w:rFonts w:ascii="Times New Roman" w:eastAsia="MS Mincho" w:hAnsi="Times New Roman"/>
          <w:sz w:val="24"/>
          <w:szCs w:val="24"/>
        </w:rPr>
        <w:t xml:space="preserve">. Për rrjedhojë, Kolegji çmon të marrë në shqyrtim paraprak kërkesën vetëm për kërkuesin Andrea Caca, i cili legjitimohet </w:t>
      </w:r>
      <w:r w:rsidRPr="00370C56">
        <w:rPr>
          <w:rFonts w:ascii="Times New Roman" w:eastAsia="MS Mincho" w:hAnsi="Times New Roman"/>
          <w:i/>
          <w:sz w:val="24"/>
          <w:szCs w:val="24"/>
        </w:rPr>
        <w:t>ratione personae</w:t>
      </w:r>
      <w:r w:rsidRPr="00370C56">
        <w:rPr>
          <w:rFonts w:ascii="Times New Roman" w:eastAsia="MS Mincho" w:hAnsi="Times New Roman"/>
          <w:sz w:val="24"/>
          <w:szCs w:val="24"/>
        </w:rPr>
        <w:t xml:space="preserve">, </w:t>
      </w:r>
      <w:r w:rsidRPr="00370C56">
        <w:rPr>
          <w:rFonts w:ascii="Times New Roman" w:hAnsi="Times New Roman"/>
          <w:sz w:val="24"/>
          <w:szCs w:val="24"/>
        </w:rPr>
        <w:t>në kuptim të neneve 131, pika 1, shkronja “f” dhe 134, pikat 1, shkronja “i” dhe 2, të Kushtetutës</w:t>
      </w:r>
      <w:r w:rsidRPr="00370C56">
        <w:rPr>
          <w:rFonts w:ascii="Times New Roman" w:eastAsia="MS Mincho" w:hAnsi="Times New Roman"/>
          <w:sz w:val="24"/>
          <w:szCs w:val="24"/>
        </w:rPr>
        <w:t xml:space="preserve">, </w:t>
      </w:r>
      <w:r w:rsidRPr="00370C56">
        <w:rPr>
          <w:rFonts w:ascii="Times New Roman" w:hAnsi="Times New Roman"/>
          <w:sz w:val="24"/>
          <w:szCs w:val="24"/>
        </w:rPr>
        <w:t>pasi është palë në procesin gjyqësor ku janë dhënë vendimet e kundërshtuara dhe ka interes të drejtpërdrejtë.</w:t>
      </w:r>
    </w:p>
    <w:p w:rsidR="007415A2" w:rsidRPr="00771327" w:rsidRDefault="007415A2" w:rsidP="00771327">
      <w:pPr>
        <w:pStyle w:val="ListParagraph"/>
        <w:numPr>
          <w:ilvl w:val="0"/>
          <w:numId w:val="1"/>
        </w:numPr>
        <w:tabs>
          <w:tab w:val="left" w:pos="720"/>
          <w:tab w:val="left" w:pos="1080"/>
        </w:tabs>
        <w:spacing w:after="0" w:line="360" w:lineRule="auto"/>
        <w:ind w:left="0" w:firstLine="720"/>
        <w:jc w:val="both"/>
        <w:rPr>
          <w:rFonts w:ascii="Times New Roman" w:hAnsi="Times New Roman"/>
          <w:sz w:val="24"/>
          <w:szCs w:val="24"/>
        </w:rPr>
      </w:pPr>
      <w:r w:rsidRPr="00771327">
        <w:rPr>
          <w:rFonts w:ascii="Times New Roman" w:hAnsi="Times New Roman"/>
          <w:sz w:val="24"/>
          <w:szCs w:val="24"/>
          <w:lang w:eastAsia="sq-AL"/>
        </w:rPr>
        <w:t xml:space="preserve">Një </w:t>
      </w:r>
      <w:r w:rsidR="00515CEC">
        <w:rPr>
          <w:rFonts w:ascii="Times New Roman" w:hAnsi="Times New Roman"/>
          <w:sz w:val="24"/>
          <w:szCs w:val="24"/>
          <w:lang w:eastAsia="sq-AL"/>
        </w:rPr>
        <w:t>tjetër</w:t>
      </w:r>
      <w:r w:rsidR="00515CEC" w:rsidRPr="00771327">
        <w:rPr>
          <w:rFonts w:ascii="Times New Roman" w:hAnsi="Times New Roman"/>
          <w:sz w:val="24"/>
          <w:szCs w:val="24"/>
          <w:lang w:eastAsia="sq-AL"/>
        </w:rPr>
        <w:t xml:space="preserve"> </w:t>
      </w:r>
      <w:r w:rsidRPr="00771327">
        <w:rPr>
          <w:rFonts w:ascii="Times New Roman" w:hAnsi="Times New Roman"/>
          <w:sz w:val="24"/>
          <w:szCs w:val="24"/>
          <w:lang w:eastAsia="sq-AL"/>
        </w:rPr>
        <w:t xml:space="preserve">kriter paraprak </w:t>
      </w:r>
      <w:r w:rsidR="00515CEC">
        <w:rPr>
          <w:rFonts w:ascii="Times New Roman" w:hAnsi="Times New Roman"/>
          <w:sz w:val="24"/>
          <w:szCs w:val="24"/>
          <w:lang w:eastAsia="sq-AL"/>
        </w:rPr>
        <w:t xml:space="preserve">për pranimin e ankimit kushtetues </w:t>
      </w:r>
      <w:r w:rsidRPr="00771327">
        <w:rPr>
          <w:rFonts w:ascii="Times New Roman" w:hAnsi="Times New Roman"/>
          <w:sz w:val="24"/>
          <w:szCs w:val="24"/>
          <w:lang w:eastAsia="sq-AL"/>
        </w:rPr>
        <w:t xml:space="preserve">është </w:t>
      </w:r>
      <w:r w:rsidRPr="00771327">
        <w:rPr>
          <w:rFonts w:ascii="Times New Roman" w:hAnsi="Times New Roman"/>
          <w:i/>
          <w:sz w:val="24"/>
          <w:szCs w:val="24"/>
          <w:lang w:eastAsia="sq-AL"/>
        </w:rPr>
        <w:t>shterimi i mjeteve juridike efektive,</w:t>
      </w:r>
      <w:r w:rsidRPr="00771327">
        <w:rPr>
          <w:rFonts w:ascii="Times New Roman" w:hAnsi="Times New Roman"/>
          <w:sz w:val="24"/>
          <w:szCs w:val="24"/>
          <w:lang w:eastAsia="sq-AL"/>
        </w:rPr>
        <w:t xml:space="preserve"> që përcaktohet nga neni </w:t>
      </w:r>
      <w:r w:rsidRPr="00771327">
        <w:rPr>
          <w:rFonts w:ascii="Times New Roman" w:hAnsi="Times New Roman"/>
          <w:color w:val="000000"/>
          <w:sz w:val="24"/>
          <w:szCs w:val="24"/>
          <w:lang w:eastAsia="sq-AL"/>
        </w:rPr>
        <w:t>131, pika 1, shkronja “f”, i Kushtetutës, sipas të cilit Gjykata Kushtetuese bën gjykimin përfundimtar të ankesave individuale kundër çdo vendimi gjyqësor</w:t>
      </w:r>
      <w:r w:rsidRPr="00771327">
        <w:rPr>
          <w:rFonts w:ascii="Times New Roman" w:hAnsi="Times New Roman"/>
          <w:color w:val="000000"/>
          <w:sz w:val="24"/>
          <w:szCs w:val="24"/>
          <w:lang w:eastAsia="fr-FR"/>
        </w:rPr>
        <w:t xml:space="preserve">, pasi të jenë shteruar të gjitha mjetet juridike efektive për mbrojtjen e të drejtave dhe lirive themelore kushtetuese, që pretendohet se janë cenuar. </w:t>
      </w:r>
      <w:r w:rsidRPr="00771327">
        <w:rPr>
          <w:rFonts w:ascii="Times New Roman" w:hAnsi="Times New Roman"/>
          <w:sz w:val="24"/>
          <w:szCs w:val="24"/>
        </w:rPr>
        <w:t>Në nenin 71/a, pika 1, shkronja “a”, të ligjit nr. 8577/2000, përmbushja e këtij kriteri është detajuar në dy hipoteza: i) kur kërkuesi ka shteruar të gjitha mjetet juridike efektive para se t’i drejtohet gjykatës; ii) kur legjislacioni i brendshëm nuk parashikon mjete efektive në dispozicion</w:t>
      </w:r>
      <w:r w:rsidRPr="00771327">
        <w:rPr>
          <w:rFonts w:ascii="Times New Roman" w:hAnsi="Times New Roman"/>
          <w:color w:val="000000"/>
          <w:sz w:val="24"/>
          <w:szCs w:val="24"/>
          <w:lang w:eastAsia="sq-AL"/>
        </w:rPr>
        <w:t>.</w:t>
      </w:r>
      <w:r w:rsidRPr="00771327">
        <w:rPr>
          <w:rFonts w:ascii="Times New Roman" w:hAnsi="Times New Roman"/>
          <w:color w:val="000000"/>
          <w:sz w:val="24"/>
          <w:szCs w:val="24"/>
          <w:lang w:eastAsia="fr-FR"/>
        </w:rPr>
        <w:t xml:space="preserve"> </w:t>
      </w:r>
    </w:p>
    <w:p w:rsidR="007415A2" w:rsidRPr="00771327" w:rsidRDefault="007415A2" w:rsidP="00771327">
      <w:pPr>
        <w:pStyle w:val="ListParagraph"/>
        <w:numPr>
          <w:ilvl w:val="0"/>
          <w:numId w:val="1"/>
        </w:numPr>
        <w:tabs>
          <w:tab w:val="left" w:pos="720"/>
          <w:tab w:val="left" w:pos="1080"/>
        </w:tabs>
        <w:spacing w:after="0" w:line="360" w:lineRule="auto"/>
        <w:ind w:left="0" w:firstLine="720"/>
        <w:jc w:val="both"/>
        <w:rPr>
          <w:rFonts w:ascii="Times New Roman" w:hAnsi="Times New Roman"/>
          <w:sz w:val="24"/>
          <w:szCs w:val="24"/>
        </w:rPr>
      </w:pPr>
      <w:r w:rsidRPr="00771327">
        <w:rPr>
          <w:rFonts w:ascii="Times New Roman" w:hAnsi="Times New Roman"/>
          <w:bCs/>
          <w:sz w:val="24"/>
          <w:szCs w:val="24"/>
        </w:rPr>
        <w:t>Gjykat</w:t>
      </w:r>
      <w:r w:rsidR="00E713FD">
        <w:rPr>
          <w:rFonts w:ascii="Times New Roman" w:hAnsi="Times New Roman"/>
          <w:bCs/>
          <w:sz w:val="24"/>
          <w:szCs w:val="24"/>
        </w:rPr>
        <w:t>a Kushtetuese</w:t>
      </w:r>
      <w:r w:rsidRPr="00771327">
        <w:rPr>
          <w:rFonts w:ascii="Times New Roman" w:hAnsi="Times New Roman"/>
          <w:bCs/>
          <w:sz w:val="24"/>
          <w:szCs w:val="24"/>
        </w:rPr>
        <w:t xml:space="preserve"> ka theksuar se </w:t>
      </w:r>
      <w:r w:rsidRPr="00771327">
        <w:rPr>
          <w:rFonts w:ascii="Times New Roman" w:hAnsi="Times New Roman"/>
          <w:sz w:val="24"/>
          <w:szCs w:val="24"/>
        </w:rPr>
        <w:t xml:space="preserve">mbrojtja kushtetuese ka një funksion përfundimtar, që do të thotë se mund të aplikohet vetëm në lidhje me vendime për të cilat kanë përfunduar procedurat gjyqësore. </w:t>
      </w:r>
      <w:r w:rsidRPr="00771327">
        <w:rPr>
          <w:rFonts w:ascii="Times New Roman" w:hAnsi="Times New Roman"/>
          <w:bCs/>
          <w:sz w:val="24"/>
          <w:szCs w:val="24"/>
        </w:rPr>
        <w:t>K</w:t>
      </w:r>
      <w:r w:rsidRPr="00771327">
        <w:rPr>
          <w:rFonts w:ascii="Times New Roman" w:hAnsi="Times New Roman"/>
          <w:sz w:val="24"/>
          <w:szCs w:val="24"/>
        </w:rPr>
        <w:t xml:space="preserve">ontrolli i ushtruar nga Gjykata Kushtetuese, përfshirë edhe rastet e shkeljes së të drejtave të individit nga një proces i parregullt ligjor, është një kontroll </w:t>
      </w:r>
      <w:r w:rsidRPr="00771327">
        <w:rPr>
          <w:rFonts w:ascii="Times New Roman" w:hAnsi="Times New Roman"/>
          <w:i/>
          <w:sz w:val="24"/>
          <w:szCs w:val="24"/>
        </w:rPr>
        <w:t>subsidiar,</w:t>
      </w:r>
      <w:r w:rsidRPr="00771327">
        <w:rPr>
          <w:rFonts w:ascii="Times New Roman" w:hAnsi="Times New Roman"/>
          <w:sz w:val="24"/>
          <w:szCs w:val="24"/>
        </w:rPr>
        <w:t xml:space="preserve"> që do të thotë se individi duhet t’i ketë shteruar mjetet dhe rrugët e tjera ligjore. Shterimi nënkupton se kërkuesi duhet t’i shfrytëzojë në shkallët e sistemit gjyqësor të gjitha mjetet e lejueshme dhe mundësitë procedurale për vendosjen në vend të të drejtave të pretenduara të shkelura. Mjetet ligjore shterojnë kur, në varësi të rrethanave të çështjes, rregullat procedurale nuk parashikojnë mjete të tjera ankimi</w:t>
      </w:r>
      <w:r w:rsidR="00E713FD">
        <w:rPr>
          <w:rFonts w:ascii="Times New Roman" w:hAnsi="Times New Roman"/>
          <w:iCs/>
          <w:sz w:val="24"/>
          <w:szCs w:val="24"/>
        </w:rPr>
        <w:t xml:space="preserve"> </w:t>
      </w:r>
      <w:r w:rsidRPr="00771327">
        <w:rPr>
          <w:rFonts w:ascii="Times New Roman" w:hAnsi="Times New Roman"/>
          <w:sz w:val="24"/>
          <w:szCs w:val="24"/>
        </w:rPr>
        <w:t>(</w:t>
      </w:r>
      <w:r w:rsidR="007777A0" w:rsidRPr="00AE0D5E">
        <w:rPr>
          <w:rFonts w:ascii="Times New Roman" w:hAnsi="Times New Roman"/>
          <w:i/>
          <w:sz w:val="24"/>
          <w:szCs w:val="24"/>
        </w:rPr>
        <w:t xml:space="preserve">shih vendimet nr. </w:t>
      </w:r>
      <w:r w:rsidR="005E33D5">
        <w:rPr>
          <w:rFonts w:ascii="Times New Roman" w:hAnsi="Times New Roman"/>
          <w:i/>
          <w:sz w:val="24"/>
          <w:szCs w:val="24"/>
        </w:rPr>
        <w:t>14, dat</w:t>
      </w:r>
      <w:r w:rsidR="00805851">
        <w:rPr>
          <w:rFonts w:ascii="Times New Roman" w:hAnsi="Times New Roman"/>
          <w:i/>
          <w:sz w:val="24"/>
          <w:szCs w:val="24"/>
        </w:rPr>
        <w:t>ë</w:t>
      </w:r>
      <w:r w:rsidR="005E33D5">
        <w:rPr>
          <w:rFonts w:ascii="Times New Roman" w:hAnsi="Times New Roman"/>
          <w:i/>
          <w:sz w:val="24"/>
          <w:szCs w:val="24"/>
        </w:rPr>
        <w:t xml:space="preserve">  21.06.2022; nr. </w:t>
      </w:r>
      <w:r w:rsidR="007777A0" w:rsidRPr="00AE0D5E">
        <w:rPr>
          <w:rFonts w:ascii="Times New Roman" w:hAnsi="Times New Roman"/>
          <w:i/>
          <w:sz w:val="24"/>
          <w:szCs w:val="24"/>
        </w:rPr>
        <w:t xml:space="preserve">14, datë 11.03.2021; </w:t>
      </w:r>
      <w:r w:rsidR="005E33D5">
        <w:rPr>
          <w:rFonts w:ascii="Times New Roman" w:hAnsi="Times New Roman"/>
          <w:i/>
          <w:sz w:val="24"/>
          <w:szCs w:val="24"/>
        </w:rPr>
        <w:t>nr. 17, dat</w:t>
      </w:r>
      <w:r w:rsidR="00805851">
        <w:rPr>
          <w:rFonts w:ascii="Times New Roman" w:hAnsi="Times New Roman"/>
          <w:i/>
          <w:sz w:val="24"/>
          <w:szCs w:val="24"/>
        </w:rPr>
        <w:t>ë</w:t>
      </w:r>
      <w:r w:rsidR="005E33D5">
        <w:rPr>
          <w:rFonts w:ascii="Times New Roman" w:hAnsi="Times New Roman"/>
          <w:i/>
          <w:sz w:val="24"/>
          <w:szCs w:val="24"/>
        </w:rPr>
        <w:t xml:space="preserve"> 16.05.2011</w:t>
      </w:r>
      <w:r w:rsidR="007777A0" w:rsidRPr="00AE0D5E">
        <w:rPr>
          <w:rFonts w:ascii="Times New Roman" w:hAnsi="Times New Roman"/>
          <w:i/>
          <w:iCs/>
          <w:sz w:val="24"/>
          <w:szCs w:val="24"/>
        </w:rPr>
        <w:t xml:space="preserve"> </w:t>
      </w:r>
      <w:r w:rsidR="007777A0" w:rsidRPr="00AE0D5E">
        <w:rPr>
          <w:rFonts w:ascii="Times New Roman" w:hAnsi="Times New Roman"/>
          <w:i/>
          <w:sz w:val="24"/>
          <w:szCs w:val="24"/>
        </w:rPr>
        <w:t>të Gjykatës Kushtetuese</w:t>
      </w:r>
      <w:r w:rsidR="007777A0" w:rsidRPr="00AE0D5E">
        <w:rPr>
          <w:rFonts w:ascii="Times New Roman" w:hAnsi="Times New Roman"/>
          <w:sz w:val="24"/>
          <w:szCs w:val="24"/>
        </w:rPr>
        <w:t>).</w:t>
      </w:r>
      <w:r w:rsidRPr="00771327">
        <w:rPr>
          <w:rFonts w:ascii="Times New Roman" w:hAnsi="Times New Roman"/>
          <w:sz w:val="24"/>
          <w:szCs w:val="24"/>
        </w:rPr>
        <w:t>).</w:t>
      </w:r>
    </w:p>
    <w:p w:rsidR="00E713FD" w:rsidRPr="003B098C" w:rsidRDefault="00E713FD" w:rsidP="00E713FD">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sidRPr="00235A16">
        <w:rPr>
          <w:rFonts w:ascii="Times New Roman" w:hAnsi="Times New Roman"/>
          <w:sz w:val="24"/>
          <w:szCs w:val="24"/>
        </w:rPr>
        <w:t xml:space="preserve">Në rastin objekt shqyrtimi, Kolegji vëren se kërkuesi ka kundërshtuar vendimin </w:t>
      </w:r>
      <w:r w:rsidRPr="00235A16">
        <w:rPr>
          <w:rFonts w:ascii="Times New Roman" w:eastAsia="MS Mincho" w:hAnsi="Times New Roman"/>
          <w:sz w:val="24"/>
          <w:szCs w:val="24"/>
        </w:rPr>
        <w:t>nr. 69, datë 11.11.2021 të GJKKO-së së Shkallës së Parë dhe vendimin nr. 29, datë 18.05.2022 të GJKKO-së së Apelit, duke kërkuar kthimin e çështjes për rigjykim në GJKKO-në e Shkallës së parë me tjetër trup gjykues. N</w:t>
      </w:r>
      <w:r w:rsidRPr="00235A16">
        <w:rPr>
          <w:rFonts w:ascii="Times New Roman" w:hAnsi="Times New Roman"/>
          <w:sz w:val="24"/>
          <w:szCs w:val="24"/>
        </w:rPr>
        <w:t>dërkohë</w:t>
      </w:r>
      <w:r>
        <w:rPr>
          <w:rFonts w:ascii="Times New Roman" w:hAnsi="Times New Roman"/>
          <w:sz w:val="24"/>
          <w:szCs w:val="24"/>
        </w:rPr>
        <w:t>,</w:t>
      </w:r>
      <w:r w:rsidRPr="00235A16">
        <w:rPr>
          <w:rFonts w:ascii="Times New Roman" w:hAnsi="Times New Roman"/>
          <w:sz w:val="24"/>
          <w:szCs w:val="24"/>
        </w:rPr>
        <w:t xml:space="preserve"> nga përmbajtja e ankimit kushtetues dhe </w:t>
      </w:r>
      <w:r>
        <w:rPr>
          <w:rFonts w:ascii="Times New Roman" w:hAnsi="Times New Roman"/>
          <w:sz w:val="24"/>
          <w:szCs w:val="24"/>
        </w:rPr>
        <w:t xml:space="preserve">komunikimet eklektronike me </w:t>
      </w:r>
      <w:r w:rsidRPr="00235A16">
        <w:rPr>
          <w:rFonts w:ascii="Times New Roman" w:hAnsi="Times New Roman"/>
          <w:sz w:val="24"/>
          <w:szCs w:val="24"/>
        </w:rPr>
        <w:t>Gjykatë</w:t>
      </w:r>
      <w:r>
        <w:rPr>
          <w:rFonts w:ascii="Times New Roman" w:hAnsi="Times New Roman"/>
          <w:sz w:val="24"/>
          <w:szCs w:val="24"/>
        </w:rPr>
        <w:t>n e</w:t>
      </w:r>
      <w:r w:rsidRPr="00235A16">
        <w:rPr>
          <w:rFonts w:ascii="Times New Roman" w:hAnsi="Times New Roman"/>
          <w:sz w:val="24"/>
          <w:szCs w:val="24"/>
        </w:rPr>
        <w:t xml:space="preserve"> Lartë</w:t>
      </w:r>
      <w:r>
        <w:rPr>
          <w:rFonts w:ascii="Times New Roman" w:hAnsi="Times New Roman"/>
          <w:sz w:val="24"/>
          <w:szCs w:val="24"/>
        </w:rPr>
        <w:t>, nga data 1</w:t>
      </w:r>
      <w:r w:rsidR="00805851">
        <w:rPr>
          <w:rFonts w:ascii="Times New Roman" w:hAnsi="Times New Roman"/>
          <w:sz w:val="24"/>
          <w:szCs w:val="24"/>
        </w:rPr>
        <w:t>2</w:t>
      </w:r>
      <w:r>
        <w:rPr>
          <w:rFonts w:ascii="Times New Roman" w:hAnsi="Times New Roman"/>
          <w:sz w:val="24"/>
          <w:szCs w:val="24"/>
        </w:rPr>
        <w:t>.10.2022 deri në marrjen e këtij vendimi, rezulto</w:t>
      </w:r>
      <w:r w:rsidR="00D13DB1">
        <w:rPr>
          <w:rFonts w:ascii="Times New Roman" w:hAnsi="Times New Roman"/>
          <w:sz w:val="24"/>
          <w:szCs w:val="24"/>
        </w:rPr>
        <w:t>n</w:t>
      </w:r>
      <w:r>
        <w:rPr>
          <w:rFonts w:ascii="Times New Roman" w:hAnsi="Times New Roman"/>
          <w:sz w:val="24"/>
          <w:szCs w:val="24"/>
        </w:rPr>
        <w:t xml:space="preserve"> se kërkuesi nuk ka </w:t>
      </w:r>
      <w:r w:rsidRPr="00235A16">
        <w:rPr>
          <w:rFonts w:ascii="Times New Roman" w:hAnsi="Times New Roman"/>
          <w:sz w:val="24"/>
          <w:szCs w:val="24"/>
        </w:rPr>
        <w:t xml:space="preserve">ushtruar rekurs kundër këtyre vendimeve, shqyrtimi i të cilit </w:t>
      </w:r>
      <w:r>
        <w:rPr>
          <w:rFonts w:ascii="Times New Roman" w:hAnsi="Times New Roman"/>
          <w:sz w:val="24"/>
          <w:szCs w:val="24"/>
        </w:rPr>
        <w:t xml:space="preserve">do të </w:t>
      </w:r>
      <w:r w:rsidRPr="00235A16">
        <w:rPr>
          <w:rFonts w:ascii="Times New Roman" w:hAnsi="Times New Roman"/>
          <w:sz w:val="24"/>
          <w:szCs w:val="24"/>
        </w:rPr>
        <w:t>përmbyll</w:t>
      </w:r>
      <w:r>
        <w:rPr>
          <w:rFonts w:ascii="Times New Roman" w:hAnsi="Times New Roman"/>
          <w:sz w:val="24"/>
          <w:szCs w:val="24"/>
        </w:rPr>
        <w:t>te</w:t>
      </w:r>
      <w:r w:rsidRPr="00235A16">
        <w:rPr>
          <w:rFonts w:ascii="Times New Roman" w:hAnsi="Times New Roman"/>
          <w:sz w:val="24"/>
          <w:szCs w:val="24"/>
        </w:rPr>
        <w:t xml:space="preserve"> procesin gjyqësor të zgjidhjes në themel të mosmarrëveshjes gjyqësore. </w:t>
      </w:r>
    </w:p>
    <w:p w:rsidR="00E713FD" w:rsidRPr="00235A16" w:rsidRDefault="00E713FD" w:rsidP="00E713FD">
      <w:pPr>
        <w:pStyle w:val="ListParagraph"/>
        <w:numPr>
          <w:ilvl w:val="0"/>
          <w:numId w:val="1"/>
        </w:numPr>
        <w:tabs>
          <w:tab w:val="left" w:pos="1080"/>
        </w:tabs>
        <w:spacing w:after="0" w:line="360" w:lineRule="auto"/>
        <w:ind w:left="0" w:firstLine="720"/>
        <w:jc w:val="both"/>
        <w:rPr>
          <w:rFonts w:ascii="Times New Roman" w:hAnsi="Times New Roman"/>
          <w:bCs/>
          <w:iCs/>
          <w:sz w:val="24"/>
          <w:szCs w:val="24"/>
        </w:rPr>
      </w:pPr>
      <w:r>
        <w:rPr>
          <w:rFonts w:ascii="Times New Roman" w:hAnsi="Times New Roman"/>
          <w:sz w:val="24"/>
          <w:szCs w:val="24"/>
        </w:rPr>
        <w:t>Për sa më lart</w:t>
      </w:r>
      <w:r w:rsidRPr="00235A16">
        <w:rPr>
          <w:rFonts w:ascii="Times New Roman" w:hAnsi="Times New Roman"/>
          <w:sz w:val="24"/>
          <w:szCs w:val="24"/>
        </w:rPr>
        <w:t xml:space="preserve">, Kolegji </w:t>
      </w:r>
      <w:r>
        <w:rPr>
          <w:rFonts w:ascii="Times New Roman" w:hAnsi="Times New Roman"/>
          <w:sz w:val="24"/>
          <w:szCs w:val="24"/>
        </w:rPr>
        <w:t xml:space="preserve">vlerëson se </w:t>
      </w:r>
      <w:r w:rsidRPr="00235A16">
        <w:rPr>
          <w:rFonts w:ascii="Times New Roman" w:hAnsi="Times New Roman"/>
          <w:sz w:val="24"/>
          <w:szCs w:val="24"/>
        </w:rPr>
        <w:t xml:space="preserve">kërkuesi nuk ka shteruar të gjitha mjetet juridike efektive para se t’i drejtohet Gjykatës Kushtetuese, në kuptim të nenit 131, pika 1, shkronja “f”, të Kushtetutës. </w:t>
      </w:r>
    </w:p>
    <w:p w:rsidR="00FD5106" w:rsidRDefault="00E713FD" w:rsidP="00803096">
      <w:pPr>
        <w:pStyle w:val="ListParagraph"/>
        <w:numPr>
          <w:ilvl w:val="0"/>
          <w:numId w:val="1"/>
        </w:numPr>
        <w:tabs>
          <w:tab w:val="left" w:pos="1080"/>
        </w:tabs>
        <w:spacing w:after="0" w:line="360" w:lineRule="auto"/>
        <w:ind w:left="0" w:firstLine="720"/>
        <w:jc w:val="both"/>
        <w:rPr>
          <w:rFonts w:ascii="Times New Roman" w:hAnsi="Times New Roman"/>
          <w:sz w:val="24"/>
          <w:szCs w:val="24"/>
        </w:rPr>
      </w:pPr>
      <w:r>
        <w:rPr>
          <w:rFonts w:ascii="Times New Roman" w:hAnsi="Times New Roman"/>
          <w:sz w:val="24"/>
          <w:szCs w:val="24"/>
        </w:rPr>
        <w:t>N</w:t>
      </w:r>
      <w:r w:rsidR="00D13DB1">
        <w:rPr>
          <w:rFonts w:ascii="Times New Roman" w:hAnsi="Times New Roman"/>
          <w:sz w:val="24"/>
          <w:szCs w:val="24"/>
        </w:rPr>
        <w:t>ë</w:t>
      </w:r>
      <w:r>
        <w:rPr>
          <w:rFonts w:ascii="Times New Roman" w:hAnsi="Times New Roman"/>
          <w:sz w:val="24"/>
          <w:szCs w:val="24"/>
        </w:rPr>
        <w:t xml:space="preserve"> p</w:t>
      </w:r>
      <w:r w:rsidR="00D13DB1">
        <w:rPr>
          <w:rFonts w:ascii="Times New Roman" w:hAnsi="Times New Roman"/>
          <w:sz w:val="24"/>
          <w:szCs w:val="24"/>
        </w:rPr>
        <w:t>ë</w:t>
      </w:r>
      <w:r>
        <w:rPr>
          <w:rFonts w:ascii="Times New Roman" w:hAnsi="Times New Roman"/>
          <w:sz w:val="24"/>
          <w:szCs w:val="24"/>
        </w:rPr>
        <w:t>rfundim</w:t>
      </w:r>
      <w:r w:rsidR="00FD5106" w:rsidRPr="00771327">
        <w:rPr>
          <w:rFonts w:ascii="Times New Roman" w:hAnsi="Times New Roman"/>
          <w:sz w:val="24"/>
          <w:szCs w:val="24"/>
        </w:rPr>
        <w:t xml:space="preserve">, Kolegji </w:t>
      </w:r>
      <w:r>
        <w:rPr>
          <w:rFonts w:ascii="Times New Roman" w:hAnsi="Times New Roman"/>
          <w:sz w:val="24"/>
          <w:szCs w:val="24"/>
        </w:rPr>
        <w:t>çmon</w:t>
      </w:r>
      <w:r w:rsidR="002E302B">
        <w:rPr>
          <w:rFonts w:ascii="Times New Roman" w:hAnsi="Times New Roman"/>
          <w:sz w:val="24"/>
          <w:szCs w:val="24"/>
        </w:rPr>
        <w:t xml:space="preserve"> se</w:t>
      </w:r>
      <w:r w:rsidR="00FD5106" w:rsidRPr="00771327">
        <w:rPr>
          <w:rFonts w:ascii="Times New Roman" w:hAnsi="Times New Roman"/>
          <w:sz w:val="24"/>
          <w:szCs w:val="24"/>
        </w:rPr>
        <w:t xml:space="preserve"> </w:t>
      </w:r>
      <w:r w:rsidR="00A41F33" w:rsidRPr="00771327">
        <w:rPr>
          <w:rFonts w:ascii="Times New Roman" w:hAnsi="Times New Roman"/>
          <w:sz w:val="24"/>
          <w:szCs w:val="24"/>
        </w:rPr>
        <w:t>kërkuesi nuk legjitimohet për t`iu drejtuar Gjykatës Kushtetuese</w:t>
      </w:r>
      <w:r w:rsidR="002E302B">
        <w:rPr>
          <w:rFonts w:ascii="Times New Roman" w:hAnsi="Times New Roman"/>
          <w:sz w:val="24"/>
          <w:szCs w:val="24"/>
        </w:rPr>
        <w:t>, p</w:t>
      </w:r>
      <w:r w:rsidR="00771327">
        <w:rPr>
          <w:rFonts w:ascii="Times New Roman" w:hAnsi="Times New Roman"/>
          <w:sz w:val="24"/>
          <w:szCs w:val="24"/>
        </w:rPr>
        <w:t>ë</w:t>
      </w:r>
      <w:r w:rsidR="00771327" w:rsidRPr="00771327">
        <w:rPr>
          <w:rFonts w:ascii="Times New Roman" w:hAnsi="Times New Roman"/>
          <w:sz w:val="24"/>
          <w:szCs w:val="24"/>
        </w:rPr>
        <w:t>r rrjedhoj</w:t>
      </w:r>
      <w:r w:rsidR="00771327">
        <w:rPr>
          <w:rFonts w:ascii="Times New Roman" w:hAnsi="Times New Roman"/>
          <w:sz w:val="24"/>
          <w:szCs w:val="24"/>
        </w:rPr>
        <w:t>ë</w:t>
      </w:r>
      <w:r w:rsidR="00771327" w:rsidRPr="00771327">
        <w:rPr>
          <w:rFonts w:ascii="Times New Roman" w:hAnsi="Times New Roman"/>
          <w:sz w:val="24"/>
          <w:szCs w:val="24"/>
        </w:rPr>
        <w:t xml:space="preserve"> </w:t>
      </w:r>
      <w:r w:rsidR="00FD5106" w:rsidRPr="00771327">
        <w:rPr>
          <w:rFonts w:ascii="Times New Roman" w:hAnsi="Times New Roman"/>
          <w:sz w:val="24"/>
          <w:szCs w:val="24"/>
        </w:rPr>
        <w:t>kërkesa nuk plotëson kriteret ligjore për pranimin e saj për shqyrtim në seancë plenare.</w:t>
      </w:r>
    </w:p>
    <w:p w:rsidR="00803096" w:rsidRPr="00803096" w:rsidRDefault="00803096" w:rsidP="00803096">
      <w:pPr>
        <w:pStyle w:val="ListParagraph"/>
        <w:tabs>
          <w:tab w:val="left" w:pos="1080"/>
        </w:tabs>
        <w:spacing w:after="0" w:line="360" w:lineRule="auto"/>
        <w:jc w:val="both"/>
        <w:rPr>
          <w:rFonts w:ascii="Times New Roman" w:hAnsi="Times New Roman"/>
          <w:sz w:val="24"/>
          <w:szCs w:val="24"/>
        </w:rPr>
      </w:pPr>
    </w:p>
    <w:p w:rsidR="00FD5106" w:rsidRPr="000B7AEE" w:rsidRDefault="00FD5106" w:rsidP="00FD5106">
      <w:pPr>
        <w:spacing w:after="0" w:line="360" w:lineRule="auto"/>
        <w:jc w:val="center"/>
        <w:rPr>
          <w:rFonts w:ascii="Times New Roman" w:eastAsia="Times New Roman" w:hAnsi="Times New Roman"/>
          <w:b/>
          <w:bCs/>
          <w:sz w:val="24"/>
          <w:szCs w:val="24"/>
        </w:rPr>
      </w:pPr>
      <w:r w:rsidRPr="000B7AEE">
        <w:rPr>
          <w:rFonts w:ascii="Times New Roman" w:eastAsia="Times New Roman" w:hAnsi="Times New Roman"/>
          <w:b/>
          <w:bCs/>
          <w:sz w:val="24"/>
          <w:szCs w:val="24"/>
        </w:rPr>
        <w:t>PËR KËTO ARSYE,</w:t>
      </w:r>
    </w:p>
    <w:p w:rsidR="00FD5106" w:rsidRPr="000B7AEE" w:rsidRDefault="00FD5106" w:rsidP="00FD5106">
      <w:pPr>
        <w:spacing w:after="0" w:line="360" w:lineRule="auto"/>
        <w:ind w:firstLine="720"/>
        <w:jc w:val="both"/>
        <w:rPr>
          <w:rFonts w:ascii="Times New Roman" w:hAnsi="Times New Roman"/>
          <w:sz w:val="24"/>
          <w:szCs w:val="24"/>
        </w:rPr>
      </w:pPr>
      <w:r w:rsidRPr="000B7AEE">
        <w:rPr>
          <w:rFonts w:ascii="Times New Roman" w:eastAsia="Times New Roman" w:hAnsi="Times New Roman"/>
          <w:sz w:val="24"/>
          <w:szCs w:val="24"/>
        </w:rPr>
        <w:t xml:space="preserve">Kolegji i Gjykatës Kushtetuese të Republikës së Shqipërisë, </w:t>
      </w:r>
      <w:r w:rsidRPr="000B7AEE">
        <w:rPr>
          <w:rFonts w:ascii="Times New Roman" w:hAnsi="Times New Roman"/>
          <w:sz w:val="24"/>
          <w:szCs w:val="24"/>
        </w:rPr>
        <w:t>në bazë të neneve 31 dhe 31/a, pika 2, shkronja “</w:t>
      </w:r>
      <w:r>
        <w:rPr>
          <w:rFonts w:ascii="Times New Roman" w:hAnsi="Times New Roman"/>
          <w:sz w:val="24"/>
          <w:szCs w:val="24"/>
        </w:rPr>
        <w:t>d</w:t>
      </w:r>
      <w:r w:rsidRPr="000B7AEE">
        <w:rPr>
          <w:rFonts w:ascii="Times New Roman" w:hAnsi="Times New Roman"/>
          <w:sz w:val="24"/>
          <w:szCs w:val="24"/>
        </w:rPr>
        <w:t>”</w:t>
      </w:r>
      <w:r w:rsidR="00D13DB1">
        <w:rPr>
          <w:rFonts w:ascii="Times New Roman" w:hAnsi="Times New Roman"/>
          <w:sz w:val="24"/>
          <w:szCs w:val="24"/>
        </w:rPr>
        <w:t>,</w:t>
      </w:r>
      <w:r w:rsidRPr="000B7AEE">
        <w:rPr>
          <w:rFonts w:ascii="Times New Roman" w:hAnsi="Times New Roman"/>
          <w:sz w:val="24"/>
          <w:szCs w:val="24"/>
        </w:rPr>
        <w:t xml:space="preserve"> të ligjit nr. 8577, datë 10.02.2000 “Për organizimin dhe funksionimin e Gjykatës Kushtetuese të Republikës së Shqipërisë”, të ndryshuar,</w:t>
      </w:r>
    </w:p>
    <w:p w:rsidR="00FD5106" w:rsidRPr="000B7AEE" w:rsidRDefault="00FD5106" w:rsidP="00FD5106">
      <w:pPr>
        <w:pStyle w:val="ListParagraph"/>
        <w:spacing w:after="0" w:line="360" w:lineRule="auto"/>
        <w:rPr>
          <w:rFonts w:ascii="Times New Roman" w:eastAsia="Times New Roman" w:hAnsi="Times New Roman"/>
          <w:b/>
          <w:bCs/>
          <w:sz w:val="24"/>
          <w:szCs w:val="24"/>
        </w:rPr>
      </w:pPr>
    </w:p>
    <w:p w:rsidR="00FD5106" w:rsidRPr="000B7AEE" w:rsidRDefault="00FD5106" w:rsidP="00FD5106">
      <w:pPr>
        <w:pStyle w:val="ListParagraph"/>
        <w:spacing w:after="0" w:line="360" w:lineRule="auto"/>
        <w:ind w:left="0"/>
        <w:jc w:val="center"/>
        <w:rPr>
          <w:rFonts w:ascii="Times New Roman" w:eastAsia="Times New Roman" w:hAnsi="Times New Roman"/>
          <w:b/>
          <w:bCs/>
          <w:sz w:val="24"/>
          <w:szCs w:val="24"/>
        </w:rPr>
      </w:pPr>
      <w:r w:rsidRPr="000B7AEE">
        <w:rPr>
          <w:rFonts w:ascii="Times New Roman" w:eastAsia="Times New Roman" w:hAnsi="Times New Roman"/>
          <w:b/>
          <w:bCs/>
          <w:sz w:val="24"/>
          <w:szCs w:val="24"/>
        </w:rPr>
        <w:t>V E N D O S I:</w:t>
      </w:r>
    </w:p>
    <w:p w:rsidR="00FD5106" w:rsidRPr="000B7AEE" w:rsidRDefault="00FD5106" w:rsidP="00FD5106">
      <w:pPr>
        <w:spacing w:after="0" w:line="360" w:lineRule="auto"/>
        <w:ind w:firstLine="720"/>
        <w:rPr>
          <w:rFonts w:ascii="Times New Roman" w:eastAsia="Times New Roman" w:hAnsi="Times New Roman"/>
          <w:b/>
          <w:bCs/>
          <w:sz w:val="24"/>
          <w:szCs w:val="24"/>
        </w:rPr>
      </w:pPr>
      <w:r w:rsidRPr="000B7AEE">
        <w:rPr>
          <w:rFonts w:ascii="Times New Roman" w:eastAsia="Times New Roman" w:hAnsi="Times New Roman"/>
          <w:sz w:val="24"/>
          <w:szCs w:val="24"/>
        </w:rPr>
        <w:t xml:space="preserve">Moskalimin e çështjes për shqyrtim në seancë plenare.  </w:t>
      </w:r>
    </w:p>
    <w:p w:rsidR="00925C20" w:rsidRDefault="00925C20" w:rsidP="00925C20">
      <w:pPr>
        <w:tabs>
          <w:tab w:val="left" w:pos="0"/>
        </w:tabs>
        <w:spacing w:after="0" w:line="360" w:lineRule="auto"/>
      </w:pPr>
    </w:p>
    <w:sectPr w:rsidR="00925C20" w:rsidSect="00617183">
      <w:footerReference w:type="default" r:id="rId8"/>
      <w:footerReference w:type="first" r:id="rId9"/>
      <w:pgSz w:w="12240" w:h="15840"/>
      <w:pgMar w:top="990" w:right="1440" w:bottom="1440" w:left="1440"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FA" w:rsidRDefault="004656FA" w:rsidP="00FD5106">
      <w:pPr>
        <w:spacing w:after="0" w:line="240" w:lineRule="auto"/>
      </w:pPr>
      <w:r>
        <w:separator/>
      </w:r>
    </w:p>
  </w:endnote>
  <w:endnote w:type="continuationSeparator" w:id="0">
    <w:p w:rsidR="004656FA" w:rsidRDefault="004656FA" w:rsidP="00FD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6390"/>
      <w:docPartObj>
        <w:docPartGallery w:val="Page Numbers (Bottom of Page)"/>
        <w:docPartUnique/>
      </w:docPartObj>
    </w:sdtPr>
    <w:sdtEndPr>
      <w:rPr>
        <w:rFonts w:ascii="Times New Roman" w:hAnsi="Times New Roman"/>
        <w:noProof/>
      </w:rPr>
    </w:sdtEndPr>
    <w:sdtContent>
      <w:p w:rsidR="00832759" w:rsidRPr="00771629" w:rsidRDefault="004656FA" w:rsidP="00832759">
        <w:pPr>
          <w:pStyle w:val="Header"/>
        </w:pPr>
      </w:p>
      <w:p w:rsidR="00832759" w:rsidRPr="00275C16" w:rsidRDefault="003F0094" w:rsidP="00832759">
        <w:pPr>
          <w:pStyle w:val="Footer"/>
          <w:pBdr>
            <w:top w:val="thinThickSmallGap" w:sz="24" w:space="1" w:color="622423"/>
          </w:pBdr>
          <w:spacing w:after="0" w:line="240" w:lineRule="auto"/>
          <w:rPr>
            <w:rFonts w:ascii="Times New Roman" w:hAnsi="Times New Roman"/>
            <w:lang w:val="it-IT"/>
          </w:rPr>
        </w:pPr>
        <w:r>
          <w:rPr>
            <w:rFonts w:ascii="Times New Roman" w:hAnsi="Times New Roman"/>
            <w:lang w:val="it-IT"/>
          </w:rPr>
          <w:t>V</w:t>
        </w:r>
        <w:r w:rsidR="00A63EFE" w:rsidRPr="00275C16">
          <w:rPr>
            <w:rFonts w:ascii="Times New Roman" w:hAnsi="Times New Roman"/>
            <w:lang w:val="it-IT"/>
          </w:rPr>
          <w:t xml:space="preserve">endim i Kolegjit </w:t>
        </w:r>
      </w:p>
      <w:p w:rsidR="00832759" w:rsidRPr="00771629" w:rsidRDefault="00A63EFE" w:rsidP="00832759">
        <w:pPr>
          <w:pStyle w:val="Footer"/>
          <w:pBdr>
            <w:top w:val="thinThickSmallGap" w:sz="24" w:space="1" w:color="622423"/>
          </w:pBdr>
          <w:spacing w:after="0" w:line="240" w:lineRule="auto"/>
          <w:rPr>
            <w:rFonts w:ascii="Times New Roman" w:hAnsi="Times New Roman"/>
          </w:rPr>
        </w:pPr>
        <w:r w:rsidRPr="00275C16">
          <w:rPr>
            <w:rFonts w:ascii="Times New Roman" w:hAnsi="Times New Roman"/>
            <w:lang w:val="it-IT"/>
          </w:rPr>
          <w:t xml:space="preserve">Kërkues: </w:t>
        </w:r>
        <w:r w:rsidR="00FD5106">
          <w:rPr>
            <w:rFonts w:ascii="Times New Roman" w:hAnsi="Times New Roman"/>
            <w:lang w:val="it-IT"/>
          </w:rPr>
          <w:t>Andrea Caca</w:t>
        </w:r>
        <w:r w:rsidRPr="00771629">
          <w:rPr>
            <w:rFonts w:ascii="Times New Roman" w:hAnsi="Times New Roman"/>
            <w:lang w:val="it-IT"/>
          </w:rPr>
          <w:tab/>
        </w:r>
        <w:r w:rsidRPr="00771629">
          <w:rPr>
            <w:rFonts w:ascii="Times New Roman" w:hAnsi="Times New Roman"/>
            <w:lang w:val="it-IT"/>
          </w:rPr>
          <w:tab/>
          <w:t xml:space="preserve">Faqe </w:t>
        </w:r>
        <w:r w:rsidRPr="00771629">
          <w:rPr>
            <w:rFonts w:ascii="Times New Roman" w:hAnsi="Times New Roman"/>
          </w:rPr>
          <w:fldChar w:fldCharType="begin"/>
        </w:r>
        <w:r w:rsidRPr="00771629">
          <w:rPr>
            <w:rFonts w:ascii="Times New Roman" w:hAnsi="Times New Roman"/>
            <w:lang w:val="it-IT"/>
          </w:rPr>
          <w:instrText xml:space="preserve"> PAGE   \* MERGEFORMAT </w:instrText>
        </w:r>
        <w:r w:rsidRPr="00771629">
          <w:rPr>
            <w:rFonts w:ascii="Times New Roman" w:hAnsi="Times New Roman"/>
          </w:rPr>
          <w:fldChar w:fldCharType="separate"/>
        </w:r>
        <w:r w:rsidR="004C3D28">
          <w:rPr>
            <w:rFonts w:ascii="Times New Roman" w:hAnsi="Times New Roman"/>
            <w:noProof/>
            <w:lang w:val="it-IT"/>
          </w:rPr>
          <w:t>5</w:t>
        </w:r>
        <w:r w:rsidRPr="00771629">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9" w:rsidRDefault="004656FA" w:rsidP="00832759">
    <w:pPr>
      <w:pStyle w:val="Footer"/>
    </w:pPr>
  </w:p>
  <w:p w:rsidR="00832759" w:rsidRDefault="00465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FA" w:rsidRDefault="004656FA" w:rsidP="00FD5106">
      <w:pPr>
        <w:spacing w:after="0" w:line="240" w:lineRule="auto"/>
      </w:pPr>
      <w:r>
        <w:separator/>
      </w:r>
    </w:p>
  </w:footnote>
  <w:footnote w:type="continuationSeparator" w:id="0">
    <w:p w:rsidR="004656FA" w:rsidRDefault="004656FA" w:rsidP="00FD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EA1"/>
    <w:multiLevelType w:val="multilevel"/>
    <w:tmpl w:val="59D0E64A"/>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9883720"/>
    <w:multiLevelType w:val="multilevel"/>
    <w:tmpl w:val="5566B8BC"/>
    <w:lvl w:ilvl="0">
      <w:start w:val="10"/>
      <w:numFmt w:val="decimal"/>
      <w:lvlText w:val="%1."/>
      <w:lvlJc w:val="left"/>
      <w:pPr>
        <w:ind w:left="1650" w:hanging="480"/>
      </w:pPr>
      <w:rPr>
        <w:rFonts w:hint="default"/>
        <w:i w:val="0"/>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2BFC268F"/>
    <w:multiLevelType w:val="hybridMultilevel"/>
    <w:tmpl w:val="D612F94E"/>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FA93B19"/>
    <w:multiLevelType w:val="multilevel"/>
    <w:tmpl w:val="F4B4304A"/>
    <w:lvl w:ilvl="0">
      <w:start w:val="1"/>
      <w:numFmt w:val="decimal"/>
      <w:lvlText w:val="%1."/>
      <w:lvlJc w:val="left"/>
      <w:pPr>
        <w:ind w:left="117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06"/>
    <w:rsid w:val="00061F90"/>
    <w:rsid w:val="00156C10"/>
    <w:rsid w:val="001C74E2"/>
    <w:rsid w:val="001E1B6C"/>
    <w:rsid w:val="001E5881"/>
    <w:rsid w:val="00235E0E"/>
    <w:rsid w:val="0029590B"/>
    <w:rsid w:val="002E302B"/>
    <w:rsid w:val="002F5EEE"/>
    <w:rsid w:val="0030295E"/>
    <w:rsid w:val="003740C3"/>
    <w:rsid w:val="003B72CC"/>
    <w:rsid w:val="003F0094"/>
    <w:rsid w:val="004656FA"/>
    <w:rsid w:val="004C3D28"/>
    <w:rsid w:val="004E3966"/>
    <w:rsid w:val="00515CEC"/>
    <w:rsid w:val="005E33D5"/>
    <w:rsid w:val="00617183"/>
    <w:rsid w:val="006A1C57"/>
    <w:rsid w:val="007415A2"/>
    <w:rsid w:val="00771327"/>
    <w:rsid w:val="007777A0"/>
    <w:rsid w:val="007C25EF"/>
    <w:rsid w:val="00803096"/>
    <w:rsid w:val="00805851"/>
    <w:rsid w:val="00872FC4"/>
    <w:rsid w:val="00897864"/>
    <w:rsid w:val="00925C20"/>
    <w:rsid w:val="00992F5A"/>
    <w:rsid w:val="009A707E"/>
    <w:rsid w:val="00A41F33"/>
    <w:rsid w:val="00A63EFE"/>
    <w:rsid w:val="00B11E20"/>
    <w:rsid w:val="00B20FDC"/>
    <w:rsid w:val="00BB4DB6"/>
    <w:rsid w:val="00BB6BE5"/>
    <w:rsid w:val="00BF24B3"/>
    <w:rsid w:val="00CB44FC"/>
    <w:rsid w:val="00CE5B41"/>
    <w:rsid w:val="00D13DB1"/>
    <w:rsid w:val="00D25502"/>
    <w:rsid w:val="00D41658"/>
    <w:rsid w:val="00D43330"/>
    <w:rsid w:val="00DC5BFC"/>
    <w:rsid w:val="00E713FD"/>
    <w:rsid w:val="00E8041A"/>
    <w:rsid w:val="00E904D2"/>
    <w:rsid w:val="00E95696"/>
    <w:rsid w:val="00EB3439"/>
    <w:rsid w:val="00ED6B81"/>
    <w:rsid w:val="00F24A71"/>
    <w:rsid w:val="00FD2822"/>
    <w:rsid w:val="00FD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F524"/>
  <w15:chartTrackingRefBased/>
  <w15:docId w15:val="{A099842A-CEE1-4C94-AD17-5E75EB42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06"/>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106"/>
    <w:pPr>
      <w:tabs>
        <w:tab w:val="center" w:pos="4680"/>
        <w:tab w:val="right" w:pos="9360"/>
      </w:tabs>
    </w:pPr>
  </w:style>
  <w:style w:type="character" w:customStyle="1" w:styleId="FooterChar">
    <w:name w:val="Footer Char"/>
    <w:basedOn w:val="DefaultParagraphFont"/>
    <w:link w:val="Footer"/>
    <w:uiPriority w:val="99"/>
    <w:rsid w:val="00FD5106"/>
    <w:rPr>
      <w:rFonts w:ascii="Calibri" w:eastAsia="Calibri" w:hAnsi="Calibri" w:cs="Times New Roman"/>
      <w:lang w:val="sq-AL"/>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FD5106"/>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FD5106"/>
    <w:rPr>
      <w:rFonts w:ascii="Calibri" w:eastAsia="Calibri" w:hAnsi="Calibri" w:cs="Times New Roman"/>
      <w:lang w:val="sq-AL"/>
    </w:rPr>
  </w:style>
  <w:style w:type="paragraph" w:styleId="Header">
    <w:name w:val="header"/>
    <w:basedOn w:val="Normal"/>
    <w:link w:val="HeaderChar"/>
    <w:uiPriority w:val="99"/>
    <w:unhideWhenUsed/>
    <w:rsid w:val="00FD5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06"/>
    <w:rPr>
      <w:rFonts w:ascii="Calibri" w:eastAsia="Calibri" w:hAnsi="Calibri" w:cs="Times New Roman"/>
      <w:lang w:val="sq-AL"/>
    </w:rPr>
  </w:style>
  <w:style w:type="paragraph" w:styleId="BodyTextIndent">
    <w:name w:val="Body Text Indent"/>
    <w:basedOn w:val="Normal"/>
    <w:link w:val="BodyTextIndentChar"/>
    <w:uiPriority w:val="99"/>
    <w:unhideWhenUsed/>
    <w:rsid w:val="00FD5106"/>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FD5106"/>
    <w:rPr>
      <w:rFonts w:ascii="Times New Roman" w:eastAsia="Times New Roman" w:hAnsi="Times New Roman" w:cs="Times New Roman"/>
      <w:sz w:val="24"/>
      <w:szCs w:val="24"/>
      <w:lang w:val="sq-AL"/>
    </w:rPr>
  </w:style>
  <w:style w:type="paragraph" w:styleId="BodyTextIndent2">
    <w:name w:val="Body Text Indent 2"/>
    <w:basedOn w:val="Normal"/>
    <w:link w:val="BodyTextIndent2Char"/>
    <w:uiPriority w:val="99"/>
    <w:unhideWhenUsed/>
    <w:rsid w:val="00FD5106"/>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D5106"/>
    <w:rPr>
      <w:rFonts w:ascii="Times New Roman" w:eastAsia="Times New Roman" w:hAnsi="Times New Roman" w:cs="Times New Roman"/>
      <w:sz w:val="24"/>
      <w:szCs w:val="24"/>
      <w:lang w:val="sq-AL"/>
    </w:rPr>
  </w:style>
  <w:style w:type="paragraph" w:styleId="BodyText">
    <w:name w:val="Body Text"/>
    <w:basedOn w:val="Normal"/>
    <w:link w:val="BodyTextChar"/>
    <w:uiPriority w:val="99"/>
    <w:semiHidden/>
    <w:unhideWhenUsed/>
    <w:rsid w:val="00FD5106"/>
    <w:pPr>
      <w:spacing w:after="120"/>
    </w:pPr>
  </w:style>
  <w:style w:type="character" w:customStyle="1" w:styleId="BodyTextChar">
    <w:name w:val="Body Text Char"/>
    <w:basedOn w:val="DefaultParagraphFont"/>
    <w:link w:val="BodyText"/>
    <w:uiPriority w:val="99"/>
    <w:semiHidden/>
    <w:rsid w:val="00FD5106"/>
    <w:rPr>
      <w:rFonts w:ascii="Calibri" w:eastAsia="Calibri" w:hAnsi="Calibri" w:cs="Times New Roman"/>
      <w:lang w:val="sq-AL"/>
    </w:rPr>
  </w:style>
  <w:style w:type="paragraph" w:styleId="FootnoteText">
    <w:name w:val="footnote text"/>
    <w:basedOn w:val="Normal"/>
    <w:link w:val="FootnoteTextChar"/>
    <w:uiPriority w:val="99"/>
    <w:semiHidden/>
    <w:unhideWhenUsed/>
    <w:rsid w:val="00FD5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106"/>
    <w:rPr>
      <w:rFonts w:ascii="Calibri" w:eastAsia="Calibri" w:hAnsi="Calibri" w:cs="Times New Roman"/>
      <w:sz w:val="20"/>
      <w:szCs w:val="20"/>
      <w:lang w:val="sq-AL"/>
    </w:rPr>
  </w:style>
  <w:style w:type="character" w:styleId="FootnoteReference">
    <w:name w:val="footnote reference"/>
    <w:basedOn w:val="DefaultParagraphFont"/>
    <w:uiPriority w:val="99"/>
    <w:semiHidden/>
    <w:unhideWhenUsed/>
    <w:rsid w:val="00FD5106"/>
    <w:rPr>
      <w:vertAlign w:val="superscript"/>
    </w:rPr>
  </w:style>
  <w:style w:type="character" w:styleId="Hyperlink">
    <w:name w:val="Hyperlink"/>
    <w:basedOn w:val="DefaultParagraphFont"/>
    <w:uiPriority w:val="99"/>
    <w:unhideWhenUsed/>
    <w:rsid w:val="007415A2"/>
    <w:rPr>
      <w:color w:val="0563C1" w:themeColor="hyperlink"/>
      <w:u w:val="single"/>
    </w:rPr>
  </w:style>
  <w:style w:type="character" w:styleId="CommentReference">
    <w:name w:val="annotation reference"/>
    <w:basedOn w:val="DefaultParagraphFont"/>
    <w:uiPriority w:val="99"/>
    <w:semiHidden/>
    <w:unhideWhenUsed/>
    <w:rsid w:val="00E713FD"/>
    <w:rPr>
      <w:sz w:val="16"/>
      <w:szCs w:val="16"/>
    </w:rPr>
  </w:style>
  <w:style w:type="paragraph" w:styleId="CommentText">
    <w:name w:val="annotation text"/>
    <w:basedOn w:val="Normal"/>
    <w:link w:val="CommentTextChar"/>
    <w:uiPriority w:val="99"/>
    <w:semiHidden/>
    <w:unhideWhenUsed/>
    <w:rsid w:val="00E713FD"/>
    <w:pPr>
      <w:spacing w:line="240" w:lineRule="auto"/>
    </w:pPr>
    <w:rPr>
      <w:sz w:val="20"/>
      <w:szCs w:val="20"/>
    </w:rPr>
  </w:style>
  <w:style w:type="character" w:customStyle="1" w:styleId="CommentTextChar">
    <w:name w:val="Comment Text Char"/>
    <w:basedOn w:val="DefaultParagraphFont"/>
    <w:link w:val="CommentText"/>
    <w:uiPriority w:val="99"/>
    <w:semiHidden/>
    <w:rsid w:val="00E713FD"/>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E71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FD"/>
    <w:rPr>
      <w:rFonts w:ascii="Segoe UI" w:eastAsia="Calibr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1CA5-3F4B-4598-A208-B88D52E8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Blerina</cp:lastModifiedBy>
  <cp:revision>5</cp:revision>
  <cp:lastPrinted>2022-10-24T07:29:00Z</cp:lastPrinted>
  <dcterms:created xsi:type="dcterms:W3CDTF">2022-10-24T07:25:00Z</dcterms:created>
  <dcterms:modified xsi:type="dcterms:W3CDTF">2022-10-24T07:34:00Z</dcterms:modified>
</cp:coreProperties>
</file>