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B0" w:rsidRPr="00F539B0" w:rsidRDefault="00946BF6" w:rsidP="00946BF6">
      <w:pPr>
        <w:jc w:val="center"/>
        <w:rPr>
          <w:b/>
          <w:bCs/>
          <w:spacing w:val="2"/>
        </w:rPr>
      </w:pPr>
      <w:r>
        <w:rPr>
          <w:b/>
          <w:bCs/>
          <w:spacing w:val="2"/>
        </w:rPr>
        <w:t xml:space="preserve">Vendim nr. 150 </w:t>
      </w:r>
      <w:r w:rsidRPr="00946BF6">
        <w:rPr>
          <w:b/>
        </w:rPr>
        <w:t>datë</w:t>
      </w:r>
      <w:r w:rsidRPr="00946BF6">
        <w:rPr>
          <w:b/>
        </w:rPr>
        <w:t xml:space="preserve"> 09.11.2022</w:t>
      </w:r>
    </w:p>
    <w:p w:rsidR="00F539B0" w:rsidRPr="00F539B0" w:rsidRDefault="00F539B0" w:rsidP="00F539B0">
      <w:pPr>
        <w:jc w:val="center"/>
        <w:rPr>
          <w:b/>
          <w:bCs/>
          <w:spacing w:val="2"/>
        </w:rPr>
      </w:pPr>
    </w:p>
    <w:p w:rsidR="00F539B0" w:rsidRPr="00F539B0" w:rsidRDefault="00F539B0" w:rsidP="00F539B0">
      <w:pPr>
        <w:jc w:val="center"/>
        <w:rPr>
          <w:bCs/>
          <w:spacing w:val="2"/>
        </w:rPr>
      </w:pPr>
      <w:r w:rsidRPr="00F539B0">
        <w:rPr>
          <w:bCs/>
          <w:spacing w:val="2"/>
        </w:rPr>
        <w:t>Kolegji i Gjykatës Kushtetuese të Republikës së Shqipërisë, i përbërë nga:</w:t>
      </w:r>
    </w:p>
    <w:p w:rsidR="00F539B0" w:rsidRPr="00F539B0" w:rsidRDefault="00F539B0" w:rsidP="00F539B0">
      <w:pPr>
        <w:jc w:val="center"/>
        <w:rPr>
          <w:bCs/>
          <w:spacing w:val="2"/>
        </w:rPr>
      </w:pPr>
    </w:p>
    <w:p w:rsidR="00F539B0" w:rsidRPr="00F539B0" w:rsidRDefault="00F539B0" w:rsidP="005D7431">
      <w:pPr>
        <w:ind w:left="2694"/>
        <w:rPr>
          <w:bCs/>
          <w:spacing w:val="2"/>
        </w:rPr>
      </w:pPr>
      <w:r w:rsidRPr="00F539B0">
        <w:rPr>
          <w:bCs/>
          <w:spacing w:val="2"/>
        </w:rPr>
        <w:t xml:space="preserve">Vitore Tusha, </w:t>
      </w:r>
      <w:r w:rsidRPr="00F539B0">
        <w:rPr>
          <w:bCs/>
          <w:spacing w:val="2"/>
        </w:rPr>
        <w:tab/>
      </w:r>
      <w:r w:rsidRPr="00F539B0">
        <w:rPr>
          <w:bCs/>
          <w:spacing w:val="2"/>
        </w:rPr>
        <w:tab/>
        <w:t xml:space="preserve">Kryetare </w:t>
      </w:r>
    </w:p>
    <w:p w:rsidR="00F539B0" w:rsidRPr="00F539B0" w:rsidRDefault="00F539B0" w:rsidP="005D7431">
      <w:pPr>
        <w:ind w:left="1440" w:firstLine="1254"/>
        <w:rPr>
          <w:bCs/>
          <w:spacing w:val="2"/>
        </w:rPr>
      </w:pPr>
      <w:proofErr w:type="spellStart"/>
      <w:r w:rsidRPr="00F539B0">
        <w:rPr>
          <w:bCs/>
          <w:spacing w:val="2"/>
        </w:rPr>
        <w:t>Sonila</w:t>
      </w:r>
      <w:proofErr w:type="spellEnd"/>
      <w:r w:rsidRPr="00F539B0">
        <w:rPr>
          <w:bCs/>
          <w:spacing w:val="2"/>
        </w:rPr>
        <w:t xml:space="preserve"> Bejtja,</w:t>
      </w:r>
      <w:r w:rsidRPr="00F539B0">
        <w:rPr>
          <w:bCs/>
          <w:spacing w:val="2"/>
        </w:rPr>
        <w:tab/>
      </w:r>
      <w:r w:rsidRPr="00F539B0">
        <w:rPr>
          <w:bCs/>
          <w:spacing w:val="2"/>
        </w:rPr>
        <w:tab/>
        <w:t xml:space="preserve">Anëtare   </w:t>
      </w:r>
    </w:p>
    <w:p w:rsidR="00F539B0" w:rsidRPr="00F539B0" w:rsidRDefault="00F539B0" w:rsidP="005D7431">
      <w:pPr>
        <w:ind w:left="1440" w:firstLine="1254"/>
        <w:rPr>
          <w:bCs/>
          <w:spacing w:val="2"/>
        </w:rPr>
      </w:pPr>
      <w:r w:rsidRPr="00F539B0">
        <w:rPr>
          <w:bCs/>
          <w:spacing w:val="2"/>
        </w:rPr>
        <w:t xml:space="preserve">Altin </w:t>
      </w:r>
      <w:proofErr w:type="spellStart"/>
      <w:r w:rsidRPr="00F539B0">
        <w:rPr>
          <w:bCs/>
          <w:spacing w:val="2"/>
        </w:rPr>
        <w:t>Binaj</w:t>
      </w:r>
      <w:proofErr w:type="spellEnd"/>
      <w:r w:rsidRPr="00F539B0">
        <w:rPr>
          <w:bCs/>
          <w:spacing w:val="2"/>
        </w:rPr>
        <w:t>,</w:t>
      </w:r>
      <w:r w:rsidRPr="00F539B0">
        <w:rPr>
          <w:bCs/>
          <w:spacing w:val="2"/>
        </w:rPr>
        <w:tab/>
      </w:r>
      <w:r w:rsidRPr="00F539B0">
        <w:rPr>
          <w:bCs/>
          <w:spacing w:val="2"/>
        </w:rPr>
        <w:tab/>
        <w:t xml:space="preserve">Anëtar     </w:t>
      </w:r>
    </w:p>
    <w:p w:rsidR="00F539B0" w:rsidRPr="00F539B0" w:rsidRDefault="00F539B0" w:rsidP="00F539B0">
      <w:pPr>
        <w:jc w:val="center"/>
        <w:rPr>
          <w:bCs/>
          <w:spacing w:val="2"/>
        </w:rPr>
      </w:pPr>
    </w:p>
    <w:p w:rsidR="00F539B0" w:rsidRPr="00F539B0" w:rsidRDefault="00F539B0" w:rsidP="005D7431">
      <w:pPr>
        <w:pStyle w:val="BodyText2"/>
        <w:ind w:firstLine="450"/>
      </w:pPr>
      <w:r>
        <w:t>në datën 09</w:t>
      </w:r>
      <w:r w:rsidRPr="00F539B0">
        <w:t>.</w:t>
      </w:r>
      <w:r>
        <w:t>11</w:t>
      </w:r>
      <w:r w:rsidRPr="00F539B0">
        <w:t xml:space="preserve">.2022 mori në shqyrtim paraprak kërkesën nr. </w:t>
      </w:r>
      <w:r>
        <w:t>3</w:t>
      </w:r>
      <w:r w:rsidRPr="00F539B0">
        <w:t xml:space="preserve"> (</w:t>
      </w:r>
      <w:r>
        <w:t>Th</w:t>
      </w:r>
      <w:r w:rsidRPr="00F539B0">
        <w:t>) 2022 të Regjistrit Themeltar, që i përket:</w:t>
      </w:r>
      <w:r w:rsidR="005D7431">
        <w:t xml:space="preserve"> </w:t>
      </w:r>
    </w:p>
    <w:p w:rsidR="00542027" w:rsidRPr="003F7D92" w:rsidRDefault="00542027" w:rsidP="00A33244">
      <w:pPr>
        <w:jc w:val="center"/>
        <w:rPr>
          <w:b/>
          <w:spacing w:val="2"/>
        </w:rPr>
      </w:pPr>
    </w:p>
    <w:p w:rsidR="00542027" w:rsidRPr="003F7D92" w:rsidRDefault="00542027" w:rsidP="00A33244">
      <w:pPr>
        <w:ind w:left="2610" w:hanging="2160"/>
        <w:jc w:val="both"/>
        <w:rPr>
          <w:b/>
          <w:spacing w:val="2"/>
        </w:rPr>
      </w:pPr>
      <w:r w:rsidRPr="003F7D92">
        <w:rPr>
          <w:b/>
          <w:spacing w:val="2"/>
        </w:rPr>
        <w:t>KËRKUES:</w:t>
      </w:r>
      <w:r w:rsidRPr="003F7D92">
        <w:rPr>
          <w:b/>
          <w:spacing w:val="2"/>
        </w:rPr>
        <w:tab/>
      </w:r>
      <w:r w:rsidR="00D758F7">
        <w:rPr>
          <w:b/>
          <w:spacing w:val="2"/>
        </w:rPr>
        <w:t>THOMA GËLLÇI</w:t>
      </w:r>
    </w:p>
    <w:p w:rsidR="00542027" w:rsidRPr="003F7D92" w:rsidRDefault="00542027" w:rsidP="00A33244">
      <w:pPr>
        <w:ind w:left="2610"/>
        <w:jc w:val="both"/>
        <w:rPr>
          <w:b/>
          <w:spacing w:val="2"/>
        </w:rPr>
      </w:pPr>
    </w:p>
    <w:p w:rsidR="00F44D7B" w:rsidRDefault="00542027" w:rsidP="008C3EA8">
      <w:pPr>
        <w:pStyle w:val="BodyTextIndent2"/>
        <w:ind w:left="2610"/>
        <w:rPr>
          <w:spacing w:val="2"/>
        </w:rPr>
      </w:pPr>
      <w:r w:rsidRPr="003F7D92">
        <w:rPr>
          <w:spacing w:val="2"/>
        </w:rPr>
        <w:t>OBJEKTI:</w:t>
      </w:r>
      <w:r w:rsidRPr="003F7D92">
        <w:rPr>
          <w:spacing w:val="2"/>
        </w:rPr>
        <w:tab/>
      </w:r>
      <w:r w:rsidR="008C3EA8">
        <w:t>Shfuqizimi i vendimeve</w:t>
      </w:r>
      <w:r w:rsidR="00D758F7">
        <w:t xml:space="preserve"> nr. 79, datë 07.10.2021</w:t>
      </w:r>
      <w:r w:rsidR="00D77D63">
        <w:t xml:space="preserve"> dhe</w:t>
      </w:r>
      <w:r w:rsidR="00D758F7">
        <w:t xml:space="preserve"> nr. 80, datë 11.10.2021 të Gjykatës së Posaçme të Shkallës së Parë për Korrupsionin dhe Krimin e Organizuar; nr. 40, datë 30.10.2021 të Gjykatës së Posaçme të Apelit për Korrupsionin dhe Krimin e Organizuar</w:t>
      </w:r>
      <w:r w:rsidR="00D77D63">
        <w:t>;</w:t>
      </w:r>
      <w:r w:rsidR="00D758F7">
        <w:t xml:space="preserve"> nr. 00-2022-184, datë 27.01.2022 të Kolegjit Penal të Gjykatës së Lartë</w:t>
      </w:r>
      <w:r w:rsidR="008C3EA8">
        <w:t>, si të papajtueshme me Kushtetutën e Republikës së Shqipërisë</w:t>
      </w:r>
      <w:r w:rsidR="00D758F7">
        <w:t xml:space="preserve"> </w:t>
      </w:r>
      <w:r w:rsidR="00D758F7">
        <w:rPr>
          <w:spacing w:val="2"/>
        </w:rPr>
        <w:t>dhe Konventën Evropiane për të Drejtat e Njeriut</w:t>
      </w:r>
      <w:r w:rsidR="008C3EA8">
        <w:rPr>
          <w:spacing w:val="2"/>
        </w:rPr>
        <w:t>.</w:t>
      </w:r>
    </w:p>
    <w:p w:rsidR="00542027" w:rsidRPr="003F7D92" w:rsidRDefault="00542027" w:rsidP="00A33244">
      <w:pPr>
        <w:ind w:left="2610" w:hanging="2160"/>
        <w:jc w:val="both"/>
        <w:rPr>
          <w:b/>
          <w:spacing w:val="2"/>
        </w:rPr>
      </w:pPr>
    </w:p>
    <w:p w:rsidR="00542027" w:rsidRPr="003F7D92" w:rsidRDefault="00542027" w:rsidP="00A33244">
      <w:pPr>
        <w:ind w:left="2610" w:hanging="2160"/>
        <w:jc w:val="both"/>
        <w:rPr>
          <w:spacing w:val="2"/>
        </w:rPr>
      </w:pPr>
      <w:r w:rsidRPr="003F7D92">
        <w:rPr>
          <w:b/>
          <w:spacing w:val="2"/>
        </w:rPr>
        <w:t>BAZA LIGJORE:</w:t>
      </w:r>
      <w:r w:rsidRPr="003F7D92">
        <w:rPr>
          <w:b/>
          <w:spacing w:val="2"/>
        </w:rPr>
        <w:tab/>
      </w:r>
      <w:r w:rsidRPr="003F7D92">
        <w:rPr>
          <w:spacing w:val="2"/>
        </w:rPr>
        <w:t xml:space="preserve">Nenet </w:t>
      </w:r>
      <w:r w:rsidR="00D3229A">
        <w:rPr>
          <w:spacing w:val="2"/>
        </w:rPr>
        <w:t>4, 2</w:t>
      </w:r>
      <w:r w:rsidR="008C3EA8">
        <w:rPr>
          <w:spacing w:val="2"/>
        </w:rPr>
        <w:t xml:space="preserve">7, </w:t>
      </w:r>
      <w:r w:rsidR="00D3229A">
        <w:rPr>
          <w:spacing w:val="2"/>
        </w:rPr>
        <w:t>28, 30, 42</w:t>
      </w:r>
      <w:r w:rsidR="008C3EA8">
        <w:rPr>
          <w:spacing w:val="2"/>
        </w:rPr>
        <w:t xml:space="preserve">, </w:t>
      </w:r>
      <w:r w:rsidR="00543CCA">
        <w:rPr>
          <w:spacing w:val="2"/>
        </w:rPr>
        <w:t>131, pika 1, shkronja “f”</w:t>
      </w:r>
      <w:r w:rsidR="00D3229A">
        <w:rPr>
          <w:spacing w:val="2"/>
        </w:rPr>
        <w:t xml:space="preserve"> dhe</w:t>
      </w:r>
      <w:r w:rsidR="00543CCA">
        <w:rPr>
          <w:spacing w:val="2"/>
        </w:rPr>
        <w:t xml:space="preserve"> </w:t>
      </w:r>
      <w:r w:rsidRPr="003F7D92">
        <w:rPr>
          <w:spacing w:val="2"/>
        </w:rPr>
        <w:t>134, pika 1, shkronja “i”</w:t>
      </w:r>
      <w:r w:rsidR="00D3229A">
        <w:rPr>
          <w:spacing w:val="2"/>
        </w:rPr>
        <w:t>,</w:t>
      </w:r>
      <w:r w:rsidRPr="003F7D92">
        <w:rPr>
          <w:spacing w:val="2"/>
        </w:rPr>
        <w:t xml:space="preserve"> të Kushtetutës së Republikës së Shqipërisë; </w:t>
      </w:r>
      <w:r w:rsidR="00D3229A">
        <w:rPr>
          <w:spacing w:val="2"/>
        </w:rPr>
        <w:t>neni</w:t>
      </w:r>
      <w:r w:rsidR="00F44D7B">
        <w:rPr>
          <w:spacing w:val="2"/>
        </w:rPr>
        <w:t xml:space="preserve"> </w:t>
      </w:r>
      <w:r w:rsidR="00D3229A">
        <w:rPr>
          <w:spacing w:val="2"/>
        </w:rPr>
        <w:t xml:space="preserve">5, pikat 1, shkronja “c”, 3 dhe 4 </w:t>
      </w:r>
      <w:r w:rsidR="009137E6">
        <w:rPr>
          <w:spacing w:val="2"/>
        </w:rPr>
        <w:t xml:space="preserve">dhe </w:t>
      </w:r>
      <w:r w:rsidR="00D3229A">
        <w:rPr>
          <w:spacing w:val="2"/>
        </w:rPr>
        <w:t xml:space="preserve">neni </w:t>
      </w:r>
      <w:r w:rsidR="008C3EA8">
        <w:rPr>
          <w:spacing w:val="2"/>
        </w:rPr>
        <w:t xml:space="preserve">6, </w:t>
      </w:r>
      <w:r w:rsidR="00D3229A">
        <w:rPr>
          <w:spacing w:val="2"/>
        </w:rPr>
        <w:t>pikat 1 dhe 2</w:t>
      </w:r>
      <w:r w:rsidR="00CB01BB">
        <w:rPr>
          <w:spacing w:val="2"/>
        </w:rPr>
        <w:t>, të</w:t>
      </w:r>
      <w:r w:rsidR="00D3229A">
        <w:rPr>
          <w:spacing w:val="2"/>
        </w:rPr>
        <w:t xml:space="preserve">  </w:t>
      </w:r>
      <w:r w:rsidR="008C3EA8">
        <w:rPr>
          <w:spacing w:val="2"/>
        </w:rPr>
        <w:t xml:space="preserve">Konventës Evropiane për të Drejtat e Njeriut </w:t>
      </w:r>
      <w:r w:rsidR="008C3EA8">
        <w:rPr>
          <w:i/>
          <w:spacing w:val="2"/>
        </w:rPr>
        <w:t>(KEDNJ)</w:t>
      </w:r>
      <w:r w:rsidR="00F44D7B">
        <w:rPr>
          <w:spacing w:val="2"/>
        </w:rPr>
        <w:t>;</w:t>
      </w:r>
      <w:r w:rsidR="00D3229A">
        <w:rPr>
          <w:spacing w:val="2"/>
        </w:rPr>
        <w:t xml:space="preserve"> nenet 49, pika 3, shkronja “e”, 71 dhe 71/a të</w:t>
      </w:r>
      <w:r w:rsidR="00D3229A">
        <w:rPr>
          <w:i/>
          <w:spacing w:val="2"/>
        </w:rPr>
        <w:t xml:space="preserve"> </w:t>
      </w:r>
      <w:r w:rsidRPr="003F7D92">
        <w:rPr>
          <w:spacing w:val="2"/>
        </w:rPr>
        <w:t>ligji</w:t>
      </w:r>
      <w:r w:rsidR="00D3229A">
        <w:rPr>
          <w:spacing w:val="2"/>
        </w:rPr>
        <w:t>t</w:t>
      </w:r>
      <w:r w:rsidRPr="003F7D92">
        <w:rPr>
          <w:spacing w:val="2"/>
        </w:rPr>
        <w:t xml:space="preserve"> nr. 8577, datë 10.02.2000 “Për organizimin dhe funksionimin e Gjykatës Kushtetuese</w:t>
      </w:r>
      <w:r w:rsidR="00D3229A">
        <w:rPr>
          <w:spacing w:val="2"/>
        </w:rPr>
        <w:t xml:space="preserve"> të Republikës së Shqipërisë”, të</w:t>
      </w:r>
      <w:r w:rsidRPr="003F7D92">
        <w:rPr>
          <w:spacing w:val="2"/>
        </w:rPr>
        <w:t xml:space="preserve"> ndryshuar </w:t>
      </w:r>
      <w:r w:rsidRPr="003F7D92">
        <w:rPr>
          <w:i/>
          <w:spacing w:val="2"/>
        </w:rPr>
        <w:t>(ligji nr. 8577/2000)</w:t>
      </w:r>
      <w:r w:rsidRPr="003F7D92">
        <w:rPr>
          <w:spacing w:val="2"/>
        </w:rPr>
        <w:t>.</w:t>
      </w:r>
    </w:p>
    <w:p w:rsidR="00B70AB7" w:rsidRPr="003F7D92" w:rsidRDefault="00B70AB7" w:rsidP="00A33244">
      <w:pPr>
        <w:ind w:left="2610" w:hanging="2160"/>
        <w:jc w:val="both"/>
        <w:rPr>
          <w:spacing w:val="2"/>
        </w:rPr>
      </w:pPr>
    </w:p>
    <w:p w:rsidR="00DE5CC3" w:rsidRPr="00ED6B42" w:rsidRDefault="00DE5CC3" w:rsidP="00DE5CC3">
      <w:pPr>
        <w:ind w:firstLine="567"/>
        <w:jc w:val="both"/>
        <w:rPr>
          <w:bCs/>
          <w:lang w:eastAsia="fr-FR"/>
        </w:rPr>
      </w:pPr>
      <w:r w:rsidRPr="00ED6B42">
        <w:rPr>
          <w:bCs/>
          <w:lang w:eastAsia="fr-FR"/>
        </w:rPr>
        <w:t xml:space="preserve">Kolegji i Gjykatës Kushtetuese </w:t>
      </w:r>
      <w:r w:rsidRPr="00ED6B42">
        <w:rPr>
          <w:bCs/>
        </w:rPr>
        <w:t>(</w:t>
      </w:r>
      <w:r w:rsidRPr="00ED6B42">
        <w:rPr>
          <w:bCs/>
          <w:i/>
          <w:iCs/>
        </w:rPr>
        <w:t>Kolegji</w:t>
      </w:r>
      <w:r w:rsidRPr="00ED6B42">
        <w:rPr>
          <w:bCs/>
        </w:rPr>
        <w:t>)</w:t>
      </w:r>
      <w:r>
        <w:rPr>
          <w:bCs/>
          <w:lang w:eastAsia="fr-FR"/>
        </w:rPr>
        <w:t>, pasi dëgjoi relatorin</w:t>
      </w:r>
      <w:r w:rsidRPr="00ED6B42">
        <w:rPr>
          <w:bCs/>
          <w:lang w:eastAsia="fr-FR"/>
        </w:rPr>
        <w:t xml:space="preserve"> e çështjes </w:t>
      </w:r>
      <w:r>
        <w:rPr>
          <w:bCs/>
          <w:lang w:eastAsia="fr-FR"/>
        </w:rPr>
        <w:t>Altin Binaj</w:t>
      </w:r>
      <w:r w:rsidRPr="00ED6B42">
        <w:rPr>
          <w:bCs/>
          <w:lang w:eastAsia="fr-FR"/>
        </w:rPr>
        <w:t>, shqyrtoi kërkesën, dokumentet shoqëruese dhe diskutoi çështjen në tërësi,</w:t>
      </w:r>
    </w:p>
    <w:p w:rsidR="00DE5CC3" w:rsidRDefault="00DE5CC3" w:rsidP="00DE5CC3">
      <w:pPr>
        <w:jc w:val="center"/>
        <w:rPr>
          <w:rFonts w:eastAsia="Times New Roman"/>
          <w:b/>
          <w:bCs/>
        </w:rPr>
      </w:pPr>
    </w:p>
    <w:p w:rsidR="00DE5CC3" w:rsidRPr="00ED6B42" w:rsidRDefault="00DE5CC3" w:rsidP="00DE5CC3">
      <w:pPr>
        <w:jc w:val="center"/>
        <w:rPr>
          <w:rFonts w:eastAsia="Times New Roman"/>
          <w:b/>
          <w:bCs/>
        </w:rPr>
      </w:pPr>
      <w:r w:rsidRPr="00ED6B42">
        <w:rPr>
          <w:rFonts w:eastAsia="Times New Roman"/>
          <w:b/>
          <w:bCs/>
        </w:rPr>
        <w:t>V Ë R E N:</w:t>
      </w:r>
    </w:p>
    <w:p w:rsidR="00542027" w:rsidRPr="003F7D92" w:rsidRDefault="00542027" w:rsidP="00A33244">
      <w:pPr>
        <w:keepNext/>
        <w:jc w:val="center"/>
        <w:outlineLvl w:val="0"/>
        <w:rPr>
          <w:b/>
          <w:spacing w:val="2"/>
        </w:rPr>
      </w:pPr>
      <w:r w:rsidRPr="003F7D92">
        <w:rPr>
          <w:b/>
          <w:spacing w:val="2"/>
        </w:rPr>
        <w:lastRenderedPageBreak/>
        <w:t>I</w:t>
      </w:r>
    </w:p>
    <w:p w:rsidR="00542027" w:rsidRPr="00900DB9" w:rsidRDefault="00542027" w:rsidP="00A33244">
      <w:pPr>
        <w:pStyle w:val="Heading1"/>
        <w:rPr>
          <w:spacing w:val="2"/>
        </w:rPr>
      </w:pPr>
      <w:r w:rsidRPr="00900DB9">
        <w:rPr>
          <w:spacing w:val="2"/>
        </w:rPr>
        <w:t>Rrethanat e çështjes</w:t>
      </w:r>
    </w:p>
    <w:p w:rsidR="009B1058" w:rsidRDefault="003C4096" w:rsidP="003E72DF">
      <w:pPr>
        <w:pStyle w:val="ListParagraph"/>
        <w:numPr>
          <w:ilvl w:val="0"/>
          <w:numId w:val="1"/>
        </w:numPr>
        <w:tabs>
          <w:tab w:val="left" w:pos="1080"/>
        </w:tabs>
        <w:ind w:left="0" w:firstLine="720"/>
        <w:jc w:val="both"/>
      </w:pPr>
      <w:r>
        <w:t>Me vendimin nr. 33, datë 06.05.2016 të Këshillit Drejtues të Radio</w:t>
      </w:r>
      <w:r w:rsidR="00D77D63">
        <w:t>t</w:t>
      </w:r>
      <w:r>
        <w:t xml:space="preserve">elevizionit Shqiptar </w:t>
      </w:r>
      <w:r>
        <w:rPr>
          <w:i/>
        </w:rPr>
        <w:t>(RTSH)</w:t>
      </w:r>
      <w:r>
        <w:t xml:space="preserve">, </w:t>
      </w:r>
      <w:proofErr w:type="spellStart"/>
      <w:r w:rsidR="00D3229A">
        <w:t>Thoma</w:t>
      </w:r>
      <w:proofErr w:type="spellEnd"/>
      <w:r w:rsidR="00D3229A">
        <w:t xml:space="preserve"> </w:t>
      </w:r>
      <w:proofErr w:type="spellStart"/>
      <w:r w:rsidR="00D3229A">
        <w:t>Gëllçi</w:t>
      </w:r>
      <w:proofErr w:type="spellEnd"/>
      <w:r w:rsidR="00D3229A">
        <w:t xml:space="preserve"> </w:t>
      </w:r>
      <w:r w:rsidR="00D3229A">
        <w:rPr>
          <w:i/>
        </w:rPr>
        <w:t>(kërkuesi)</w:t>
      </w:r>
      <w:r w:rsidR="00D3229A">
        <w:t xml:space="preserve"> </w:t>
      </w:r>
      <w:r>
        <w:t xml:space="preserve">është emëruar </w:t>
      </w:r>
      <w:r w:rsidR="00D77D63">
        <w:t>D</w:t>
      </w:r>
      <w:r w:rsidR="00BB2ABC">
        <w:t>rejtor</w:t>
      </w:r>
      <w:r w:rsidR="00D3229A">
        <w:t xml:space="preserve"> </w:t>
      </w:r>
      <w:r w:rsidR="00BB2ABC">
        <w:t>i</w:t>
      </w:r>
      <w:r w:rsidR="00D3229A">
        <w:t xml:space="preserve"> </w:t>
      </w:r>
      <w:r w:rsidR="00D77D63">
        <w:t>p</w:t>
      </w:r>
      <w:r w:rsidR="00D3229A">
        <w:t>ërgjithshëm</w:t>
      </w:r>
      <w:r>
        <w:t xml:space="preserve"> </w:t>
      </w:r>
      <w:r w:rsidR="00BB2ABC">
        <w:t>i</w:t>
      </w:r>
      <w:r>
        <w:t xml:space="preserve"> </w:t>
      </w:r>
      <w:r w:rsidR="00BB2ABC">
        <w:t xml:space="preserve">këtij institucioni.  </w:t>
      </w:r>
    </w:p>
    <w:p w:rsidR="00FF718C" w:rsidRDefault="00FF718C" w:rsidP="003E72DF">
      <w:pPr>
        <w:pStyle w:val="ListParagraph"/>
        <w:numPr>
          <w:ilvl w:val="0"/>
          <w:numId w:val="1"/>
        </w:numPr>
        <w:tabs>
          <w:tab w:val="left" w:pos="1080"/>
        </w:tabs>
        <w:ind w:left="0" w:firstLine="720"/>
        <w:jc w:val="both"/>
      </w:pPr>
      <w:r>
        <w:t xml:space="preserve">Me shkresën nr. 93 </w:t>
      </w:r>
      <w:proofErr w:type="spellStart"/>
      <w:r>
        <w:t>prot</w:t>
      </w:r>
      <w:proofErr w:type="spellEnd"/>
      <w:r>
        <w:t xml:space="preserve">., datë 12.01.2018, kërkuesi, në pozicionin e </w:t>
      </w:r>
      <w:r w:rsidR="00D77D63">
        <w:t>d</w:t>
      </w:r>
      <w:r>
        <w:t>rejt</w:t>
      </w:r>
      <w:r w:rsidR="009271E7">
        <w:t xml:space="preserve">orit të </w:t>
      </w:r>
      <w:r w:rsidR="00D77D63">
        <w:t>p</w:t>
      </w:r>
      <w:r w:rsidR="009271E7">
        <w:t xml:space="preserve">ërgjithshëm të RTSH-së, ka urdhëruar ngritjen e grupit të punës për përgatitjen e një </w:t>
      </w:r>
      <w:proofErr w:type="spellStart"/>
      <w:r w:rsidR="009271E7">
        <w:t>projektstrukture</w:t>
      </w:r>
      <w:proofErr w:type="spellEnd"/>
      <w:r w:rsidR="009271E7">
        <w:t xml:space="preserve"> programore, projektbuxheti vjetor, si dhe projekti strukturor organizativ për një </w:t>
      </w:r>
      <w:r w:rsidR="009F2A5C">
        <w:t>kanal/</w:t>
      </w:r>
      <w:r w:rsidR="009271E7">
        <w:t xml:space="preserve">program </w:t>
      </w:r>
      <w:proofErr w:type="spellStart"/>
      <w:r w:rsidR="009271E7">
        <w:t>au</w:t>
      </w:r>
      <w:r w:rsidR="009F2A5C">
        <w:t>d</w:t>
      </w:r>
      <w:r w:rsidR="009271E7">
        <w:t>ioviziv</w:t>
      </w:r>
      <w:proofErr w:type="spellEnd"/>
      <w:r w:rsidR="009271E7">
        <w:t xml:space="preserve"> të dedikuar për bujqësinë dhe zhvillimin rural në Shqipëri. Pas kërkesës së Ministrisë së Financave dhe Ekonomisë </w:t>
      </w:r>
      <w:r w:rsidR="0075096C">
        <w:rPr>
          <w:i/>
        </w:rPr>
        <w:t xml:space="preserve">(MFE) </w:t>
      </w:r>
      <w:r w:rsidR="009271E7">
        <w:t xml:space="preserve">për </w:t>
      </w:r>
      <w:proofErr w:type="spellStart"/>
      <w:r w:rsidR="009271E7">
        <w:t>detajimin</w:t>
      </w:r>
      <w:proofErr w:type="spellEnd"/>
      <w:r w:rsidR="009271E7">
        <w:t xml:space="preserve"> e planit të rishikuar të buxhetit për vitin 2018 për RTSH-në, </w:t>
      </w:r>
      <w:r w:rsidR="0075096C">
        <w:t xml:space="preserve">me shkresat nr. 2519/1 </w:t>
      </w:r>
      <w:proofErr w:type="spellStart"/>
      <w:r w:rsidR="0075096C">
        <w:t>prot</w:t>
      </w:r>
      <w:proofErr w:type="spellEnd"/>
      <w:r w:rsidR="0075096C">
        <w:t>., datë 06.08.2018 dhe 2983, datë 20.09.2018</w:t>
      </w:r>
      <w:r w:rsidR="00393B26">
        <w:t>,</w:t>
      </w:r>
      <w:r w:rsidR="0075096C">
        <w:t xml:space="preserve"> kërkuesi i ka dërguar </w:t>
      </w:r>
      <w:r w:rsidR="009271E7">
        <w:t xml:space="preserve">ministrisë </w:t>
      </w:r>
      <w:proofErr w:type="spellStart"/>
      <w:r w:rsidR="009271E7">
        <w:t>detajimin</w:t>
      </w:r>
      <w:proofErr w:type="spellEnd"/>
      <w:r w:rsidR="009271E7">
        <w:t xml:space="preserve"> e shtesave të planit të rishiku</w:t>
      </w:r>
      <w:r w:rsidR="008422D9">
        <w:t>ar dhe formularët e investimeve, përfshirë</w:t>
      </w:r>
      <w:r w:rsidR="009271E7">
        <w:t xml:space="preserve"> </w:t>
      </w:r>
      <w:r w:rsidR="008422D9">
        <w:t>shtesën</w:t>
      </w:r>
      <w:r w:rsidR="009271E7">
        <w:t xml:space="preserve"> në investim prej 100 milionë lekë</w:t>
      </w:r>
      <w:r w:rsidR="00D77D63">
        <w:t>sh</w:t>
      </w:r>
      <w:r w:rsidR="008422D9">
        <w:t>, e cila</w:t>
      </w:r>
      <w:r w:rsidR="009271E7">
        <w:t xml:space="preserve"> do të përdorej për shpenzime kapitale për </w:t>
      </w:r>
      <w:r w:rsidR="008422D9">
        <w:t>hapjen e kanalit të ri televiziv</w:t>
      </w:r>
      <w:r w:rsidR="009271E7">
        <w:t xml:space="preserve"> “RTSH </w:t>
      </w:r>
      <w:proofErr w:type="spellStart"/>
      <w:r w:rsidR="009271E7">
        <w:t>Agro</w:t>
      </w:r>
      <w:proofErr w:type="spellEnd"/>
      <w:r w:rsidR="009271E7">
        <w:t>”</w:t>
      </w:r>
      <w:r w:rsidR="00333D65">
        <w:t>.</w:t>
      </w:r>
      <w:r w:rsidR="008422D9">
        <w:t xml:space="preserve"> Kjo shtesë e fondit është miratuar me shkresën nr. 14875/112 </w:t>
      </w:r>
      <w:proofErr w:type="spellStart"/>
      <w:r w:rsidR="008422D9">
        <w:t>prot</w:t>
      </w:r>
      <w:proofErr w:type="spellEnd"/>
      <w:r w:rsidR="008422D9">
        <w:t xml:space="preserve">, datë 10.09.2018 të MFE-së. </w:t>
      </w:r>
    </w:p>
    <w:p w:rsidR="00C1347F" w:rsidRDefault="00C1347F" w:rsidP="003E72DF">
      <w:pPr>
        <w:pStyle w:val="ListParagraph"/>
        <w:numPr>
          <w:ilvl w:val="0"/>
          <w:numId w:val="1"/>
        </w:numPr>
        <w:tabs>
          <w:tab w:val="left" w:pos="1080"/>
        </w:tabs>
        <w:ind w:left="0" w:firstLine="720"/>
        <w:jc w:val="both"/>
      </w:pPr>
      <w:r>
        <w:t xml:space="preserve">Me shkresën nr. 712 </w:t>
      </w:r>
      <w:proofErr w:type="spellStart"/>
      <w:r>
        <w:t>prot</w:t>
      </w:r>
      <w:proofErr w:type="spellEnd"/>
      <w:r>
        <w:t>., datë 08.10.201</w:t>
      </w:r>
      <w:r w:rsidR="00393B26">
        <w:t>8</w:t>
      </w:r>
      <w:r>
        <w:t>, sektori teknik i RTSH-së i është drejtuar kërkuesit,</w:t>
      </w:r>
      <w:r w:rsidR="00B757B5">
        <w:t xml:space="preserve"> si</w:t>
      </w:r>
      <w:r>
        <w:t xml:space="preserve"> titullar i RTSH-së, me kërkesë për blerje pajisjesh për kanal</w:t>
      </w:r>
      <w:r w:rsidR="008422D9">
        <w:t>in</w:t>
      </w:r>
      <w:r>
        <w:t xml:space="preserve"> </w:t>
      </w:r>
      <w:r w:rsidR="008422D9">
        <w:t>e ri televiziv</w:t>
      </w:r>
      <w:r>
        <w:t xml:space="preserve"> “RTSH </w:t>
      </w:r>
      <w:proofErr w:type="spellStart"/>
      <w:r>
        <w:t>Agro</w:t>
      </w:r>
      <w:proofErr w:type="spellEnd"/>
      <w:r>
        <w:t>”. Sipas kërkesës</w:t>
      </w:r>
      <w:r w:rsidR="001014FF">
        <w:t xml:space="preserve"> rezulton se</w:t>
      </w:r>
      <w:r>
        <w:t xml:space="preserve">: </w:t>
      </w:r>
      <w:r>
        <w:rPr>
          <w:i/>
        </w:rPr>
        <w:t>“Në kuadër të mbulimit me programe në të gjitha sfera</w:t>
      </w:r>
      <w:r w:rsidR="00393B26">
        <w:rPr>
          <w:i/>
        </w:rPr>
        <w:t>t ekonomike-sociale e kulturore, ...</w:t>
      </w:r>
      <w:r>
        <w:rPr>
          <w:i/>
        </w:rPr>
        <w:t xml:space="preserve"> </w:t>
      </w:r>
      <w:r w:rsidR="0075096C">
        <w:rPr>
          <w:i/>
        </w:rPr>
        <w:t xml:space="preserve">RTSH ka planifikuar të hapë kanalin RTSH </w:t>
      </w:r>
      <w:proofErr w:type="spellStart"/>
      <w:r w:rsidR="0075096C">
        <w:rPr>
          <w:i/>
        </w:rPr>
        <w:t>Agro</w:t>
      </w:r>
      <w:proofErr w:type="spellEnd"/>
      <w:r w:rsidR="0075096C">
        <w:rPr>
          <w:i/>
        </w:rPr>
        <w:t xml:space="preserve"> për t’i ofruar publikut një gamë të gjerë informacionesh nga agrikultura, agrobiznesi, </w:t>
      </w:r>
      <w:proofErr w:type="spellStart"/>
      <w:r w:rsidR="0075096C">
        <w:rPr>
          <w:i/>
        </w:rPr>
        <w:t>kulinaria</w:t>
      </w:r>
      <w:proofErr w:type="spellEnd"/>
      <w:r w:rsidR="0075096C">
        <w:rPr>
          <w:i/>
        </w:rPr>
        <w:t>, bujqësia dhe mënyra e jetesës në zonat rurale. Natyra e programeve të këtij kanali është specifike dhe kërkon futjen e aplikimin e teknologjisë bashkëkohore në RTSH.”</w:t>
      </w:r>
      <w:r w:rsidR="0075096C">
        <w:t>.</w:t>
      </w:r>
    </w:p>
    <w:p w:rsidR="0075096C" w:rsidRDefault="0075096C" w:rsidP="003E72DF">
      <w:pPr>
        <w:pStyle w:val="ListParagraph"/>
        <w:numPr>
          <w:ilvl w:val="0"/>
          <w:numId w:val="1"/>
        </w:numPr>
        <w:tabs>
          <w:tab w:val="left" w:pos="1080"/>
        </w:tabs>
        <w:ind w:left="0" w:firstLine="720"/>
        <w:jc w:val="both"/>
      </w:pPr>
      <w:r>
        <w:t xml:space="preserve">Pas preventivit të hartuar nga </w:t>
      </w:r>
      <w:r w:rsidR="00D77D63">
        <w:t>n</w:t>
      </w:r>
      <w:r>
        <w:t xml:space="preserve">jësia </w:t>
      </w:r>
      <w:r w:rsidR="00D77D63">
        <w:t>t</w:t>
      </w:r>
      <w:r>
        <w:t>ekni</w:t>
      </w:r>
      <w:r w:rsidR="00B757B5">
        <w:t>ke e RTSH-së</w:t>
      </w:r>
      <w:r>
        <w:t xml:space="preserve">, kërkuesi, në pozicionin e </w:t>
      </w:r>
      <w:r w:rsidR="0024362F">
        <w:t>d</w:t>
      </w:r>
      <w:r>
        <w:t xml:space="preserve">rejtorit të </w:t>
      </w:r>
      <w:r w:rsidR="0024362F">
        <w:t>p</w:t>
      </w:r>
      <w:r>
        <w:t>ërgjithshëm të RTSH-së, ka nxjerrë urdhrin e prokurimit nr. 87/2, datë 12.10.2018 për një fond total prej 86</w:t>
      </w:r>
      <w:r w:rsidR="002A67CA">
        <w:t>,</w:t>
      </w:r>
      <w:r>
        <w:t>908</w:t>
      </w:r>
      <w:r w:rsidR="002A67CA">
        <w:t>,</w:t>
      </w:r>
      <w:r>
        <w:t>550</w:t>
      </w:r>
      <w:r w:rsidR="002A67CA">
        <w:t>.00</w:t>
      </w:r>
      <w:r>
        <w:t xml:space="preserve"> lekë</w:t>
      </w:r>
      <w:r w:rsidR="00F6595C">
        <w:t>sh</w:t>
      </w:r>
      <w:r>
        <w:t xml:space="preserve"> </w:t>
      </w:r>
      <w:r w:rsidR="002A67CA">
        <w:t>(</w:t>
      </w:r>
      <w:r>
        <w:t xml:space="preserve">pa </w:t>
      </w:r>
      <w:proofErr w:type="spellStart"/>
      <w:r>
        <w:t>tvsh</w:t>
      </w:r>
      <w:proofErr w:type="spellEnd"/>
      <w:r w:rsidR="002A67CA">
        <w:t>)</w:t>
      </w:r>
      <w:r>
        <w:t xml:space="preserve"> për “Blerje pajisje për kanalin “RTSH </w:t>
      </w:r>
      <w:proofErr w:type="spellStart"/>
      <w:r>
        <w:t>Agro</w:t>
      </w:r>
      <w:proofErr w:type="spellEnd"/>
      <w:r>
        <w:t>””</w:t>
      </w:r>
      <w:r w:rsidR="00B757B5">
        <w:t xml:space="preserve">, </w:t>
      </w:r>
      <w:r w:rsidR="00630C43">
        <w:t xml:space="preserve">financuar nga buxheti i shtetit, </w:t>
      </w:r>
      <w:r w:rsidR="00B757B5">
        <w:t xml:space="preserve">me zbatimin e të cilit është ngarkuar njësia e prokurimit. Me urdhrin nr. 87/3, datë 12.10.2018 është ngritur </w:t>
      </w:r>
      <w:r w:rsidR="00E814E6" w:rsidRPr="00B757B5">
        <w:t>për këtë që</w:t>
      </w:r>
      <w:r w:rsidR="00E814E6">
        <w:t xml:space="preserve">llim </w:t>
      </w:r>
      <w:r w:rsidR="00B757B5">
        <w:t xml:space="preserve">Komisioni për Vlerësimin e Ofertave </w:t>
      </w:r>
      <w:r w:rsidR="00B757B5">
        <w:rPr>
          <w:i/>
        </w:rPr>
        <w:t>(KVO)</w:t>
      </w:r>
      <w:r w:rsidR="00B757B5">
        <w:t xml:space="preserve">, ndërsa në datën 17.10.2018 është publikuar në </w:t>
      </w:r>
      <w:r w:rsidR="00E432C8">
        <w:t>s</w:t>
      </w:r>
      <w:r w:rsidR="00B757B5">
        <w:t>istemin e prokurimeve elektronike procedura e prokurimit “Procedurë e hapur” me objekt</w:t>
      </w:r>
      <w:r w:rsidR="00393B26">
        <w:t xml:space="preserve"> “</w:t>
      </w:r>
      <w:r w:rsidR="00B757B5">
        <w:t xml:space="preserve">Blerje pajisje për kanalin RTSH </w:t>
      </w:r>
      <w:proofErr w:type="spellStart"/>
      <w:r w:rsidR="00B757B5">
        <w:t>Agro</w:t>
      </w:r>
      <w:proofErr w:type="spellEnd"/>
      <w:r w:rsidR="00B757B5">
        <w:t>” me nr. REF-900</w:t>
      </w:r>
      <w:r w:rsidR="002A67CA">
        <w:t>11-10-16-2018 dhe fond limit 86,908,</w:t>
      </w:r>
      <w:r w:rsidR="00B757B5">
        <w:t xml:space="preserve">550.00 lekë (pa </w:t>
      </w:r>
      <w:proofErr w:type="spellStart"/>
      <w:r w:rsidR="00B757B5">
        <w:t>tvsh</w:t>
      </w:r>
      <w:proofErr w:type="spellEnd"/>
      <w:r w:rsidR="00B757B5">
        <w:t xml:space="preserve">), </w:t>
      </w:r>
      <w:r w:rsidR="00877283">
        <w:t>procedurë e cila është</w:t>
      </w:r>
      <w:r w:rsidR="00B757B5">
        <w:t xml:space="preserve"> zhvilluar në datën 09.11.2018 nga autoriteti </w:t>
      </w:r>
      <w:proofErr w:type="spellStart"/>
      <w:r w:rsidR="00B757B5">
        <w:t>kontraktor</w:t>
      </w:r>
      <w:proofErr w:type="spellEnd"/>
      <w:r w:rsidR="00877283">
        <w:t>,</w:t>
      </w:r>
      <w:r w:rsidR="00B757B5">
        <w:t xml:space="preserve"> RTSH</w:t>
      </w:r>
      <w:r w:rsidR="00965C57">
        <w:t>-ja</w:t>
      </w:r>
      <w:r w:rsidR="00877283">
        <w:t>.</w:t>
      </w:r>
      <w:r w:rsidR="00E814E6">
        <w:t xml:space="preserve"> </w:t>
      </w:r>
    </w:p>
    <w:p w:rsidR="00325583" w:rsidRDefault="00E432C8" w:rsidP="003E72DF">
      <w:pPr>
        <w:pStyle w:val="ListParagraph"/>
        <w:numPr>
          <w:ilvl w:val="0"/>
          <w:numId w:val="1"/>
        </w:numPr>
        <w:tabs>
          <w:tab w:val="left" w:pos="1080"/>
        </w:tabs>
        <w:ind w:left="0" w:firstLine="720"/>
        <w:jc w:val="both"/>
      </w:pPr>
      <w:r>
        <w:t>Në datën</w:t>
      </w:r>
      <w:r w:rsidR="00345799">
        <w:t xml:space="preserve"> </w:t>
      </w:r>
      <w:r>
        <w:t>16.11.2018, RTSH</w:t>
      </w:r>
      <w:r w:rsidR="003462F3">
        <w:t>-ja</w:t>
      </w:r>
      <w:r>
        <w:t xml:space="preserve"> ka njoftuar operatorët ekonomikë pjesëmarrës për rezultatet e vlerësimit të KVO-së, sipas të cilit “</w:t>
      </w:r>
      <w:proofErr w:type="spellStart"/>
      <w:r>
        <w:t>Eurokontakt</w:t>
      </w:r>
      <w:proofErr w:type="spellEnd"/>
      <w:r>
        <w:t xml:space="preserve">” </w:t>
      </w:r>
      <w:proofErr w:type="spellStart"/>
      <w:r>
        <w:t>sh.p.k</w:t>
      </w:r>
      <w:proofErr w:type="spellEnd"/>
      <w:r>
        <w:t xml:space="preserve">. me ofertë 65,462,720 lekë </w:t>
      </w:r>
      <w:r>
        <w:lastRenderedPageBreak/>
        <w:t xml:space="preserve">është </w:t>
      </w:r>
      <w:proofErr w:type="spellStart"/>
      <w:r>
        <w:t>skualifikuar</w:t>
      </w:r>
      <w:proofErr w:type="spellEnd"/>
      <w:r>
        <w:t xml:space="preserve">, ndërsa “TBS 96” </w:t>
      </w:r>
      <w:proofErr w:type="spellStart"/>
      <w:r>
        <w:t>sh.p.k</w:t>
      </w:r>
      <w:proofErr w:type="spellEnd"/>
      <w:r>
        <w:t>. me ofertë 84,963,000</w:t>
      </w:r>
      <w:r w:rsidR="004906BC">
        <w:t xml:space="preserve"> </w:t>
      </w:r>
      <w:r>
        <w:t>lekë është kualifikuar.</w:t>
      </w:r>
      <w:r w:rsidR="00392ED4">
        <w:t xml:space="preserve"> Ankesa e “</w:t>
      </w:r>
      <w:proofErr w:type="spellStart"/>
      <w:r w:rsidR="00392ED4">
        <w:t>Eurokontakt</w:t>
      </w:r>
      <w:proofErr w:type="spellEnd"/>
      <w:r w:rsidR="00392ED4">
        <w:t xml:space="preserve">” </w:t>
      </w:r>
      <w:proofErr w:type="spellStart"/>
      <w:r w:rsidR="00392ED4">
        <w:t>sh.p.k</w:t>
      </w:r>
      <w:proofErr w:type="spellEnd"/>
      <w:r w:rsidR="00392ED4">
        <w:t xml:space="preserve">. nuk është pranuar nga autoriteti </w:t>
      </w:r>
      <w:proofErr w:type="spellStart"/>
      <w:r w:rsidR="00392ED4">
        <w:t>kontraktor</w:t>
      </w:r>
      <w:proofErr w:type="spellEnd"/>
      <w:r w:rsidR="00392ED4">
        <w:t>, ndërsa kërkesa e kësaj shoqërie për marrjen e masës së sigurimit të padisë për pezullimin e zbatimit të kontratës është refuzuar në datën 28.01.2019 nga Gjykata Administrative e Shkallës së Parë Tiranë.</w:t>
      </w:r>
      <w:r w:rsidR="007135EE">
        <w:t xml:space="preserve"> </w:t>
      </w:r>
    </w:p>
    <w:p w:rsidR="00E432C8" w:rsidRDefault="00C8719F" w:rsidP="003E72DF">
      <w:pPr>
        <w:pStyle w:val="ListParagraph"/>
        <w:numPr>
          <w:ilvl w:val="0"/>
          <w:numId w:val="1"/>
        </w:numPr>
        <w:tabs>
          <w:tab w:val="left" w:pos="1080"/>
        </w:tabs>
        <w:ind w:left="0" w:firstLine="720"/>
        <w:jc w:val="both"/>
      </w:pPr>
      <w:r>
        <w:t xml:space="preserve">Në përfundim të procedurave të prokurimit, </w:t>
      </w:r>
      <w:r w:rsidR="00325583">
        <w:t xml:space="preserve">në raportin përmbledhës të KVO-së nr. 87/11 </w:t>
      </w:r>
      <w:proofErr w:type="spellStart"/>
      <w:r w:rsidR="00325583">
        <w:t>prot</w:t>
      </w:r>
      <w:proofErr w:type="spellEnd"/>
      <w:r w:rsidR="00325583">
        <w:t>., datë 21.12.2018</w:t>
      </w:r>
      <w:r w:rsidR="003F359D">
        <w:t>,</w:t>
      </w:r>
      <w:r w:rsidR="00325583">
        <w:t xml:space="preserve"> është vendosur përfundimi i procedurës së tenderimit dhe shpallja fitues i operatorit ekonomik “TBS 96” </w:t>
      </w:r>
      <w:proofErr w:type="spellStart"/>
      <w:r w:rsidR="00325583">
        <w:t>sh.p.k</w:t>
      </w:r>
      <w:proofErr w:type="spellEnd"/>
      <w:r w:rsidR="00325583">
        <w:t xml:space="preserve">., duke identifikuar ofertën e paraqitur prej tij si ofertë të suksesshme. Në vijim, </w:t>
      </w:r>
      <w:r>
        <w:t>n</w:t>
      </w:r>
      <w:r w:rsidR="007135EE">
        <w:t xml:space="preserve">ë datën 24.12.2018 </w:t>
      </w:r>
      <w:r w:rsidR="00E73488">
        <w:t>d</w:t>
      </w:r>
      <w:r w:rsidR="007542E5">
        <w:t xml:space="preserve">rejtori i </w:t>
      </w:r>
      <w:r w:rsidR="00E73488">
        <w:t>p</w:t>
      </w:r>
      <w:r w:rsidR="007542E5">
        <w:t>ërgjithshëm i RTSH-së ka lidhur kontratën</w:t>
      </w:r>
      <w:r w:rsidR="007135EE">
        <w:t xml:space="preserve"> nr. </w:t>
      </w:r>
      <w:r w:rsidR="007135EE" w:rsidRPr="00AF6AFE">
        <w:t xml:space="preserve">87/13 me “TBS 96” </w:t>
      </w:r>
      <w:proofErr w:type="spellStart"/>
      <w:r w:rsidR="007135EE" w:rsidRPr="00AF6AFE">
        <w:t>sh.p.k</w:t>
      </w:r>
      <w:proofErr w:type="spellEnd"/>
      <w:r w:rsidR="007135EE" w:rsidRPr="00AF6AFE">
        <w:t>.</w:t>
      </w:r>
      <w:r w:rsidR="00FB6774" w:rsidRPr="00AF6AFE">
        <w:t xml:space="preserve"> për</w:t>
      </w:r>
      <w:r w:rsidR="00FB6774">
        <w:t xml:space="preserve"> blerje pajisjesh për kanalin “RTSH </w:t>
      </w:r>
      <w:proofErr w:type="spellStart"/>
      <w:r w:rsidR="00FB6774">
        <w:t>Agro</w:t>
      </w:r>
      <w:proofErr w:type="spellEnd"/>
      <w:r w:rsidR="00FB6774">
        <w:t>”</w:t>
      </w:r>
      <w:r w:rsidR="00FA42BE">
        <w:t>, ku janë përcaktuar kushtet dhe detyrimet e palëve</w:t>
      </w:r>
      <w:r w:rsidR="00FB6774">
        <w:t>.</w:t>
      </w:r>
    </w:p>
    <w:p w:rsidR="00333D65" w:rsidRDefault="00B04F12" w:rsidP="004E4B8B">
      <w:pPr>
        <w:pStyle w:val="ListParagraph"/>
        <w:numPr>
          <w:ilvl w:val="0"/>
          <w:numId w:val="1"/>
        </w:numPr>
        <w:tabs>
          <w:tab w:val="left" w:pos="1080"/>
        </w:tabs>
        <w:ind w:left="0" w:firstLine="720"/>
        <w:jc w:val="both"/>
      </w:pPr>
      <w:r>
        <w:t>Ndërkohë, nga ana e o</w:t>
      </w:r>
      <w:r w:rsidR="007135EE">
        <w:t>peratori</w:t>
      </w:r>
      <w:r>
        <w:t>t</w:t>
      </w:r>
      <w:r w:rsidR="007135EE">
        <w:t xml:space="preserve"> ekonomik “TBS 96” </w:t>
      </w:r>
      <w:proofErr w:type="spellStart"/>
      <w:r w:rsidR="007135EE">
        <w:t>sh.p.k</w:t>
      </w:r>
      <w:proofErr w:type="spellEnd"/>
      <w:r w:rsidR="007135EE">
        <w:t xml:space="preserve">. nuk </w:t>
      </w:r>
      <w:r>
        <w:t xml:space="preserve">është </w:t>
      </w:r>
      <w:r w:rsidR="007135EE">
        <w:t>plotësuar kr</w:t>
      </w:r>
      <w:r>
        <w:t>iteri</w:t>
      </w:r>
      <w:r w:rsidR="007135EE">
        <w:t xml:space="preserve"> </w:t>
      </w:r>
      <w:r>
        <w:t>i</w:t>
      </w:r>
      <w:r w:rsidR="007135EE">
        <w:t xml:space="preserve"> dorëzimit të mallrave brenda afatit 45-ditor të parashikuar në kontratë dhe</w:t>
      </w:r>
      <w:r w:rsidR="00EB535A">
        <w:t>, sipas procesverbaleve të mbajtura për marrjen në dorëzim të tyre, mallrat e dorëzuara deri</w:t>
      </w:r>
      <w:r w:rsidR="00325583">
        <w:t xml:space="preserve"> në atë moment kapnin vlerën 10,</w:t>
      </w:r>
      <w:r w:rsidR="00EB535A">
        <w:t>995</w:t>
      </w:r>
      <w:r w:rsidR="00D27EC2">
        <w:t>,</w:t>
      </w:r>
      <w:r w:rsidR="00EB535A">
        <w:t xml:space="preserve">00 lekë. </w:t>
      </w:r>
      <w:r>
        <w:t>N</w:t>
      </w:r>
      <w:r w:rsidR="007135EE">
        <w:t>ë datën 15.02.2019</w:t>
      </w:r>
      <w:r w:rsidR="007A3EAB">
        <w:t xml:space="preserve">, RTSH-ja, e përfaqësuar nga kërkuesi në funksionin e </w:t>
      </w:r>
      <w:r w:rsidR="006F6467">
        <w:t>d</w:t>
      </w:r>
      <w:r w:rsidR="00EB535A">
        <w:t>rejtori</w:t>
      </w:r>
      <w:r w:rsidR="007A3EAB">
        <w:t>t</w:t>
      </w:r>
      <w:r w:rsidR="00EB535A">
        <w:t xml:space="preserve"> </w:t>
      </w:r>
      <w:r w:rsidR="007A3EAB">
        <w:t>të</w:t>
      </w:r>
      <w:r w:rsidR="00EB535A">
        <w:t xml:space="preserve"> </w:t>
      </w:r>
      <w:r w:rsidR="006F6467">
        <w:t>p</w:t>
      </w:r>
      <w:r w:rsidR="00EB535A">
        <w:t>ërgjithshë</w:t>
      </w:r>
      <w:r>
        <w:t>m</w:t>
      </w:r>
      <w:r w:rsidR="007A3EAB">
        <w:t>,</w:t>
      </w:r>
      <w:r>
        <w:t xml:space="preserve"> </w:t>
      </w:r>
      <w:r w:rsidR="007A3EAB">
        <w:t xml:space="preserve">ka </w:t>
      </w:r>
      <w:r w:rsidR="007135EE">
        <w:t xml:space="preserve">përpiluar </w:t>
      </w:r>
      <w:r w:rsidR="00EB535A">
        <w:t>kontratë</w:t>
      </w:r>
      <w:r w:rsidR="007A3EAB">
        <w:t>n</w:t>
      </w:r>
      <w:r w:rsidR="00EB535A">
        <w:t xml:space="preserve"> shtesë me nr. 87/19, e cila ka zgjatur afatin e dorëzimit të mallrave deri në datën 22.02.2019.</w:t>
      </w:r>
      <w:r w:rsidR="007542E5">
        <w:t xml:space="preserve"> Po kështu, m</w:t>
      </w:r>
      <w:r w:rsidR="00333D65">
        <w:t xml:space="preserve">e shkresën nr. 1441, datë 08.05.2019, kërkuesi i është drejtuar </w:t>
      </w:r>
      <w:r w:rsidR="0043491F">
        <w:t>k</w:t>
      </w:r>
      <w:r w:rsidR="00333D65">
        <w:t xml:space="preserve">ëshillit </w:t>
      </w:r>
      <w:r w:rsidR="0043491F">
        <w:t>d</w:t>
      </w:r>
      <w:r w:rsidR="00333D65">
        <w:t xml:space="preserve">rejtues të RTSH-së </w:t>
      </w:r>
      <w:r w:rsidR="00F81EA9">
        <w:t xml:space="preserve">me kërkesë/propozim </w:t>
      </w:r>
      <w:r w:rsidR="00333D65">
        <w:t xml:space="preserve">për </w:t>
      </w:r>
      <w:r w:rsidR="00C1347F">
        <w:t xml:space="preserve">shqyrtimin dhe miratimin e ndryshimeve në kontratën e shërbimeve të transmetimit publik dhe përfshirjen e dy programeve “RTSH Plus” dhe “RTSH </w:t>
      </w:r>
      <w:proofErr w:type="spellStart"/>
      <w:r w:rsidR="00C1347F">
        <w:t>Agro</w:t>
      </w:r>
      <w:proofErr w:type="spellEnd"/>
      <w:r w:rsidR="00C1347F">
        <w:t xml:space="preserve">” në vend të “RTSH Fëmijë” dhe “RTSH Jetë”, për të cilën, me vendimin nr. 23, datë 03.06.2019 </w:t>
      </w:r>
      <w:r w:rsidR="00E758C1">
        <w:t>k</w:t>
      </w:r>
      <w:r w:rsidR="00B17E0D">
        <w:t xml:space="preserve">ëshilli </w:t>
      </w:r>
      <w:r w:rsidR="00E758C1">
        <w:t>d</w:t>
      </w:r>
      <w:r w:rsidR="00B17E0D">
        <w:t xml:space="preserve">rejtues </w:t>
      </w:r>
      <w:r w:rsidR="00C1347F">
        <w:t>ka vendosur miratimin e tyre</w:t>
      </w:r>
      <w:r w:rsidR="00A00FBE">
        <w:t>, ndërsa</w:t>
      </w:r>
      <w:r w:rsidR="00D01AD6">
        <w:t xml:space="preserve"> </w:t>
      </w:r>
      <w:r w:rsidR="00A00FBE">
        <w:t>k</w:t>
      </w:r>
      <w:r w:rsidR="00D01AD6">
        <w:t xml:space="preserve">ërkesa e RTSH-së për përfshirjen në paketën programore të “RTSH </w:t>
      </w:r>
      <w:proofErr w:type="spellStart"/>
      <w:r w:rsidR="00D01AD6">
        <w:t>Agro</w:t>
      </w:r>
      <w:proofErr w:type="spellEnd"/>
      <w:r w:rsidR="00D01AD6">
        <w:t xml:space="preserve">” në vend të “RTSH Fëmijë” është rrëzuar me vendimin nr. 96, datë 11.07.2019 të Autoritetit të Mediave </w:t>
      </w:r>
      <w:proofErr w:type="spellStart"/>
      <w:r w:rsidR="00D01AD6">
        <w:t>Audiovizive</w:t>
      </w:r>
      <w:proofErr w:type="spellEnd"/>
      <w:r w:rsidR="00382503">
        <w:t xml:space="preserve"> </w:t>
      </w:r>
      <w:r w:rsidR="00382503">
        <w:rPr>
          <w:i/>
        </w:rPr>
        <w:t>(AMA)</w:t>
      </w:r>
      <w:r w:rsidR="00D01AD6">
        <w:t>.</w:t>
      </w:r>
      <w:r w:rsidR="00B17E0D">
        <w:t xml:space="preserve"> Për kërkesën e RTSH</w:t>
      </w:r>
      <w:r w:rsidR="00E758C1">
        <w:t>-së</w:t>
      </w:r>
      <w:r w:rsidR="00B17E0D">
        <w:t xml:space="preserve"> për rishikim</w:t>
      </w:r>
      <w:r w:rsidR="00E758C1">
        <w:t>in</w:t>
      </w:r>
      <w:r w:rsidR="00B17E0D">
        <w:t xml:space="preserve"> </w:t>
      </w:r>
      <w:r w:rsidR="00E758C1">
        <w:t>e</w:t>
      </w:r>
      <w:r w:rsidR="00B17E0D">
        <w:t xml:space="preserve"> këtij vendimi, AMA ka vendosur, ndër të tjera, përfshirjen në paketën programore të RTSH-së </w:t>
      </w:r>
      <w:r w:rsidR="0055163E">
        <w:t>e</w:t>
      </w:r>
      <w:r w:rsidR="00B17E0D">
        <w:t xml:space="preserve"> programit “RTSH </w:t>
      </w:r>
      <w:proofErr w:type="spellStart"/>
      <w:r w:rsidR="00B17E0D">
        <w:t>Agro</w:t>
      </w:r>
      <w:proofErr w:type="spellEnd"/>
      <w:r w:rsidR="00B17E0D">
        <w:t>” në vend të “RTSH Plus”.</w:t>
      </w:r>
    </w:p>
    <w:p w:rsidR="006626D2" w:rsidRDefault="0005669E" w:rsidP="00706F7A">
      <w:pPr>
        <w:pStyle w:val="ListParagraph"/>
        <w:numPr>
          <w:ilvl w:val="0"/>
          <w:numId w:val="1"/>
        </w:numPr>
        <w:tabs>
          <w:tab w:val="left" w:pos="1080"/>
        </w:tabs>
        <w:ind w:left="0" w:firstLine="720"/>
        <w:jc w:val="both"/>
      </w:pPr>
      <w:r>
        <w:t>Në datën 23.01.2019 shoqëria “</w:t>
      </w:r>
      <w:proofErr w:type="spellStart"/>
      <w:r>
        <w:t>Eurokontakt</w:t>
      </w:r>
      <w:proofErr w:type="spellEnd"/>
      <w:r>
        <w:t xml:space="preserve">” </w:t>
      </w:r>
      <w:proofErr w:type="spellStart"/>
      <w:r>
        <w:t>sh.p.k</w:t>
      </w:r>
      <w:proofErr w:type="spellEnd"/>
      <w:r>
        <w:t xml:space="preserve">. ka bërë </w:t>
      </w:r>
      <w:r w:rsidR="00E814E6">
        <w:t>kallëzim</w:t>
      </w:r>
      <w:r w:rsidR="00AF3B26">
        <w:t xml:space="preserve"> penal </w:t>
      </w:r>
      <w:r w:rsidR="006626D2">
        <w:t xml:space="preserve">për kryerjen nga KVO-ja e autoritetit </w:t>
      </w:r>
      <w:proofErr w:type="spellStart"/>
      <w:r w:rsidR="006626D2">
        <w:t>kontraktor</w:t>
      </w:r>
      <w:proofErr w:type="spellEnd"/>
      <w:r w:rsidR="006626D2">
        <w:t>, RTSH</w:t>
      </w:r>
      <w:r w:rsidR="007542E5">
        <w:t>-së</w:t>
      </w:r>
      <w:r w:rsidR="006626D2">
        <w:t xml:space="preserve">, të veprës penale “Shkelja e barazisë së pjesëmarrësve në </w:t>
      </w:r>
      <w:proofErr w:type="spellStart"/>
      <w:r w:rsidR="006626D2">
        <w:t>tendera</w:t>
      </w:r>
      <w:proofErr w:type="spellEnd"/>
      <w:r w:rsidR="006626D2">
        <w:t xml:space="preserve"> apo ankande publike”, të parashikuar nga neni 258 i Kodit Penal </w:t>
      </w:r>
      <w:r w:rsidR="006626D2" w:rsidRPr="006626D2">
        <w:rPr>
          <w:i/>
        </w:rPr>
        <w:t>(KP)</w:t>
      </w:r>
      <w:r w:rsidR="006626D2">
        <w:t xml:space="preserve"> </w:t>
      </w:r>
      <w:r w:rsidR="007542E5">
        <w:t>në</w:t>
      </w:r>
      <w:r w:rsidR="006626D2">
        <w:t xml:space="preserve"> procedurën e prokurimit me objekt</w:t>
      </w:r>
      <w:r w:rsidR="00935D6E">
        <w:t>:</w:t>
      </w:r>
      <w:r w:rsidR="006626D2">
        <w:t xml:space="preserve"> “Blerje pajisje për kanalin RTSH </w:t>
      </w:r>
      <w:proofErr w:type="spellStart"/>
      <w:r w:rsidR="006626D2">
        <w:t>Agro</w:t>
      </w:r>
      <w:proofErr w:type="spellEnd"/>
      <w:r w:rsidR="006626D2">
        <w:t xml:space="preserve">”, me nr. REF-90011-10-16-2018 dhe fond limit 86,908,550.00 lekë (pa </w:t>
      </w:r>
      <w:proofErr w:type="spellStart"/>
      <w:r w:rsidR="006626D2">
        <w:t>tvsh</w:t>
      </w:r>
      <w:proofErr w:type="spellEnd"/>
      <w:r w:rsidR="006626D2">
        <w:t xml:space="preserve">), të zhvilluar në datën 09.11.2018. Ky kallëzim është regjistruar </w:t>
      </w:r>
      <w:r w:rsidR="00AF3B26">
        <w:t xml:space="preserve">nga </w:t>
      </w:r>
      <w:r w:rsidR="00A04493">
        <w:t xml:space="preserve">Prokuroria pranë Gjykatës së Rrethit Gjyqësor Tiranë </w:t>
      </w:r>
      <w:r w:rsidR="00E814E6" w:rsidRPr="006626D2">
        <w:rPr>
          <w:i/>
        </w:rPr>
        <w:t>(Prokuroria, Tiranë)</w:t>
      </w:r>
      <w:r w:rsidR="00E814E6">
        <w:rPr>
          <w:i/>
        </w:rPr>
        <w:t xml:space="preserve"> </w:t>
      </w:r>
      <w:r w:rsidR="006626D2">
        <w:t xml:space="preserve">me </w:t>
      </w:r>
      <w:r w:rsidR="00A04493">
        <w:t>nr. 802</w:t>
      </w:r>
      <w:r w:rsidR="006626D2">
        <w:t>.</w:t>
      </w:r>
      <w:r w:rsidR="00A04493">
        <w:t xml:space="preserve"> </w:t>
      </w:r>
    </w:p>
    <w:p w:rsidR="00142AD6" w:rsidRDefault="00142AD6" w:rsidP="00706F7A">
      <w:pPr>
        <w:pStyle w:val="ListParagraph"/>
        <w:numPr>
          <w:ilvl w:val="0"/>
          <w:numId w:val="1"/>
        </w:numPr>
        <w:tabs>
          <w:tab w:val="left" w:pos="1080"/>
        </w:tabs>
        <w:ind w:left="0" w:firstLine="720"/>
        <w:jc w:val="both"/>
      </w:pPr>
      <w:r>
        <w:t>Në kushtet kur vepra penale e parashikuar nga neni 258 i KP-së përfshihe</w:t>
      </w:r>
      <w:r w:rsidR="00752D01">
        <w:t>j</w:t>
      </w:r>
      <w:r>
        <w:t xml:space="preserve"> në kompetencën lëndore të Prokurorisë së Posaçme </w:t>
      </w:r>
      <w:r w:rsidR="00752D01">
        <w:t xml:space="preserve">Kundër Korrupsionit dhe Krimit të Organizuar </w:t>
      </w:r>
      <w:r w:rsidR="00752D01" w:rsidRPr="006626D2">
        <w:rPr>
          <w:i/>
        </w:rPr>
        <w:lastRenderedPageBreak/>
        <w:t>(Prokuroria e Posaçme)</w:t>
      </w:r>
      <w:r w:rsidR="00752D01">
        <w:t xml:space="preserve">, Prokuroria Tiranë ka shpallur </w:t>
      </w:r>
      <w:proofErr w:type="spellStart"/>
      <w:r w:rsidR="00752D01">
        <w:t>moskompetencën</w:t>
      </w:r>
      <w:proofErr w:type="spellEnd"/>
      <w:r w:rsidR="00752D01">
        <w:t xml:space="preserve"> e saj lë</w:t>
      </w:r>
      <w:r w:rsidR="00AA66F3">
        <w:t xml:space="preserve">ndore dhe me shkresën nr. 2290, datë 18.02.2020 </w:t>
      </w:r>
      <w:r w:rsidR="00752D01">
        <w:t>i</w:t>
      </w:r>
      <w:r w:rsidR="00477DBC">
        <w:t>a</w:t>
      </w:r>
      <w:r w:rsidR="00AA66F3">
        <w:t xml:space="preserve"> ka</w:t>
      </w:r>
      <w:r w:rsidR="00752D01">
        <w:t xml:space="preserve"> dërguar aktet Prokurorisë së Posaçme, ku çështja është regjistruar me nr. 82 të procedimit penal.</w:t>
      </w:r>
    </w:p>
    <w:p w:rsidR="00BB2ABC" w:rsidRDefault="00BB2ABC" w:rsidP="003E72DF">
      <w:pPr>
        <w:pStyle w:val="ListParagraph"/>
        <w:numPr>
          <w:ilvl w:val="0"/>
          <w:numId w:val="1"/>
        </w:numPr>
        <w:tabs>
          <w:tab w:val="left" w:pos="1080"/>
        </w:tabs>
        <w:ind w:left="0" w:firstLine="720"/>
        <w:jc w:val="both"/>
      </w:pPr>
      <w:r>
        <w:t xml:space="preserve">Në datën 05.10.2021 Prokuroria e Posaçme i është Drejtuar Gjykatës së Posaçme të Shkallës së Parë për Korrupsionin dhe Krimin e Organizuar </w:t>
      </w:r>
      <w:r>
        <w:rPr>
          <w:i/>
        </w:rPr>
        <w:t>(Gjykata e Posaçme e Shkallës së Parë)</w:t>
      </w:r>
      <w:r>
        <w:t xml:space="preserve"> me kërkesë për caktimin ndaj kërkuesit të masës së sigurimit personal “</w:t>
      </w:r>
      <w:r w:rsidR="005C1625">
        <w:t>A</w:t>
      </w:r>
      <w:r>
        <w:t>rrest në burg”, si i dyshuar për kryerjen e veprës penale “Shpërdorimi i detyrës”, të parashikuar nga neni 248 i KP-së.</w:t>
      </w:r>
    </w:p>
    <w:p w:rsidR="003C4096" w:rsidRDefault="003C4096" w:rsidP="003E72DF">
      <w:pPr>
        <w:pStyle w:val="ListParagraph"/>
        <w:numPr>
          <w:ilvl w:val="0"/>
          <w:numId w:val="1"/>
        </w:numPr>
        <w:tabs>
          <w:tab w:val="left" w:pos="1080"/>
        </w:tabs>
        <w:ind w:left="0" w:firstLine="720"/>
        <w:jc w:val="both"/>
      </w:pPr>
      <w:r>
        <w:t xml:space="preserve">Me vendimin nr. 79, datë 07.10.2021, </w:t>
      </w:r>
      <w:r w:rsidR="00F16F86">
        <w:t>Gjykata e Posaçme e Shkallës së Parë ka vendosur caktimin ndaj kërkuesit të masës së sigurimit personal “</w:t>
      </w:r>
      <w:r w:rsidR="005C1625">
        <w:t>A</w:t>
      </w:r>
      <w:r w:rsidR="00F16F86">
        <w:t xml:space="preserve">rrest në burg”, të parashikuar nga neni 238 i Kodit të Procedurës Penale </w:t>
      </w:r>
      <w:r w:rsidR="00F16F86">
        <w:rPr>
          <w:i/>
        </w:rPr>
        <w:t>(KPP)</w:t>
      </w:r>
      <w:r w:rsidR="00F16F86">
        <w:t xml:space="preserve">, ndërsa me vendimin nr. 80, datë 11.10.2021 ka vendosur vazhdimin e </w:t>
      </w:r>
      <w:r w:rsidR="003C20ED">
        <w:t xml:space="preserve">zbatimit të </w:t>
      </w:r>
      <w:r w:rsidR="00F16F86">
        <w:t>saj.</w:t>
      </w:r>
    </w:p>
    <w:p w:rsidR="00F16F86" w:rsidRDefault="00F16F86" w:rsidP="003E72DF">
      <w:pPr>
        <w:pStyle w:val="ListParagraph"/>
        <w:numPr>
          <w:ilvl w:val="0"/>
          <w:numId w:val="1"/>
        </w:numPr>
        <w:tabs>
          <w:tab w:val="left" w:pos="1080"/>
        </w:tabs>
        <w:ind w:left="0" w:firstLine="720"/>
        <w:jc w:val="both"/>
      </w:pPr>
      <w:r>
        <w:t xml:space="preserve">Me vendimin nr. 40, datë </w:t>
      </w:r>
      <w:r w:rsidR="001A208B">
        <w:t xml:space="preserve">30.10.2021, Gjykata e Posaçme e Apelit për Korrupsionin dhe Krimin e Organizuar </w:t>
      </w:r>
      <w:r w:rsidR="001A208B">
        <w:rPr>
          <w:i/>
        </w:rPr>
        <w:t>(Gjykata e Posaçme e Apelit)</w:t>
      </w:r>
      <w:r w:rsidR="001A208B">
        <w:t xml:space="preserve"> ka vendosur </w:t>
      </w:r>
      <w:r w:rsidR="00F93ACB">
        <w:t>miratimin e vendimeve nr. 79, datë 07.10.2021 dhe nr. 80, datë 11.10.2021 të Gjykatës së Posaçme të Shkallës së Parë.</w:t>
      </w:r>
    </w:p>
    <w:p w:rsidR="00F93ACB" w:rsidRDefault="00F93ACB" w:rsidP="003E72DF">
      <w:pPr>
        <w:pStyle w:val="ListParagraph"/>
        <w:numPr>
          <w:ilvl w:val="0"/>
          <w:numId w:val="1"/>
        </w:numPr>
        <w:tabs>
          <w:tab w:val="left" w:pos="1080"/>
        </w:tabs>
        <w:ind w:left="0" w:firstLine="720"/>
        <w:jc w:val="both"/>
      </w:pPr>
      <w:r>
        <w:t>Me vendimin nr. 00-2022-184, datë 27.01.2022, Kolegji Penal i Gjykatës së Lartë ka vendosur mospranimin e rekursit.</w:t>
      </w:r>
    </w:p>
    <w:p w:rsidR="002B595B" w:rsidRPr="003A5B74" w:rsidRDefault="007B6AE9" w:rsidP="00A33244">
      <w:pPr>
        <w:pStyle w:val="ListParagraph"/>
        <w:numPr>
          <w:ilvl w:val="0"/>
          <w:numId w:val="1"/>
        </w:numPr>
        <w:tabs>
          <w:tab w:val="left" w:pos="1080"/>
          <w:tab w:val="left" w:pos="1170"/>
        </w:tabs>
        <w:ind w:left="0" w:firstLine="720"/>
        <w:jc w:val="both"/>
        <w:rPr>
          <w:spacing w:val="2"/>
        </w:rPr>
      </w:pPr>
      <w:r>
        <w:t>N</w:t>
      </w:r>
      <w:r w:rsidR="00D3229A">
        <w:t>ë datën 2</w:t>
      </w:r>
      <w:r w:rsidR="009B1058">
        <w:t>5.07</w:t>
      </w:r>
      <w:r>
        <w:t xml:space="preserve">.2022 kërkuesi i është drejtuar Gjykatës Kushtetuese </w:t>
      </w:r>
      <w:r>
        <w:rPr>
          <w:i/>
        </w:rPr>
        <w:t xml:space="preserve">(Gjykata) </w:t>
      </w:r>
      <w:r>
        <w:t>me kërkesë sipas objekt</w:t>
      </w:r>
      <w:r w:rsidR="00113F79">
        <w:t>it</w:t>
      </w:r>
      <w:r>
        <w:t xml:space="preserve">, duke kërkuar </w:t>
      </w:r>
      <w:r w:rsidR="009B1058">
        <w:t>shfuqizimin e vendimeve të</w:t>
      </w:r>
      <w:r w:rsidR="00D3229A">
        <w:t xml:space="preserve"> gjykatave që kanë vendosur </w:t>
      </w:r>
      <w:r w:rsidR="00AA66F3">
        <w:t xml:space="preserve">ndaj tij </w:t>
      </w:r>
      <w:r w:rsidR="00D3229A">
        <w:t xml:space="preserve">masën e sigurimit personal </w:t>
      </w:r>
      <w:r w:rsidR="00AA66F3">
        <w:t>“</w:t>
      </w:r>
      <w:r w:rsidR="005C1625">
        <w:t>A</w:t>
      </w:r>
      <w:r w:rsidR="00AA66F3">
        <w:t>rrest në burg”</w:t>
      </w:r>
      <w:r w:rsidR="00A435B2">
        <w:t>.</w:t>
      </w:r>
    </w:p>
    <w:p w:rsidR="00542027" w:rsidRPr="003F7D92" w:rsidRDefault="00542027" w:rsidP="00A33244">
      <w:pPr>
        <w:pStyle w:val="ListParagraph"/>
        <w:tabs>
          <w:tab w:val="left" w:pos="1080"/>
          <w:tab w:val="left" w:pos="1170"/>
        </w:tabs>
        <w:jc w:val="both"/>
        <w:rPr>
          <w:spacing w:val="2"/>
        </w:rPr>
      </w:pPr>
    </w:p>
    <w:p w:rsidR="00542027" w:rsidRPr="003F7D92" w:rsidRDefault="00542027" w:rsidP="0054328F">
      <w:pPr>
        <w:pStyle w:val="Heading1"/>
        <w:tabs>
          <w:tab w:val="left" w:pos="1080"/>
        </w:tabs>
        <w:rPr>
          <w:spacing w:val="2"/>
        </w:rPr>
      </w:pPr>
      <w:r w:rsidRPr="003F7D92">
        <w:rPr>
          <w:spacing w:val="2"/>
        </w:rPr>
        <w:t>II</w:t>
      </w:r>
    </w:p>
    <w:p w:rsidR="00542027" w:rsidRPr="003F7D92" w:rsidRDefault="00AE510D" w:rsidP="00A33244">
      <w:pPr>
        <w:pStyle w:val="Heading1"/>
        <w:rPr>
          <w:spacing w:val="2"/>
        </w:rPr>
      </w:pPr>
      <w:r w:rsidRPr="003F7D92">
        <w:rPr>
          <w:spacing w:val="2"/>
        </w:rPr>
        <w:t>Pretendimet e kërkuesi</w:t>
      </w:r>
      <w:r w:rsidR="00C84539">
        <w:rPr>
          <w:spacing w:val="2"/>
        </w:rPr>
        <w:t>t</w:t>
      </w:r>
    </w:p>
    <w:p w:rsidR="009B1058" w:rsidRPr="009B1058" w:rsidRDefault="00542027" w:rsidP="00A33244">
      <w:pPr>
        <w:pStyle w:val="ListParagraph"/>
        <w:numPr>
          <w:ilvl w:val="0"/>
          <w:numId w:val="1"/>
        </w:numPr>
        <w:tabs>
          <w:tab w:val="left" w:pos="1080"/>
        </w:tabs>
        <w:ind w:left="0" w:firstLine="720"/>
        <w:jc w:val="both"/>
        <w:rPr>
          <w:spacing w:val="2"/>
        </w:rPr>
      </w:pPr>
      <w:r w:rsidRPr="003F7D92">
        <w:rPr>
          <w:rFonts w:eastAsia="MS Mincho"/>
          <w:b/>
          <w:i/>
          <w:spacing w:val="2"/>
        </w:rPr>
        <w:t>Kërkues</w:t>
      </w:r>
      <w:r w:rsidR="00B70AB7" w:rsidRPr="003F7D92">
        <w:rPr>
          <w:rFonts w:eastAsia="MS Mincho"/>
          <w:b/>
          <w:i/>
          <w:spacing w:val="2"/>
        </w:rPr>
        <w:t>i</w:t>
      </w:r>
      <w:r w:rsidRPr="003F7D92">
        <w:rPr>
          <w:rFonts w:eastAsia="MS Mincho"/>
          <w:b/>
          <w:i/>
          <w:spacing w:val="2"/>
        </w:rPr>
        <w:t xml:space="preserve"> </w:t>
      </w:r>
      <w:r w:rsidRPr="003F7D92">
        <w:rPr>
          <w:rFonts w:eastAsia="MS Mincho"/>
          <w:spacing w:val="2"/>
        </w:rPr>
        <w:t xml:space="preserve">ka parashtruar, në mënyrë të përmbledhur, se </w:t>
      </w:r>
      <w:r w:rsidR="00CC06DC" w:rsidRPr="003F7D92">
        <w:rPr>
          <w:rFonts w:eastAsia="MS Mincho"/>
          <w:spacing w:val="2"/>
        </w:rPr>
        <w:t>i</w:t>
      </w:r>
      <w:r w:rsidRPr="003F7D92">
        <w:rPr>
          <w:rFonts w:eastAsia="MS Mincho"/>
          <w:spacing w:val="2"/>
        </w:rPr>
        <w:t xml:space="preserve"> </w:t>
      </w:r>
      <w:r w:rsidR="009B1058">
        <w:rPr>
          <w:rFonts w:eastAsia="MS Mincho"/>
          <w:spacing w:val="2"/>
        </w:rPr>
        <w:t>janë</w:t>
      </w:r>
      <w:r w:rsidRPr="003F7D92">
        <w:rPr>
          <w:rFonts w:eastAsia="MS Mincho"/>
          <w:spacing w:val="2"/>
        </w:rPr>
        <w:t xml:space="preserve"> cenuar</w:t>
      </w:r>
      <w:r w:rsidR="009B1058">
        <w:rPr>
          <w:rFonts w:eastAsia="MS Mincho"/>
          <w:spacing w:val="2"/>
        </w:rPr>
        <w:t>:</w:t>
      </w:r>
    </w:p>
    <w:p w:rsidR="009B1058" w:rsidRPr="00F253C3" w:rsidRDefault="009B1058" w:rsidP="00206075">
      <w:pPr>
        <w:pStyle w:val="ListParagraph"/>
        <w:numPr>
          <w:ilvl w:val="0"/>
          <w:numId w:val="6"/>
        </w:numPr>
        <w:tabs>
          <w:tab w:val="left" w:pos="1170"/>
        </w:tabs>
        <w:ind w:hanging="720"/>
        <w:jc w:val="both"/>
        <w:rPr>
          <w:spacing w:val="2"/>
        </w:rPr>
      </w:pPr>
      <w:r w:rsidRPr="00F253C3">
        <w:rPr>
          <w:rFonts w:eastAsia="MS Mincho"/>
          <w:i/>
          <w:spacing w:val="2"/>
        </w:rPr>
        <w:t>E</w:t>
      </w:r>
      <w:r w:rsidR="002B595B" w:rsidRPr="00F253C3">
        <w:rPr>
          <w:rFonts w:eastAsia="MS Mincho"/>
          <w:i/>
          <w:spacing w:val="2"/>
        </w:rPr>
        <w:t xml:space="preserve"> drejta për </w:t>
      </w:r>
      <w:r w:rsidR="001B45F0" w:rsidRPr="00F253C3">
        <w:rPr>
          <w:rFonts w:eastAsia="MS Mincho"/>
          <w:i/>
          <w:spacing w:val="2"/>
        </w:rPr>
        <w:t>liri personale</w:t>
      </w:r>
      <w:r w:rsidR="001B45F0" w:rsidRPr="00F253C3">
        <w:rPr>
          <w:rFonts w:eastAsia="MS Mincho"/>
          <w:spacing w:val="2"/>
        </w:rPr>
        <w:t xml:space="preserve">, </w:t>
      </w:r>
      <w:r w:rsidR="004310B4" w:rsidRPr="00F253C3">
        <w:rPr>
          <w:rFonts w:eastAsia="MS Mincho"/>
          <w:spacing w:val="2"/>
        </w:rPr>
        <w:t xml:space="preserve">e </w:t>
      </w:r>
      <w:r w:rsidR="004310B4" w:rsidRPr="00560526">
        <w:t>parashikuar në nenin 27, pikat 1 dhe 2, shkronja “c”, të Kushtetutës, nenin 5, pika 1, shkronja “c”, të KEDNJ-së, si dhe nenin 228 të KPP-së, në drejtim të</w:t>
      </w:r>
      <w:r w:rsidR="00F253C3">
        <w:t>:</w:t>
      </w:r>
    </w:p>
    <w:p w:rsidR="00F253C3" w:rsidRPr="00841FCC" w:rsidRDefault="00F253C3" w:rsidP="00CB5824">
      <w:pPr>
        <w:pStyle w:val="ListParagraph"/>
        <w:numPr>
          <w:ilvl w:val="0"/>
          <w:numId w:val="9"/>
        </w:numPr>
        <w:tabs>
          <w:tab w:val="left" w:pos="2070"/>
        </w:tabs>
        <w:ind w:left="1890" w:hanging="720"/>
        <w:jc w:val="both"/>
        <w:rPr>
          <w:spacing w:val="2"/>
        </w:rPr>
      </w:pPr>
      <w:r w:rsidRPr="00F253C3">
        <w:rPr>
          <w:i/>
        </w:rPr>
        <w:t>Standardit të dyshimit të arsyeshëm</w:t>
      </w:r>
      <w:r>
        <w:t>, pasi</w:t>
      </w:r>
      <w:r w:rsidRPr="004310B4">
        <w:rPr>
          <w:rFonts w:eastAsia="MS Mincho"/>
          <w:spacing w:val="2"/>
        </w:rPr>
        <w:t xml:space="preserve"> </w:t>
      </w:r>
      <w:r>
        <w:rPr>
          <w:rFonts w:eastAsia="MS Mincho"/>
          <w:spacing w:val="2"/>
        </w:rPr>
        <w:t>d</w:t>
      </w:r>
      <w:r w:rsidRPr="00560526">
        <w:t xml:space="preserve">yshimet për heqjen e lirisë </w:t>
      </w:r>
      <w:r>
        <w:t>s</w:t>
      </w:r>
      <w:r w:rsidRPr="00560526">
        <w:t xml:space="preserve">ë tij vetjake nuk plotësojnë standardin kushtetues dhe </w:t>
      </w:r>
      <w:proofErr w:type="spellStart"/>
      <w:r w:rsidRPr="00560526">
        <w:t>konventor</w:t>
      </w:r>
      <w:proofErr w:type="spellEnd"/>
      <w:r w:rsidRPr="00560526">
        <w:t xml:space="preserve"> për të qenë të ndershme dhe </w:t>
      </w:r>
      <w:proofErr w:type="spellStart"/>
      <w:r w:rsidRPr="00560526">
        <w:rPr>
          <w:i/>
        </w:rPr>
        <w:t>bona</w:t>
      </w:r>
      <w:proofErr w:type="spellEnd"/>
      <w:r w:rsidRPr="00560526">
        <w:rPr>
          <w:i/>
        </w:rPr>
        <w:t xml:space="preserve"> </w:t>
      </w:r>
      <w:proofErr w:type="spellStart"/>
      <w:r w:rsidRPr="00560526">
        <w:rPr>
          <w:i/>
        </w:rPr>
        <w:t>fides</w:t>
      </w:r>
      <w:proofErr w:type="spellEnd"/>
      <w:r w:rsidRPr="00560526">
        <w:t xml:space="preserve"> </w:t>
      </w:r>
      <w:r w:rsidRPr="00560526">
        <w:rPr>
          <w:i/>
        </w:rPr>
        <w:t>(mirëbesimi)</w:t>
      </w:r>
      <w:r w:rsidRPr="00560526">
        <w:t>,</w:t>
      </w:r>
      <w:r>
        <w:t xml:space="preserve"> </w:t>
      </w:r>
      <w:r w:rsidRPr="00560526">
        <w:t>pasi nuk bazohen në fakte ose informacione që e lidhin atë në mënyrë objektive me veprën penale për të cilën dyshohet.</w:t>
      </w:r>
      <w:r>
        <w:t xml:space="preserve"> Masa e sigurisë e vendosur ndaj tij nuk plotëson kushtin kryesor të dyshimit të mbështetur mbi prova. </w:t>
      </w:r>
      <w:r w:rsidR="00BF71BE">
        <w:t>As në kërkesën e Prokurorisë së Posaçme n</w:t>
      </w:r>
      <w:r w:rsidR="002F7488">
        <w:t>ë marrjen e masës</w:t>
      </w:r>
      <w:r w:rsidR="009C75C0">
        <w:t>,</w:t>
      </w:r>
      <w:r w:rsidR="002F7488">
        <w:t xml:space="preserve"> </w:t>
      </w:r>
      <w:r>
        <w:t xml:space="preserve">as </w:t>
      </w:r>
      <w:r w:rsidR="009C75C0">
        <w:t xml:space="preserve">në vendimet e </w:t>
      </w:r>
      <w:r>
        <w:t>gjykata</w:t>
      </w:r>
      <w:r w:rsidR="009C75C0">
        <w:t>ve</w:t>
      </w:r>
      <w:r>
        <w:t xml:space="preserve"> nuk </w:t>
      </w:r>
      <w:r w:rsidR="009C75C0">
        <w:t xml:space="preserve">është </w:t>
      </w:r>
      <w:r>
        <w:lastRenderedPageBreak/>
        <w:t>përcaktuar dispozit</w:t>
      </w:r>
      <w:r w:rsidR="009C75C0">
        <w:t>a</w:t>
      </w:r>
      <w:r>
        <w:t xml:space="preserve"> konkrete </w:t>
      </w:r>
      <w:r w:rsidR="009C75C0">
        <w:t>e</w:t>
      </w:r>
      <w:r>
        <w:t xml:space="preserve"> pretend</w:t>
      </w:r>
      <w:r w:rsidR="009C75C0">
        <w:t>uar</w:t>
      </w:r>
      <w:r>
        <w:t xml:space="preserve"> s</w:t>
      </w:r>
      <w:r w:rsidR="009C75C0">
        <w:t>i</w:t>
      </w:r>
      <w:r>
        <w:t xml:space="preserve"> </w:t>
      </w:r>
      <w:r w:rsidR="009C75C0">
        <w:t>e</w:t>
      </w:r>
      <w:r>
        <w:t xml:space="preserve"> shkelur nga kërkuesi</w:t>
      </w:r>
      <w:r w:rsidR="009C75C0">
        <w:t>,</w:t>
      </w:r>
      <w:r>
        <w:t xml:space="preserve"> </w:t>
      </w:r>
      <w:r w:rsidR="00EB397A">
        <w:t>që</w:t>
      </w:r>
      <w:r>
        <w:t xml:space="preserve"> përbën veprën penale për të cilën ai dyshohet. </w:t>
      </w:r>
      <w:r w:rsidRPr="00560526">
        <w:t>Kufizimi i lirisë së tij nuk është bazuar në prova, por në</w:t>
      </w:r>
      <w:r w:rsidR="004878A0">
        <w:t xml:space="preserve"> mjete të kërkimit të provës dhe</w:t>
      </w:r>
      <w:r>
        <w:t xml:space="preserve"> fakte të pasakta. Kontrata nr. 87/13, datë 24.12.2018 nuk është nënshkruar nga </w:t>
      </w:r>
      <w:r w:rsidRPr="003B07E5">
        <w:t xml:space="preserve">kërkuesi, pasi ai nuk ka qenë në Shqipëri në momentin e nënshkrimit të saj. Kontrata shtesë nr. 87/19, datë 15.02.2019, e cila kishte si qëllim një interes publik, konkretisht shmangien e pagesës së </w:t>
      </w:r>
      <w:proofErr w:type="spellStart"/>
      <w:r w:rsidRPr="003B07E5">
        <w:t>penaliteteve</w:t>
      </w:r>
      <w:proofErr w:type="spellEnd"/>
      <w:r w:rsidRPr="003B07E5">
        <w:t>, ka ndryshuar edhe afatin e pagesës së mallrave të lëvruar nga RTSH-ja.</w:t>
      </w:r>
      <w:r w:rsidR="00104A78" w:rsidRPr="003B07E5">
        <w:t xml:space="preserve"> </w:t>
      </w:r>
      <w:r w:rsidR="000E5BCF" w:rsidRPr="003B07E5">
        <w:t>D</w:t>
      </w:r>
      <w:r w:rsidRPr="003B07E5">
        <w:t xml:space="preserve">uke mos referuar ndryshimin e afatit të pagesës në vlerësimin e rrethanave të çështjes, gjykata nuk ka pasur mundësi të vlerësojë se si mund të kishte ndikuar shtyrja e afatit të pagesave tek operatorët e tjerë ekonomikë. Pretendimet se tenderi është zhvilluar përpara se kanali “RTSH </w:t>
      </w:r>
      <w:proofErr w:type="spellStart"/>
      <w:r w:rsidRPr="003B07E5">
        <w:t>Agro</w:t>
      </w:r>
      <w:proofErr w:type="spellEnd"/>
      <w:r w:rsidRPr="003B07E5">
        <w:t>” të niste transmetimet është i pasakt</w:t>
      </w:r>
      <w:r w:rsidR="004B2546" w:rsidRPr="003B07E5">
        <w:t>ë</w:t>
      </w:r>
      <w:r w:rsidRPr="003B07E5">
        <w:t xml:space="preserve"> dhe nuk përbën vepër penale. </w:t>
      </w:r>
      <w:r w:rsidR="00104A78" w:rsidRPr="003B07E5">
        <w:t xml:space="preserve">Po kështu, </w:t>
      </w:r>
      <w:r w:rsidR="00F563B5" w:rsidRPr="003B07E5">
        <w:t>n</w:t>
      </w:r>
      <w:r w:rsidRPr="003B07E5">
        <w:t>djekja penale e kërkuesit ka nisur pas 2 vjetësh e 7 muajsh nga fakti penal i pretenduar</w:t>
      </w:r>
      <w:r w:rsidRPr="003B07E5">
        <w:rPr>
          <w:rFonts w:eastAsia="MS Mincho"/>
          <w:spacing w:val="2"/>
        </w:rPr>
        <w:t>.</w:t>
      </w:r>
    </w:p>
    <w:p w:rsidR="005D1A86" w:rsidRPr="00F253C3" w:rsidRDefault="005D1A86" w:rsidP="00CB5824">
      <w:pPr>
        <w:pStyle w:val="ListParagraph"/>
        <w:numPr>
          <w:ilvl w:val="0"/>
          <w:numId w:val="9"/>
        </w:numPr>
        <w:tabs>
          <w:tab w:val="left" w:pos="1980"/>
        </w:tabs>
        <w:ind w:left="1890" w:hanging="630"/>
        <w:jc w:val="both"/>
        <w:rPr>
          <w:spacing w:val="2"/>
        </w:rPr>
      </w:pPr>
      <w:r>
        <w:rPr>
          <w:rFonts w:eastAsia="MS Mincho"/>
          <w:i/>
          <w:spacing w:val="2"/>
        </w:rPr>
        <w:t>Parimi</w:t>
      </w:r>
      <w:r w:rsidR="00D54EEB">
        <w:rPr>
          <w:rFonts w:eastAsia="MS Mincho"/>
          <w:i/>
          <w:spacing w:val="2"/>
        </w:rPr>
        <w:t>t</w:t>
      </w:r>
      <w:r>
        <w:rPr>
          <w:rFonts w:eastAsia="MS Mincho"/>
          <w:i/>
          <w:spacing w:val="2"/>
        </w:rPr>
        <w:t xml:space="preserve"> </w:t>
      </w:r>
      <w:r w:rsidR="00D54EEB">
        <w:rPr>
          <w:rFonts w:eastAsia="MS Mincho"/>
          <w:i/>
          <w:spacing w:val="2"/>
        </w:rPr>
        <w:t>të</w:t>
      </w:r>
      <w:r>
        <w:rPr>
          <w:rFonts w:eastAsia="MS Mincho"/>
          <w:i/>
          <w:spacing w:val="2"/>
        </w:rPr>
        <w:t xml:space="preserve"> </w:t>
      </w:r>
      <w:proofErr w:type="spellStart"/>
      <w:r>
        <w:rPr>
          <w:rFonts w:eastAsia="MS Mincho"/>
          <w:i/>
          <w:spacing w:val="2"/>
        </w:rPr>
        <w:t>proporcionalitetit</w:t>
      </w:r>
      <w:proofErr w:type="spellEnd"/>
      <w:r>
        <w:rPr>
          <w:rFonts w:eastAsia="MS Mincho"/>
          <w:spacing w:val="2"/>
        </w:rPr>
        <w:t xml:space="preserve">, pasi gjykatat nuk kanë zbatuar drejt kriteret e sanksionuara </w:t>
      </w:r>
      <w:r w:rsidR="00525FE9">
        <w:rPr>
          <w:rFonts w:eastAsia="MS Mincho"/>
          <w:spacing w:val="2"/>
        </w:rPr>
        <w:t xml:space="preserve">në nenet 229 e 230 të KPP-së dhe vendimin </w:t>
      </w:r>
      <w:proofErr w:type="spellStart"/>
      <w:r w:rsidR="00525FE9">
        <w:rPr>
          <w:rFonts w:eastAsia="MS Mincho"/>
          <w:spacing w:val="2"/>
        </w:rPr>
        <w:t>unifikues</w:t>
      </w:r>
      <w:proofErr w:type="spellEnd"/>
      <w:r w:rsidR="00525FE9">
        <w:rPr>
          <w:rFonts w:eastAsia="MS Mincho"/>
          <w:spacing w:val="2"/>
        </w:rPr>
        <w:t xml:space="preserve"> nr. 7, datë 14.10.2011 të Kolegjeve të Bashkuara të Gjykatës së Lartë.</w:t>
      </w:r>
      <w:r w:rsidR="006B1945">
        <w:rPr>
          <w:rFonts w:eastAsia="MS Mincho"/>
          <w:spacing w:val="2"/>
        </w:rPr>
        <w:t xml:space="preserve"> </w:t>
      </w:r>
      <w:r w:rsidR="004B2546">
        <w:rPr>
          <w:rFonts w:eastAsia="MS Mincho"/>
          <w:spacing w:val="2"/>
        </w:rPr>
        <w:t>G</w:t>
      </w:r>
      <w:r w:rsidR="006B1945">
        <w:rPr>
          <w:rFonts w:eastAsia="MS Mincho"/>
          <w:spacing w:val="2"/>
        </w:rPr>
        <w:t>jykatat nuk kanë arritur në konkluzione të argumentuara se</w:t>
      </w:r>
      <w:r w:rsidR="00525FE9">
        <w:rPr>
          <w:rFonts w:eastAsia="MS Mincho"/>
          <w:spacing w:val="2"/>
        </w:rPr>
        <w:t xml:space="preserve"> </w:t>
      </w:r>
      <w:r w:rsidR="006B1945">
        <w:rPr>
          <w:rFonts w:eastAsia="MS Mincho"/>
          <w:spacing w:val="2"/>
        </w:rPr>
        <w:t>përse masat e tjera të sigurimit nuk janë të përshtatshme në rastin e tij.</w:t>
      </w:r>
      <w:r w:rsidR="00E06F18">
        <w:rPr>
          <w:rFonts w:eastAsia="MS Mincho"/>
          <w:spacing w:val="2"/>
        </w:rPr>
        <w:t xml:space="preserve"> Arsyetimet e </w:t>
      </w:r>
      <w:r w:rsidR="004B2546">
        <w:rPr>
          <w:rFonts w:eastAsia="MS Mincho"/>
          <w:spacing w:val="2"/>
        </w:rPr>
        <w:t>tyre</w:t>
      </w:r>
      <w:r w:rsidR="00E06F18">
        <w:rPr>
          <w:rFonts w:eastAsia="MS Mincho"/>
          <w:spacing w:val="2"/>
        </w:rPr>
        <w:t xml:space="preserve"> në këtë drejtim kanë të bëjnë vetëm me aspektin e rrezikshmërisë së lartë shoqërore të veprës penale që pretendohet si e kryer dhe j</w:t>
      </w:r>
      <w:r w:rsidR="00F563B5">
        <w:rPr>
          <w:rFonts w:eastAsia="MS Mincho"/>
          <w:spacing w:val="2"/>
        </w:rPr>
        <w:t xml:space="preserve">o me aspektin e </w:t>
      </w:r>
      <w:proofErr w:type="spellStart"/>
      <w:r w:rsidR="00F563B5">
        <w:rPr>
          <w:rFonts w:eastAsia="MS Mincho"/>
          <w:spacing w:val="2"/>
        </w:rPr>
        <w:t>mjaftueshmërisë</w:t>
      </w:r>
      <w:proofErr w:type="spellEnd"/>
      <w:r w:rsidR="00E06F18">
        <w:rPr>
          <w:rFonts w:eastAsia="MS Mincho"/>
          <w:spacing w:val="2"/>
        </w:rPr>
        <w:t>.</w:t>
      </w:r>
      <w:r w:rsidR="00F01461">
        <w:rPr>
          <w:rFonts w:eastAsia="MS Mincho"/>
          <w:spacing w:val="2"/>
        </w:rPr>
        <w:t xml:space="preserve"> Pretendimet e Prokurorisë së Posaçme për dyshime të ndërhyrjes së tij në prova janë të pabazuara, pasi ai nuk kishte asnjë marrëdhënie me ambientet ku ndodheshin </w:t>
      </w:r>
      <w:r w:rsidR="00E6437E">
        <w:rPr>
          <w:rFonts w:eastAsia="MS Mincho"/>
          <w:spacing w:val="2"/>
        </w:rPr>
        <w:t>ato</w:t>
      </w:r>
      <w:r w:rsidR="00F01461">
        <w:rPr>
          <w:rFonts w:eastAsia="MS Mincho"/>
          <w:spacing w:val="2"/>
        </w:rPr>
        <w:t xml:space="preserve">. </w:t>
      </w:r>
      <w:r w:rsidR="003B07E5">
        <w:rPr>
          <w:rFonts w:eastAsia="MS Mincho"/>
          <w:spacing w:val="2"/>
        </w:rPr>
        <w:t>K</w:t>
      </w:r>
      <w:r w:rsidR="00B0745F">
        <w:t>ontrata shtesë nr. 87/19, datë 15.02.2019</w:t>
      </w:r>
      <w:r w:rsidR="00372EB6">
        <w:t>,</w:t>
      </w:r>
      <w:r w:rsidR="00B0745F">
        <w:t xml:space="preserve"> mbi të cilën Prokuroria e Posaçme ka mbështetur akuzën</w:t>
      </w:r>
      <w:r w:rsidR="00372EB6">
        <w:t>,</w:t>
      </w:r>
      <w:r w:rsidR="00B0745F">
        <w:t xml:space="preserve"> ishte sekuestruar që para arrestimit të tij.</w:t>
      </w:r>
      <w:r w:rsidR="00372EB6">
        <w:t xml:space="preserve"> </w:t>
      </w:r>
      <w:r w:rsidR="00DA188C">
        <w:t>Po kështu, k</w:t>
      </w:r>
      <w:r w:rsidR="00372EB6">
        <w:t>ërkuesi ka qenë vazhdimisht bashkëpunues</w:t>
      </w:r>
      <w:r w:rsidR="003B07E5">
        <w:t xml:space="preserve"> dhe</w:t>
      </w:r>
      <w:r w:rsidR="00372EB6">
        <w:t xml:space="preserve"> është </w:t>
      </w:r>
      <w:proofErr w:type="spellStart"/>
      <w:r w:rsidR="00372EB6">
        <w:t>vetëdorëzuar</w:t>
      </w:r>
      <w:proofErr w:type="spellEnd"/>
      <w:r w:rsidR="00372EB6">
        <w:t xml:space="preserve"> me të marrë dijeni nga </w:t>
      </w:r>
      <w:proofErr w:type="spellStart"/>
      <w:r w:rsidR="00372EB6">
        <w:t>medi</w:t>
      </w:r>
      <w:r w:rsidR="002F7488">
        <w:t>e</w:t>
      </w:r>
      <w:r w:rsidR="00372EB6">
        <w:t>t</w:t>
      </w:r>
      <w:proofErr w:type="spellEnd"/>
      <w:r w:rsidR="00372EB6">
        <w:t xml:space="preserve"> për vendosjen e masë</w:t>
      </w:r>
      <w:r w:rsidR="005820A8">
        <w:t xml:space="preserve">s ndaj tij. Dyshimi i prokurorisë për rrezikun e largimit nga vendi është i pabazuar, pasi </w:t>
      </w:r>
      <w:r w:rsidR="00841FCC">
        <w:t>ai mund të adresohej përmes masës së parashikuar në nenin 233 të KPP-së, çka do të ishte proporcionale në rastin e tij, për shkak të problemeve shëndetësore që ka.</w:t>
      </w:r>
    </w:p>
    <w:p w:rsidR="00BC39D5" w:rsidRDefault="00976786" w:rsidP="008E7082">
      <w:pPr>
        <w:pStyle w:val="ListParagraph"/>
        <w:numPr>
          <w:ilvl w:val="0"/>
          <w:numId w:val="6"/>
        </w:numPr>
        <w:tabs>
          <w:tab w:val="left" w:pos="1260"/>
        </w:tabs>
        <w:ind w:hanging="720"/>
        <w:jc w:val="both"/>
        <w:rPr>
          <w:spacing w:val="2"/>
        </w:rPr>
      </w:pPr>
      <w:r>
        <w:rPr>
          <w:i/>
          <w:spacing w:val="2"/>
        </w:rPr>
        <w:t>E</w:t>
      </w:r>
      <w:r w:rsidR="00BC39D5">
        <w:rPr>
          <w:i/>
          <w:spacing w:val="2"/>
        </w:rPr>
        <w:t xml:space="preserve"> drejt</w:t>
      </w:r>
      <w:r>
        <w:rPr>
          <w:i/>
          <w:spacing w:val="2"/>
        </w:rPr>
        <w:t>a</w:t>
      </w:r>
      <w:r w:rsidR="00BC39D5">
        <w:rPr>
          <w:i/>
          <w:spacing w:val="2"/>
        </w:rPr>
        <w:t xml:space="preserve"> për proces të rregullt ligjor </w:t>
      </w:r>
      <w:r w:rsidR="00BC39D5">
        <w:rPr>
          <w:spacing w:val="2"/>
        </w:rPr>
        <w:t>në drejtim të:</w:t>
      </w:r>
    </w:p>
    <w:p w:rsidR="002C1FE8" w:rsidRDefault="00841FCC" w:rsidP="0042461A">
      <w:pPr>
        <w:pStyle w:val="ListParagraph"/>
        <w:numPr>
          <w:ilvl w:val="0"/>
          <w:numId w:val="11"/>
        </w:numPr>
        <w:tabs>
          <w:tab w:val="left" w:pos="1980"/>
        </w:tabs>
        <w:ind w:left="1980" w:hanging="720"/>
        <w:jc w:val="both"/>
        <w:rPr>
          <w:spacing w:val="2"/>
        </w:rPr>
      </w:pPr>
      <w:r>
        <w:rPr>
          <w:i/>
          <w:spacing w:val="2"/>
        </w:rPr>
        <w:lastRenderedPageBreak/>
        <w:t>Parimi</w:t>
      </w:r>
      <w:r w:rsidR="00F253C3">
        <w:rPr>
          <w:i/>
          <w:spacing w:val="2"/>
        </w:rPr>
        <w:t>t</w:t>
      </w:r>
      <w:r>
        <w:rPr>
          <w:i/>
          <w:spacing w:val="2"/>
        </w:rPr>
        <w:t xml:space="preserve"> </w:t>
      </w:r>
      <w:r w:rsidR="00F253C3">
        <w:rPr>
          <w:i/>
          <w:spacing w:val="2"/>
        </w:rPr>
        <w:t>të</w:t>
      </w:r>
      <w:r>
        <w:rPr>
          <w:i/>
          <w:spacing w:val="2"/>
        </w:rPr>
        <w:t xml:space="preserve"> </w:t>
      </w:r>
      <w:proofErr w:type="spellStart"/>
      <w:r>
        <w:rPr>
          <w:i/>
          <w:spacing w:val="2"/>
        </w:rPr>
        <w:t>prezumimit</w:t>
      </w:r>
      <w:proofErr w:type="spellEnd"/>
      <w:r>
        <w:rPr>
          <w:i/>
          <w:spacing w:val="2"/>
        </w:rPr>
        <w:t xml:space="preserve"> të pafajësisë</w:t>
      </w:r>
      <w:r>
        <w:rPr>
          <w:spacing w:val="2"/>
        </w:rPr>
        <w:t xml:space="preserve">, pasi është paragjykuar nga </w:t>
      </w:r>
      <w:r w:rsidR="00104A78">
        <w:rPr>
          <w:spacing w:val="2"/>
        </w:rPr>
        <w:t>gjykatat e posaçme</w:t>
      </w:r>
      <w:r>
        <w:rPr>
          <w:spacing w:val="2"/>
        </w:rPr>
        <w:t>, të cilat kanë vlerësuar se faktet e zbuluara nga hetimi vërtetojnë plotësisht shkeljet për të cilat</w:t>
      </w:r>
      <w:r w:rsidR="00104A78">
        <w:rPr>
          <w:spacing w:val="2"/>
        </w:rPr>
        <w:t xml:space="preserve"> ai </w:t>
      </w:r>
      <w:r>
        <w:rPr>
          <w:spacing w:val="2"/>
        </w:rPr>
        <w:t>akuzohej dhe, për rrjedhojë</w:t>
      </w:r>
      <w:r w:rsidR="008E7082">
        <w:rPr>
          <w:spacing w:val="2"/>
        </w:rPr>
        <w:t>,</w:t>
      </w:r>
      <w:r>
        <w:rPr>
          <w:spacing w:val="2"/>
        </w:rPr>
        <w:t xml:space="preserve"> në raport të drejtë me masën e sigurimit të caktuar ndaj tij, </w:t>
      </w:r>
      <w:r w:rsidR="00104A78">
        <w:rPr>
          <w:spacing w:val="2"/>
        </w:rPr>
        <w:t xml:space="preserve">e cila është </w:t>
      </w:r>
      <w:r>
        <w:rPr>
          <w:spacing w:val="2"/>
        </w:rPr>
        <w:t>e përshtatshme</w:t>
      </w:r>
      <w:r w:rsidR="0030458A">
        <w:rPr>
          <w:spacing w:val="2"/>
        </w:rPr>
        <w:t>.</w:t>
      </w:r>
      <w:r>
        <w:rPr>
          <w:spacing w:val="2"/>
        </w:rPr>
        <w:t xml:space="preserve"> Caktimi i masës është përdorur si sanksion dënimi njëlloj sikur të ishte shpallur fajësia dhe jo për nevoja të hetimit ose të ruajtjes së vlerave procedurale dhe marrëdhënieve shoqërore.</w:t>
      </w:r>
    </w:p>
    <w:p w:rsidR="00F253C3" w:rsidRDefault="00F253C3" w:rsidP="0042461A">
      <w:pPr>
        <w:pStyle w:val="ListParagraph"/>
        <w:numPr>
          <w:ilvl w:val="0"/>
          <w:numId w:val="11"/>
        </w:numPr>
        <w:tabs>
          <w:tab w:val="left" w:pos="1980"/>
        </w:tabs>
        <w:ind w:left="1980" w:hanging="720"/>
        <w:jc w:val="both"/>
        <w:rPr>
          <w:spacing w:val="2"/>
        </w:rPr>
      </w:pPr>
      <w:r>
        <w:rPr>
          <w:i/>
          <w:spacing w:val="2"/>
        </w:rPr>
        <w:t>Parimit të gjykimit nga një gjykatë e caktuar me ligj</w:t>
      </w:r>
      <w:r>
        <w:rPr>
          <w:spacing w:val="2"/>
        </w:rPr>
        <w:t xml:space="preserve">, pasi procedimi i tre </w:t>
      </w:r>
      <w:r w:rsidR="002F7488">
        <w:rPr>
          <w:spacing w:val="2"/>
        </w:rPr>
        <w:t xml:space="preserve">të </w:t>
      </w:r>
      <w:r>
        <w:rPr>
          <w:spacing w:val="2"/>
        </w:rPr>
        <w:t xml:space="preserve">bashkëpandehurve të tjerë për veprën penale të parashikuar nga neni 258 i KP-së është i ndarë nga ai i tij dhe </w:t>
      </w:r>
      <w:r w:rsidR="00574151">
        <w:rPr>
          <w:spacing w:val="2"/>
        </w:rPr>
        <w:t>vlerësimet</w:t>
      </w:r>
      <w:r>
        <w:rPr>
          <w:spacing w:val="2"/>
        </w:rPr>
        <w:t xml:space="preserve"> e Prokurorisë së Posaçme dhe Gjykatës së Posaçme të Shkallës së Parë se procedimi duhej trajtuar sipas nenit 80 të KP-së </w:t>
      </w:r>
      <w:r w:rsidR="00104A78">
        <w:rPr>
          <w:spacing w:val="2"/>
        </w:rPr>
        <w:t xml:space="preserve">janë të </w:t>
      </w:r>
      <w:r>
        <w:rPr>
          <w:spacing w:val="2"/>
        </w:rPr>
        <w:t>gabuar</w:t>
      </w:r>
      <w:r w:rsidR="00104A78">
        <w:rPr>
          <w:spacing w:val="2"/>
        </w:rPr>
        <w:t>a</w:t>
      </w:r>
      <w:r>
        <w:rPr>
          <w:spacing w:val="2"/>
        </w:rPr>
        <w:t xml:space="preserve">. Dyshimet e prokurorisë </w:t>
      </w:r>
      <w:r w:rsidR="00780A89">
        <w:rPr>
          <w:spacing w:val="2"/>
        </w:rPr>
        <w:t>kishin të bënin</w:t>
      </w:r>
      <w:r>
        <w:rPr>
          <w:spacing w:val="2"/>
        </w:rPr>
        <w:t xml:space="preserve"> me zbatimin e kontratës së prokurimit dhe jo me lidhjen e saj e përzgjedhjen e fituesit nga anëtarët e KVO-së. Këto veprimtari administrative janë tërësisht të ndara dhe nuk lidhen me njëra-tjetrën. Për </w:t>
      </w:r>
      <w:r w:rsidR="001F0DFD">
        <w:rPr>
          <w:spacing w:val="2"/>
        </w:rPr>
        <w:t>rrjedhojë</w:t>
      </w:r>
      <w:r w:rsidR="00667C95">
        <w:rPr>
          <w:spacing w:val="2"/>
        </w:rPr>
        <w:t>,</w:t>
      </w:r>
      <w:r>
        <w:rPr>
          <w:spacing w:val="2"/>
        </w:rPr>
        <w:t xml:space="preserve"> gjykata që duhej të vlerësonte kërkesat e prokurorisë gjatë procesit duhej të ishte Gjykata e Rrethit Gjyqësor Tiranë.</w:t>
      </w:r>
    </w:p>
    <w:p w:rsidR="00F253C3" w:rsidRDefault="00F253C3" w:rsidP="0042461A">
      <w:pPr>
        <w:pStyle w:val="ListParagraph"/>
        <w:numPr>
          <w:ilvl w:val="0"/>
          <w:numId w:val="11"/>
        </w:numPr>
        <w:tabs>
          <w:tab w:val="left" w:pos="1980"/>
        </w:tabs>
        <w:ind w:left="1980" w:hanging="720"/>
        <w:jc w:val="both"/>
        <w:rPr>
          <w:spacing w:val="2"/>
        </w:rPr>
      </w:pPr>
      <w:r>
        <w:rPr>
          <w:i/>
          <w:spacing w:val="2"/>
        </w:rPr>
        <w:t>Standardit të arsyetimit të vendimit</w:t>
      </w:r>
      <w:r>
        <w:rPr>
          <w:spacing w:val="2"/>
        </w:rPr>
        <w:t xml:space="preserve">, pasi </w:t>
      </w:r>
      <w:r w:rsidRPr="00560526">
        <w:t xml:space="preserve">gjykatat janë kufizuar në përsëritjen në mënyrë abstrakte dhe </w:t>
      </w:r>
      <w:proofErr w:type="spellStart"/>
      <w:r w:rsidR="009F15E2" w:rsidRPr="00560526">
        <w:t>stereotip</w:t>
      </w:r>
      <w:r w:rsidR="009F15E2">
        <w:t>e</w:t>
      </w:r>
      <w:proofErr w:type="spellEnd"/>
      <w:r w:rsidRPr="00560526">
        <w:t xml:space="preserve"> të vendimeve të tyre për kushtet formale të paraburgimit, pa asnjë analizë </w:t>
      </w:r>
      <w:proofErr w:type="spellStart"/>
      <w:r w:rsidRPr="00560526">
        <w:t>ezauruese</w:t>
      </w:r>
      <w:proofErr w:type="spellEnd"/>
      <w:r w:rsidRPr="00560526">
        <w:t xml:space="preserve"> dhe reale të kushteve dhe kritereve të parashikuara nga neni 228, pika 1, i KPP-së, si dhe pa treguar se si ato zbatohen në rastin e tij.</w:t>
      </w:r>
      <w:r>
        <w:t xml:space="preserve"> Gjykatat nuk kanë bërë asnjë arsyetim </w:t>
      </w:r>
      <w:r w:rsidR="009747BF">
        <w:t xml:space="preserve">se </w:t>
      </w:r>
      <w:r>
        <w:t>p</w:t>
      </w:r>
      <w:r w:rsidR="009747BF">
        <w:t>ërse</w:t>
      </w:r>
      <w:r>
        <w:t xml:space="preserve"> masat e tjera të sigurimit personal ishin të papërshtatshme në rrethanat konkrete, ndërsa Gjykata e Lartë nuk i ka dhënë përgjigje pretendimeve të tij të ngritura në rekurs</w:t>
      </w:r>
      <w:r>
        <w:rPr>
          <w:spacing w:val="2"/>
        </w:rPr>
        <w:t>.</w:t>
      </w:r>
    </w:p>
    <w:p w:rsidR="00C90568" w:rsidRDefault="00C90568" w:rsidP="00F11130">
      <w:pPr>
        <w:pStyle w:val="ListParagraph"/>
        <w:numPr>
          <w:ilvl w:val="0"/>
          <w:numId w:val="6"/>
        </w:numPr>
        <w:tabs>
          <w:tab w:val="left" w:pos="1440"/>
        </w:tabs>
        <w:ind w:hanging="720"/>
        <w:jc w:val="both"/>
        <w:rPr>
          <w:spacing w:val="2"/>
        </w:rPr>
      </w:pPr>
      <w:r>
        <w:rPr>
          <w:i/>
          <w:spacing w:val="2"/>
        </w:rPr>
        <w:t>E drejta për jetë private</w:t>
      </w:r>
      <w:r>
        <w:rPr>
          <w:spacing w:val="2"/>
        </w:rPr>
        <w:t xml:space="preserve">, </w:t>
      </w:r>
      <w:r w:rsidR="00EB1B81">
        <w:rPr>
          <w:spacing w:val="2"/>
        </w:rPr>
        <w:t>në drejtim të zhvillimit të karrierës dhe jetës profesionale,</w:t>
      </w:r>
      <w:r>
        <w:rPr>
          <w:spacing w:val="2"/>
        </w:rPr>
        <w:t xml:space="preserve"> </w:t>
      </w:r>
      <w:bookmarkStart w:id="0" w:name="_Hlk120282978"/>
      <w:r>
        <w:rPr>
          <w:spacing w:val="2"/>
        </w:rPr>
        <w:t xml:space="preserve">pasi </w:t>
      </w:r>
      <w:r w:rsidR="00736BA2">
        <w:rPr>
          <w:spacing w:val="2"/>
        </w:rPr>
        <w:t xml:space="preserve">nuk pati mundësi të merrte pjesë në garën e re për postin e </w:t>
      </w:r>
      <w:r w:rsidR="007963CB">
        <w:rPr>
          <w:spacing w:val="2"/>
        </w:rPr>
        <w:t>d</w:t>
      </w:r>
      <w:r w:rsidR="00736BA2">
        <w:rPr>
          <w:spacing w:val="2"/>
        </w:rPr>
        <w:t xml:space="preserve">rejtorit të </w:t>
      </w:r>
      <w:r w:rsidR="007963CB">
        <w:rPr>
          <w:spacing w:val="2"/>
        </w:rPr>
        <w:t>p</w:t>
      </w:r>
      <w:r w:rsidR="00736BA2">
        <w:rPr>
          <w:spacing w:val="2"/>
        </w:rPr>
        <w:t xml:space="preserve">ërgjithshëm të RTSH-së </w:t>
      </w:r>
      <w:r w:rsidR="002A79AD">
        <w:rPr>
          <w:spacing w:val="2"/>
        </w:rPr>
        <w:t>për shkak të</w:t>
      </w:r>
      <w:r>
        <w:rPr>
          <w:spacing w:val="2"/>
        </w:rPr>
        <w:t xml:space="preserve"> masës së sigurimit “Arrest me burg” të vendosur ndaj tij</w:t>
      </w:r>
      <w:bookmarkEnd w:id="0"/>
      <w:r w:rsidR="00EB1B81">
        <w:rPr>
          <w:spacing w:val="2"/>
        </w:rPr>
        <w:t>.</w:t>
      </w:r>
    </w:p>
    <w:p w:rsidR="00104A78" w:rsidRDefault="00104A78" w:rsidP="00104A78">
      <w:pPr>
        <w:pStyle w:val="ListParagraph"/>
        <w:tabs>
          <w:tab w:val="left" w:pos="1440"/>
        </w:tabs>
        <w:ind w:left="1440"/>
        <w:jc w:val="both"/>
        <w:rPr>
          <w:spacing w:val="2"/>
        </w:rPr>
      </w:pPr>
    </w:p>
    <w:p w:rsidR="00856C7A" w:rsidRPr="003F7D92" w:rsidRDefault="00856C7A" w:rsidP="00A33244">
      <w:pPr>
        <w:pStyle w:val="Heading1"/>
        <w:tabs>
          <w:tab w:val="left" w:pos="1080"/>
        </w:tabs>
        <w:rPr>
          <w:spacing w:val="2"/>
        </w:rPr>
      </w:pPr>
      <w:r w:rsidRPr="003F7D92">
        <w:rPr>
          <w:spacing w:val="2"/>
        </w:rPr>
        <w:t>III</w:t>
      </w:r>
    </w:p>
    <w:p w:rsidR="00856C7A" w:rsidRPr="003F7D92" w:rsidRDefault="00856C7A" w:rsidP="00A33244">
      <w:pPr>
        <w:tabs>
          <w:tab w:val="left" w:pos="1080"/>
        </w:tabs>
        <w:jc w:val="center"/>
        <w:rPr>
          <w:b/>
          <w:spacing w:val="2"/>
        </w:rPr>
      </w:pPr>
      <w:r w:rsidRPr="003F7D92">
        <w:rPr>
          <w:b/>
          <w:spacing w:val="2"/>
        </w:rPr>
        <w:t xml:space="preserve">Vlerësimi i </w:t>
      </w:r>
      <w:r w:rsidR="009F15E2">
        <w:rPr>
          <w:b/>
          <w:spacing w:val="2"/>
        </w:rPr>
        <w:t>Kolegjit</w:t>
      </w:r>
    </w:p>
    <w:p w:rsidR="00856C7A" w:rsidRPr="003F7D92" w:rsidRDefault="00856C7A" w:rsidP="00A33244">
      <w:pPr>
        <w:pStyle w:val="Heading2"/>
        <w:rPr>
          <w:spacing w:val="2"/>
        </w:rPr>
      </w:pPr>
      <w:r w:rsidRPr="003F7D92">
        <w:rPr>
          <w:spacing w:val="2"/>
        </w:rPr>
        <w:lastRenderedPageBreak/>
        <w:tab/>
        <w:t>A. Për legjitimimin e kërkues</w:t>
      </w:r>
      <w:r w:rsidR="003D6FCF">
        <w:rPr>
          <w:spacing w:val="2"/>
        </w:rPr>
        <w:t>it</w:t>
      </w:r>
    </w:p>
    <w:p w:rsidR="00161F5C" w:rsidRPr="003F7D92" w:rsidRDefault="00856C7A" w:rsidP="00A33244">
      <w:pPr>
        <w:pStyle w:val="ListParagraph"/>
        <w:numPr>
          <w:ilvl w:val="0"/>
          <w:numId w:val="1"/>
        </w:numPr>
        <w:tabs>
          <w:tab w:val="left" w:pos="1080"/>
        </w:tabs>
        <w:ind w:left="0" w:firstLine="720"/>
        <w:jc w:val="both"/>
        <w:rPr>
          <w:spacing w:val="2"/>
        </w:rPr>
      </w:pPr>
      <w:r w:rsidRPr="003F7D92">
        <w:rPr>
          <w:spacing w:val="2"/>
        </w:rPr>
        <w:t xml:space="preserve">Çështja e legjitimimit </w:t>
      </w:r>
      <w:r w:rsidRPr="003F7D92">
        <w:rPr>
          <w:i/>
          <w:spacing w:val="2"/>
        </w:rPr>
        <w:t>(</w:t>
      </w:r>
      <w:proofErr w:type="spellStart"/>
      <w:r w:rsidRPr="003F7D92">
        <w:rPr>
          <w:i/>
          <w:spacing w:val="2"/>
        </w:rPr>
        <w:t>locus</w:t>
      </w:r>
      <w:proofErr w:type="spellEnd"/>
      <w:r w:rsidRPr="003F7D92">
        <w:rPr>
          <w:i/>
          <w:spacing w:val="2"/>
        </w:rPr>
        <w:t xml:space="preserve"> </w:t>
      </w:r>
      <w:proofErr w:type="spellStart"/>
      <w:r w:rsidRPr="003F7D92">
        <w:rPr>
          <w:i/>
          <w:spacing w:val="2"/>
        </w:rPr>
        <w:t>standi</w:t>
      </w:r>
      <w:proofErr w:type="spellEnd"/>
      <w:r w:rsidRPr="003F7D92">
        <w:rPr>
          <w:i/>
          <w:spacing w:val="2"/>
        </w:rPr>
        <w:t>)</w:t>
      </w:r>
      <w:r w:rsidRPr="003F7D92">
        <w:rPr>
          <w:spacing w:val="2"/>
        </w:rPr>
        <w:t xml:space="preserve"> është vlerësuar nga Gjykata si një ndër aspektet kryesore që lidhet me inicimin e një procesi kushtetues. Sipas neneve 131, pika 1, shkronja “f” dhe 134, pika</w:t>
      </w:r>
      <w:r w:rsidR="00443E55">
        <w:rPr>
          <w:spacing w:val="2"/>
        </w:rPr>
        <w:t>t</w:t>
      </w:r>
      <w:r w:rsidRPr="003F7D92">
        <w:rPr>
          <w:spacing w:val="2"/>
        </w:rPr>
        <w:t xml:space="preserve"> 1, shkronja “i” dhe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sidR="00161F5C" w:rsidRPr="003F7D92">
        <w:rPr>
          <w:spacing w:val="2"/>
        </w:rPr>
        <w:t>.</w:t>
      </w:r>
    </w:p>
    <w:p w:rsidR="00856C7A" w:rsidRPr="003F7D92" w:rsidRDefault="002B7C77" w:rsidP="00A33244">
      <w:pPr>
        <w:pStyle w:val="ListParagraph"/>
        <w:numPr>
          <w:ilvl w:val="0"/>
          <w:numId w:val="1"/>
        </w:numPr>
        <w:tabs>
          <w:tab w:val="left" w:pos="1080"/>
        </w:tabs>
        <w:ind w:left="0" w:firstLine="720"/>
        <w:jc w:val="both"/>
        <w:rPr>
          <w:spacing w:val="2"/>
        </w:rPr>
      </w:pPr>
      <w:r w:rsidRPr="00186F75">
        <w:rPr>
          <w:rFonts w:eastAsia="Times New Roman"/>
        </w:rPr>
        <w:t>Ankimi kushtetues individual, në çdo rast, duhet të plotësojë kriteret e nenit 71/a të ligjit nr. 8577/2000, që lidhen me shterimin e mjeteve juridike</w:t>
      </w:r>
      <w:r w:rsidR="008C3737">
        <w:rPr>
          <w:rFonts w:eastAsia="Times New Roman"/>
        </w:rPr>
        <w:t xml:space="preserve"> efektive</w:t>
      </w:r>
      <w:r w:rsidRPr="00186F75">
        <w:rPr>
          <w:rFonts w:eastAsia="Times New Roman"/>
        </w:rPr>
        <w:t>, afatin e paraqitjes së kërkesës, pasojat negative të pësuara në mënyrë të drejtpërdrejtë e reale, mundësinë për rivendosjen e së drejtës së shkelur, si dhe rregullimet e veçanta ligjore të shqyrtimit paraprak të kërkesës</w:t>
      </w:r>
      <w:r>
        <w:t xml:space="preserve">. </w:t>
      </w:r>
      <w:r w:rsidRPr="0065634A">
        <w:rPr>
          <w:rFonts w:eastAsia="Times New Roman"/>
        </w:rPr>
        <w:t>Kriteret për pranueshmërinë e kërkesës janë kumulative, në kuptimin që mjafton mosplotësimi i njërit prej tyre që kërkuesi të mos legjitimohet për vënien në lëvizje të gjykimit kushtetues</w:t>
      </w:r>
      <w:r w:rsidR="00856C7A" w:rsidRPr="003F7D92">
        <w:rPr>
          <w:spacing w:val="2"/>
        </w:rPr>
        <w:t>.</w:t>
      </w:r>
    </w:p>
    <w:p w:rsidR="00856C7A" w:rsidRPr="00104A85" w:rsidRDefault="002B7C77" w:rsidP="00A33244">
      <w:pPr>
        <w:pStyle w:val="ListParagraph"/>
        <w:numPr>
          <w:ilvl w:val="0"/>
          <w:numId w:val="1"/>
        </w:numPr>
        <w:tabs>
          <w:tab w:val="left" w:pos="1080"/>
        </w:tabs>
        <w:ind w:left="0" w:firstLine="720"/>
        <w:jc w:val="both"/>
        <w:rPr>
          <w:spacing w:val="2"/>
        </w:rPr>
      </w:pPr>
      <w:r>
        <w:rPr>
          <w:rFonts w:eastAsia="Calibri"/>
          <w:spacing w:val="2"/>
        </w:rPr>
        <w:t>Si bartës</w:t>
      </w:r>
      <w:r w:rsidRPr="00B96641">
        <w:rPr>
          <w:rFonts w:eastAsia="Calibri"/>
          <w:spacing w:val="2"/>
        </w:rPr>
        <w:t xml:space="preserve"> </w:t>
      </w:r>
      <w:r>
        <w:rPr>
          <w:rFonts w:eastAsia="Calibri"/>
          <w:spacing w:val="2"/>
        </w:rPr>
        <w:t>i</w:t>
      </w:r>
      <w:r w:rsidRPr="00B96641">
        <w:rPr>
          <w:rFonts w:eastAsia="Calibri"/>
          <w:spacing w:val="2"/>
        </w:rPr>
        <w:t xml:space="preserve"> </w:t>
      </w:r>
      <w:r w:rsidRPr="00B96641">
        <w:rPr>
          <w:rFonts w:eastAsia="Calibri"/>
          <w:lang w:eastAsia="x-none"/>
        </w:rPr>
        <w:t>të drejtave dhe lirive themelore të parashikuara nga Kushtetuta</w:t>
      </w:r>
      <w:r>
        <w:rPr>
          <w:rFonts w:eastAsia="Calibri"/>
          <w:lang w:eastAsia="x-none"/>
        </w:rPr>
        <w:t>,</w:t>
      </w:r>
      <w:r>
        <w:rPr>
          <w:rFonts w:eastAsia="Calibri"/>
          <w:spacing w:val="2"/>
        </w:rPr>
        <w:t xml:space="preserve"> k</w:t>
      </w:r>
      <w:r w:rsidR="00925AD2">
        <w:rPr>
          <w:rFonts w:eastAsia="Calibri"/>
          <w:spacing w:val="2"/>
        </w:rPr>
        <w:t>ërkuesi</w:t>
      </w:r>
      <w:r w:rsidR="00E02DB6">
        <w:rPr>
          <w:rFonts w:eastAsia="Calibri"/>
          <w:spacing w:val="2"/>
        </w:rPr>
        <w:t>, si individ,</w:t>
      </w:r>
      <w:r w:rsidR="00856C7A" w:rsidRPr="003F7D92">
        <w:rPr>
          <w:rFonts w:eastAsia="Calibri"/>
          <w:spacing w:val="2"/>
        </w:rPr>
        <w:t xml:space="preserve"> legjitimohe</w:t>
      </w:r>
      <w:r w:rsidR="00925AD2">
        <w:rPr>
          <w:rFonts w:eastAsia="Calibri"/>
          <w:spacing w:val="2"/>
        </w:rPr>
        <w:t>t</w:t>
      </w:r>
      <w:r w:rsidR="00856C7A" w:rsidRPr="003F7D92">
        <w:rPr>
          <w:rFonts w:eastAsia="Calibri"/>
          <w:spacing w:val="2"/>
        </w:rPr>
        <w:t xml:space="preserve"> </w:t>
      </w:r>
      <w:proofErr w:type="spellStart"/>
      <w:r w:rsidR="00856C7A" w:rsidRPr="003F7D92">
        <w:rPr>
          <w:rFonts w:eastAsia="Calibri"/>
          <w:i/>
          <w:spacing w:val="2"/>
        </w:rPr>
        <w:t>ratione</w:t>
      </w:r>
      <w:proofErr w:type="spellEnd"/>
      <w:r w:rsidR="00856C7A" w:rsidRPr="003F7D92">
        <w:rPr>
          <w:rFonts w:eastAsia="Calibri"/>
          <w:i/>
          <w:spacing w:val="2"/>
        </w:rPr>
        <w:t xml:space="preserve"> </w:t>
      </w:r>
      <w:proofErr w:type="spellStart"/>
      <w:r w:rsidR="00856C7A" w:rsidRPr="003F7D92">
        <w:rPr>
          <w:rFonts w:eastAsia="Calibri"/>
          <w:i/>
          <w:spacing w:val="2"/>
        </w:rPr>
        <w:t>personae</w:t>
      </w:r>
      <w:proofErr w:type="spellEnd"/>
      <w:r w:rsidR="00856C7A" w:rsidRPr="003F7D92">
        <w:rPr>
          <w:rFonts w:eastAsia="Calibri"/>
          <w:i/>
          <w:spacing w:val="2"/>
        </w:rPr>
        <w:t>,</w:t>
      </w:r>
      <w:r w:rsidR="00856C7A" w:rsidRPr="003F7D92">
        <w:rPr>
          <w:rFonts w:eastAsia="Calibri"/>
          <w:spacing w:val="2"/>
        </w:rPr>
        <w:t xml:space="preserve"> bazuar në nenet 131, pika 1, shkronja “f” dhe 134, pika 1, shkronj</w:t>
      </w:r>
      <w:r w:rsidR="00925AD2">
        <w:rPr>
          <w:rFonts w:eastAsia="Calibri"/>
          <w:spacing w:val="2"/>
        </w:rPr>
        <w:t>a “i”, të Kushtetutës, pasi ka</w:t>
      </w:r>
      <w:r w:rsidR="00856C7A" w:rsidRPr="003F7D92">
        <w:rPr>
          <w:rFonts w:eastAsia="Calibri"/>
          <w:spacing w:val="2"/>
        </w:rPr>
        <w:t xml:space="preserve"> qenë palë në proce</w:t>
      </w:r>
      <w:r w:rsidR="00E02DB6">
        <w:rPr>
          <w:rFonts w:eastAsia="Calibri"/>
          <w:spacing w:val="2"/>
        </w:rPr>
        <w:t>sin gjyqësor</w:t>
      </w:r>
      <w:r w:rsidR="00925AD2">
        <w:rPr>
          <w:rFonts w:eastAsia="Calibri"/>
          <w:spacing w:val="2"/>
        </w:rPr>
        <w:t xml:space="preserve"> ndaj të cilit ka</w:t>
      </w:r>
      <w:r w:rsidR="00856C7A" w:rsidRPr="003F7D92">
        <w:rPr>
          <w:rFonts w:eastAsia="Calibri"/>
          <w:spacing w:val="2"/>
        </w:rPr>
        <w:t xml:space="preserve"> ngritur pretendime në këtë Gjykatë </w:t>
      </w:r>
      <w:r w:rsidR="00925AD2">
        <w:rPr>
          <w:rFonts w:eastAsia="Calibri"/>
          <w:bCs/>
          <w:spacing w:val="2"/>
        </w:rPr>
        <w:t>dhe ka</w:t>
      </w:r>
      <w:r w:rsidR="00856C7A" w:rsidRPr="003F7D92">
        <w:rPr>
          <w:rFonts w:eastAsia="Calibri"/>
          <w:bCs/>
          <w:spacing w:val="2"/>
        </w:rPr>
        <w:t xml:space="preserve"> interes të drejtpërdrejtë në çështjen e parashtruar.</w:t>
      </w:r>
    </w:p>
    <w:p w:rsidR="005C1625" w:rsidRPr="005C1625" w:rsidRDefault="00104A85" w:rsidP="00E331E8">
      <w:pPr>
        <w:pStyle w:val="ListParagraph"/>
        <w:numPr>
          <w:ilvl w:val="0"/>
          <w:numId w:val="1"/>
        </w:numPr>
        <w:tabs>
          <w:tab w:val="left" w:pos="1080"/>
        </w:tabs>
        <w:ind w:left="0" w:firstLine="720"/>
        <w:jc w:val="both"/>
        <w:rPr>
          <w:spacing w:val="2"/>
        </w:rPr>
      </w:pPr>
      <w:r w:rsidRPr="00BE6A3C">
        <w:t xml:space="preserve">Një kriter tjetër paraprak që përcaktohet </w:t>
      </w:r>
      <w:r w:rsidRPr="005C1625">
        <w:rPr>
          <w:bCs/>
        </w:rPr>
        <w:t xml:space="preserve">nga </w:t>
      </w:r>
      <w:r w:rsidRPr="00BE6A3C">
        <w:t xml:space="preserve">nenet 131, pika 1, shkronja “f” dhe 134, pika 1, shkronja “i”, të Kushtetutës, si dhe neni </w:t>
      </w:r>
      <w:r w:rsidRPr="005C1625">
        <w:rPr>
          <w:color w:val="000000"/>
        </w:rPr>
        <w:t>71/a, pika 1, shkronja “a”, i ligjit nr. 8577/2000 k</w:t>
      </w:r>
      <w:r w:rsidRPr="00BE6A3C">
        <w:t>a të bëjë me</w:t>
      </w:r>
      <w:r w:rsidRPr="005C1625">
        <w:rPr>
          <w:bCs/>
          <w:i/>
        </w:rPr>
        <w:t xml:space="preserve"> shterimin e mjeteve juridike efektive</w:t>
      </w:r>
      <w:r w:rsidRPr="005C1625">
        <w:rPr>
          <w:color w:val="000000"/>
        </w:rPr>
        <w:t xml:space="preserve">. </w:t>
      </w:r>
      <w:r w:rsidRPr="00BE6A3C">
        <w:t>Për plot</w:t>
      </w:r>
      <w:r>
        <w:t>ësimin e këtij kriteri, kërkuesi</w:t>
      </w:r>
      <w:r w:rsidRPr="00BE6A3C">
        <w:t xml:space="preserve"> duhet të shfrytëzojë në rrugë normale mjetet juridike, të cilat janë të përshtatshme, të </w:t>
      </w:r>
      <w:proofErr w:type="spellStart"/>
      <w:r w:rsidRPr="00BE6A3C">
        <w:t>disponueshme</w:t>
      </w:r>
      <w:proofErr w:type="spellEnd"/>
      <w:r w:rsidRPr="00BE6A3C">
        <w:t xml:space="preserve"> dhe të frytshme për një çështje konkrete</w:t>
      </w:r>
      <w:r w:rsidRPr="007D1F1E">
        <w:t xml:space="preserve">. </w:t>
      </w:r>
      <w:r w:rsidRPr="00BE6A3C">
        <w:t xml:space="preserve">Shterimi i mjeteve përbën parakusht </w:t>
      </w:r>
      <w:r>
        <w:t>që duhet përmbushur nga kërkuesi</w:t>
      </w:r>
      <w:r w:rsidRPr="00BE6A3C">
        <w:t xml:space="preserve">, </w:t>
      </w:r>
      <w:r>
        <w:t>i cili</w:t>
      </w:r>
      <w:r w:rsidRPr="00BE6A3C">
        <w:t xml:space="preserve"> para se t’i drejtohet Gjykatës duhet të vërtetojë se ka përdorur të gjitha mjetet juridike të njohura nga ligji dhe të mjaftueshme për të rivendosur të drejtat e shkelura</w:t>
      </w:r>
      <w:r w:rsidR="005C1625">
        <w:t xml:space="preserve"> </w:t>
      </w:r>
      <w:r w:rsidR="005C1625" w:rsidRPr="005C1625">
        <w:rPr>
          <w:i/>
        </w:rPr>
        <w:t>(shih vendimin nr. 4, datë 21.02.2022 të Gjykatës Kushtetuese)</w:t>
      </w:r>
      <w:r w:rsidRPr="00BE6A3C">
        <w:t xml:space="preserve">. </w:t>
      </w:r>
      <w:r w:rsidR="005C1625" w:rsidRPr="00560526">
        <w:t xml:space="preserve">Detyrimi për shterimin e mjeteve juridike efektive është trajtuar nga Gjykata si në rastet e vendimeve përfundimtare, që kanë përmbyllur procesin gjyqësor </w:t>
      </w:r>
      <w:r w:rsidR="005C1625" w:rsidRPr="005C1625">
        <w:rPr>
          <w:i/>
        </w:rPr>
        <w:t xml:space="preserve">(shih vendimet </w:t>
      </w:r>
      <w:r w:rsidR="0018592F">
        <w:rPr>
          <w:i/>
        </w:rPr>
        <w:t xml:space="preserve">nr. 14, datë 21.06.2022; </w:t>
      </w:r>
      <w:r w:rsidR="005C1625" w:rsidRPr="005C1625">
        <w:rPr>
          <w:i/>
        </w:rPr>
        <w:t>nr. 12, datë 24.04.20</w:t>
      </w:r>
      <w:r w:rsidR="00561774">
        <w:rPr>
          <w:i/>
        </w:rPr>
        <w:t>1</w:t>
      </w:r>
      <w:r w:rsidR="0018592F">
        <w:rPr>
          <w:i/>
        </w:rPr>
        <w:t>8</w:t>
      </w:r>
      <w:r w:rsidR="005C1625" w:rsidRPr="005C1625">
        <w:rPr>
          <w:i/>
        </w:rPr>
        <w:t xml:space="preserve"> të Gjykatës Kushtetuese)</w:t>
      </w:r>
      <w:r w:rsidR="009747BF">
        <w:rPr>
          <w:i/>
        </w:rPr>
        <w:t xml:space="preserve">, </w:t>
      </w:r>
      <w:r w:rsidR="009747BF" w:rsidRPr="009747BF">
        <w:t>ashtu</w:t>
      </w:r>
      <w:r w:rsidR="005C1625" w:rsidRPr="00560526">
        <w:t xml:space="preserve"> e</w:t>
      </w:r>
      <w:r w:rsidR="009747BF">
        <w:t xml:space="preserve">dhe </w:t>
      </w:r>
      <w:r w:rsidR="005C1625" w:rsidRPr="00560526">
        <w:t xml:space="preserve">të atyre të ndërmjetme, karakteri i të cilave është konsideruar përfundimtar për qëllimet e nenit 131, pika 1, shkronja “f”, të Kushtetutës </w:t>
      </w:r>
      <w:r w:rsidR="005C1625" w:rsidRPr="005C1625">
        <w:rPr>
          <w:i/>
        </w:rPr>
        <w:t>(shih vendimet nr. 5, datë 22.02.2022; nr. 14, datë 11.03.2021; nr. 28, datë 23.06.2011 të Gjykatës Kushtetuese)</w:t>
      </w:r>
      <w:r w:rsidR="005C1625">
        <w:t>.</w:t>
      </w:r>
    </w:p>
    <w:p w:rsidR="005C1625" w:rsidRPr="0069635C" w:rsidRDefault="005C1625" w:rsidP="00E331E8">
      <w:pPr>
        <w:pStyle w:val="ListParagraph"/>
        <w:numPr>
          <w:ilvl w:val="0"/>
          <w:numId w:val="1"/>
        </w:numPr>
        <w:tabs>
          <w:tab w:val="left" w:pos="1080"/>
        </w:tabs>
        <w:ind w:left="0" w:firstLine="720"/>
        <w:jc w:val="both"/>
        <w:rPr>
          <w:spacing w:val="2"/>
        </w:rPr>
      </w:pPr>
      <w:r>
        <w:rPr>
          <w:spacing w:val="2"/>
        </w:rPr>
        <w:lastRenderedPageBreak/>
        <w:t xml:space="preserve">Në rastin konkret, </w:t>
      </w:r>
      <w:r w:rsidR="00C9214D">
        <w:rPr>
          <w:spacing w:val="2"/>
        </w:rPr>
        <w:t xml:space="preserve">Kolegji vëren se </w:t>
      </w:r>
      <w:r w:rsidRPr="00560526">
        <w:t>kërkuesi ka kundërshtuar në Gjykatë procedurat gjyqësore për caktimin ndaj tij të masës së sigurimit personal me karak</w:t>
      </w:r>
      <w:r>
        <w:t>ter shtrëngues “Arrest në burg”. N</w:t>
      </w:r>
      <w:r w:rsidRPr="00560526">
        <w:t>ë jurisprudencën e saj</w:t>
      </w:r>
      <w:r w:rsidR="00A54D5A">
        <w:t>,</w:t>
      </w:r>
      <w:r w:rsidRPr="00560526">
        <w:t xml:space="preserve"> në drejtim të caktimit të masave të sigurimit, Gjykata ka vlerësuar se procedurat e këtij lloji, për nga natyra e tyre, janë të tilla që i nënshtrohen juridiksionit kushtetues </w:t>
      </w:r>
      <w:r w:rsidRPr="00560526">
        <w:rPr>
          <w:i/>
        </w:rPr>
        <w:t xml:space="preserve">(shih vendimet nr. 40, datë 18.07.2012; nr. 28, datë 23.06.2011 të Gjykatës </w:t>
      </w:r>
      <w:r w:rsidRPr="0069635C">
        <w:rPr>
          <w:i/>
        </w:rPr>
        <w:t>Kushtetuese)</w:t>
      </w:r>
      <w:r w:rsidRPr="0069635C">
        <w:t xml:space="preserve">. </w:t>
      </w:r>
      <w:r w:rsidR="00A375FC" w:rsidRPr="0069635C">
        <w:t xml:space="preserve">Për sa i përket përmbushjes së kriterit të shterimit të mjeteve juridike </w:t>
      </w:r>
      <w:r w:rsidR="00A375FC" w:rsidRPr="00193FD0">
        <w:t>efektive</w:t>
      </w:r>
      <w:r w:rsidR="006F4B94" w:rsidRPr="00193FD0">
        <w:t xml:space="preserve">, </w:t>
      </w:r>
      <w:r w:rsidR="00C9214D" w:rsidRPr="00193FD0">
        <w:t>Kolegji thekson</w:t>
      </w:r>
      <w:r w:rsidR="006F4B94" w:rsidRPr="00193FD0">
        <w:t xml:space="preserve"> paraprakisht se p</w:t>
      </w:r>
      <w:r w:rsidR="00D2518B" w:rsidRPr="00193FD0">
        <w:t xml:space="preserve">retendimet </w:t>
      </w:r>
      <w:r w:rsidR="0069635C" w:rsidRPr="00193FD0">
        <w:t>se</w:t>
      </w:r>
      <w:r w:rsidR="00D2518B" w:rsidRPr="00193FD0">
        <w:t xml:space="preserve"> kontrata nr. 87/13, datë 24.12.2018 nuk është nënshkruar prej tij dhe </w:t>
      </w:r>
      <w:r w:rsidR="00726471" w:rsidRPr="00193FD0">
        <w:t>qëllimi</w:t>
      </w:r>
      <w:r w:rsidR="00D2518B" w:rsidRPr="00193FD0">
        <w:t xml:space="preserve"> </w:t>
      </w:r>
      <w:r w:rsidR="00726471" w:rsidRPr="00193FD0">
        <w:t>i</w:t>
      </w:r>
      <w:r w:rsidR="00D2518B" w:rsidRPr="00193FD0">
        <w:t xml:space="preserve"> lidhjes së kontratës shtesë</w:t>
      </w:r>
      <w:r w:rsidR="006F4B94" w:rsidRPr="00193FD0">
        <w:t xml:space="preserve"> nr. 87/19, datë 15.02.2019</w:t>
      </w:r>
      <w:r w:rsidR="00D2518B" w:rsidRPr="00193FD0">
        <w:t xml:space="preserve"> </w:t>
      </w:r>
      <w:r w:rsidR="00726471" w:rsidRPr="00193FD0">
        <w:t xml:space="preserve">ka qenë shmangia e </w:t>
      </w:r>
      <w:proofErr w:type="spellStart"/>
      <w:r w:rsidR="00726471" w:rsidRPr="00193FD0">
        <w:t>penaliteteve</w:t>
      </w:r>
      <w:proofErr w:type="spellEnd"/>
      <w:r w:rsidR="00726471" w:rsidRPr="00193FD0">
        <w:t xml:space="preserve">, </w:t>
      </w:r>
      <w:r w:rsidR="00D2518B" w:rsidRPr="00193FD0">
        <w:t xml:space="preserve">janë ngritur për herë të parë në ankimin kushtetues individual. Për rrjedhojë, </w:t>
      </w:r>
      <w:r w:rsidR="0069635C" w:rsidRPr="00193FD0">
        <w:t>për këto pretendime</w:t>
      </w:r>
      <w:r w:rsidR="00D2518B" w:rsidRPr="00193FD0">
        <w:t xml:space="preserve"> kërkuesi nuk ka shteruar mjetet në dispozicion përpara se t’i drejtohet Gjykatës. </w:t>
      </w:r>
      <w:r w:rsidR="00FA14E0" w:rsidRPr="00193FD0">
        <w:t>Pretendimet</w:t>
      </w:r>
      <w:r w:rsidR="00FA14E0" w:rsidRPr="0069635C">
        <w:t xml:space="preserve"> e tjera janë ngritur në thelb </w:t>
      </w:r>
      <w:r w:rsidR="00694523" w:rsidRPr="0069635C">
        <w:t>përpara gjykatave</w:t>
      </w:r>
      <w:r w:rsidR="00FA14E0" w:rsidRPr="0069635C">
        <w:t>, p</w:t>
      </w:r>
      <w:r w:rsidRPr="0069635C">
        <w:t xml:space="preserve">ër rrjedhojë </w:t>
      </w:r>
      <w:r w:rsidR="006C1028" w:rsidRPr="0069635C">
        <w:t xml:space="preserve">Kolegji vlerëson </w:t>
      </w:r>
      <w:r w:rsidRPr="0069635C">
        <w:t xml:space="preserve">se </w:t>
      </w:r>
      <w:r w:rsidR="00FA14E0" w:rsidRPr="0069635C">
        <w:t xml:space="preserve">në lidhje me to </w:t>
      </w:r>
      <w:r w:rsidRPr="0069635C">
        <w:t>kërkuesi i ka shteruar mjetet juridike efektive në dispozicion për mbrojtjen e të drejtave të tij kushtetuese që pretendon se i janë shkelur.</w:t>
      </w:r>
    </w:p>
    <w:p w:rsidR="00587DB3" w:rsidRPr="00587DB3" w:rsidRDefault="00587DB3" w:rsidP="00A33244">
      <w:pPr>
        <w:pStyle w:val="ListParagraph"/>
        <w:numPr>
          <w:ilvl w:val="0"/>
          <w:numId w:val="1"/>
        </w:numPr>
        <w:tabs>
          <w:tab w:val="left" w:pos="1080"/>
        </w:tabs>
        <w:ind w:left="0" w:firstLine="720"/>
        <w:jc w:val="both"/>
        <w:rPr>
          <w:spacing w:val="2"/>
        </w:rPr>
      </w:pPr>
      <w:r w:rsidRPr="00EC7DEB">
        <w:rPr>
          <w:rFonts w:eastAsia="Batang"/>
        </w:rPr>
        <w:t xml:space="preserve">Lidhur me legjitimimin </w:t>
      </w:r>
      <w:proofErr w:type="spellStart"/>
      <w:r w:rsidRPr="00EC7DEB">
        <w:rPr>
          <w:rFonts w:eastAsia="Batang"/>
          <w:i/>
        </w:rPr>
        <w:t>ratione</w:t>
      </w:r>
      <w:proofErr w:type="spellEnd"/>
      <w:r w:rsidRPr="00EC7DEB">
        <w:rPr>
          <w:rFonts w:eastAsia="Batang"/>
          <w:i/>
        </w:rPr>
        <w:t xml:space="preserve"> </w:t>
      </w:r>
      <w:proofErr w:type="spellStart"/>
      <w:r w:rsidRPr="00EC7DEB">
        <w:rPr>
          <w:rFonts w:eastAsia="Batang"/>
          <w:i/>
        </w:rPr>
        <w:t>temporis</w:t>
      </w:r>
      <w:proofErr w:type="spellEnd"/>
      <w:r w:rsidRPr="00EC7DEB">
        <w:rPr>
          <w:rFonts w:eastAsia="Batang"/>
        </w:rPr>
        <w:t xml:space="preserve">, </w:t>
      </w:r>
      <w:r w:rsidRPr="00EC7DEB">
        <w:rPr>
          <w:rFonts w:eastAsia="Times New Roman"/>
        </w:rPr>
        <w:t xml:space="preserve">neni 71/a, pika 1, shkronja “b”, i ligjit nr. 8577/2000 ka parashikuar afatin 4-mujor nga konstatimi i cenimit për paraqitjen e ankimit kushtetues individual. </w:t>
      </w:r>
      <w:r w:rsidRPr="00EC7DEB">
        <w:rPr>
          <w:lang w:eastAsia="sq-AL"/>
        </w:rPr>
        <w:t>Vendimi i kundërshtuar i Gjykatës së Lartë</w:t>
      </w:r>
      <w:r w:rsidR="005C1625">
        <w:rPr>
          <w:lang w:eastAsia="sq-AL"/>
        </w:rPr>
        <w:t xml:space="preserve"> i është komunikuar kërkuesit nga sekretaria gjyqësore e </w:t>
      </w:r>
      <w:r w:rsidR="004851A8">
        <w:rPr>
          <w:lang w:eastAsia="sq-AL"/>
        </w:rPr>
        <w:t>kësaj gjykate</w:t>
      </w:r>
      <w:r w:rsidR="005C1625">
        <w:rPr>
          <w:lang w:eastAsia="sq-AL"/>
        </w:rPr>
        <w:t xml:space="preserve"> në datën 29.03.2022,</w:t>
      </w:r>
      <w:r>
        <w:rPr>
          <w:lang w:eastAsia="sq-AL"/>
        </w:rPr>
        <w:t xml:space="preserve"> ndërsa ankimi kushtetues individual është paraqitur në Gjykatë në datën </w:t>
      </w:r>
      <w:r w:rsidR="005C1625">
        <w:rPr>
          <w:lang w:eastAsia="sq-AL"/>
        </w:rPr>
        <w:t>2</w:t>
      </w:r>
      <w:r>
        <w:rPr>
          <w:lang w:eastAsia="sq-AL"/>
        </w:rPr>
        <w:t xml:space="preserve">5.07.2022, </w:t>
      </w:r>
      <w:r w:rsidRPr="00EC7DEB">
        <w:rPr>
          <w:lang w:eastAsia="sq-AL"/>
        </w:rPr>
        <w:t>p</w:t>
      </w:r>
      <w:r>
        <w:rPr>
          <w:lang w:eastAsia="sq-AL"/>
        </w:rPr>
        <w:t>ra brenda afatit ligjor 4-mujor.</w:t>
      </w:r>
    </w:p>
    <w:p w:rsidR="001366AA" w:rsidRPr="00235136" w:rsidRDefault="001366AA" w:rsidP="00A33244">
      <w:pPr>
        <w:pStyle w:val="ListParagraph"/>
        <w:numPr>
          <w:ilvl w:val="0"/>
          <w:numId w:val="1"/>
        </w:numPr>
        <w:tabs>
          <w:tab w:val="left" w:pos="1080"/>
        </w:tabs>
        <w:ind w:left="0" w:firstLine="720"/>
        <w:jc w:val="both"/>
        <w:rPr>
          <w:spacing w:val="2"/>
        </w:rPr>
      </w:pPr>
      <w:r w:rsidRPr="00BE6A3C">
        <w:t xml:space="preserve">Për sa i takon legjitimimit </w:t>
      </w:r>
      <w:proofErr w:type="spellStart"/>
      <w:r w:rsidRPr="00BE6A3C">
        <w:rPr>
          <w:i/>
        </w:rPr>
        <w:t>ratione</w:t>
      </w:r>
      <w:proofErr w:type="spellEnd"/>
      <w:r w:rsidRPr="00BE6A3C">
        <w:rPr>
          <w:i/>
        </w:rPr>
        <w:t xml:space="preserve"> </w:t>
      </w:r>
      <w:proofErr w:type="spellStart"/>
      <w:r w:rsidRPr="00BE6A3C">
        <w:rPr>
          <w:i/>
        </w:rPr>
        <w:t>materiae</w:t>
      </w:r>
      <w:proofErr w:type="spellEnd"/>
      <w:r w:rsidRPr="00BE6A3C">
        <w:t xml:space="preserve">, </w:t>
      </w:r>
      <w:r w:rsidR="00587DB3">
        <w:rPr>
          <w:iCs/>
        </w:rPr>
        <w:t xml:space="preserve">kërkuesi ka pretenduar </w:t>
      </w:r>
      <w:r w:rsidR="005C1625" w:rsidRPr="00560526">
        <w:t>se gjykatat i kanë cenuar</w:t>
      </w:r>
      <w:r w:rsidR="005C1625">
        <w:rPr>
          <w:iCs/>
        </w:rPr>
        <w:t xml:space="preserve"> </w:t>
      </w:r>
      <w:r w:rsidR="00BC39D5">
        <w:rPr>
          <w:iCs/>
        </w:rPr>
        <w:t xml:space="preserve">të drejtën për liri dhe siguri </w:t>
      </w:r>
      <w:r w:rsidR="00BC13E9">
        <w:rPr>
          <w:iCs/>
        </w:rPr>
        <w:t>në drejtim të standardit të dyshimit të arsyeshëm dhe</w:t>
      </w:r>
      <w:r w:rsidR="00BC39D5">
        <w:rPr>
          <w:iCs/>
        </w:rPr>
        <w:t xml:space="preserve"> </w:t>
      </w:r>
      <w:proofErr w:type="spellStart"/>
      <w:r w:rsidR="00BC39D5">
        <w:rPr>
          <w:iCs/>
        </w:rPr>
        <w:t>proporcionalitetit</w:t>
      </w:r>
      <w:proofErr w:type="spellEnd"/>
      <w:r w:rsidR="00BC39D5">
        <w:rPr>
          <w:iCs/>
        </w:rPr>
        <w:t xml:space="preserve"> të </w:t>
      </w:r>
      <w:r w:rsidR="00BC13E9">
        <w:rPr>
          <w:iCs/>
        </w:rPr>
        <w:t>masës</w:t>
      </w:r>
      <w:r w:rsidR="00BC39D5">
        <w:rPr>
          <w:iCs/>
        </w:rPr>
        <w:t xml:space="preserve">, </w:t>
      </w:r>
      <w:r w:rsidR="00BC13E9">
        <w:rPr>
          <w:iCs/>
        </w:rPr>
        <w:t>të drejtë</w:t>
      </w:r>
      <w:r w:rsidR="00A93BB1">
        <w:rPr>
          <w:iCs/>
        </w:rPr>
        <w:t xml:space="preserve">n për proces të rregullt ligjor </w:t>
      </w:r>
      <w:r w:rsidR="00BC13E9">
        <w:rPr>
          <w:iCs/>
        </w:rPr>
        <w:t xml:space="preserve">në drejtim të </w:t>
      </w:r>
      <w:r w:rsidR="00BC39D5">
        <w:rPr>
          <w:iCs/>
        </w:rPr>
        <w:t>pari</w:t>
      </w:r>
      <w:r w:rsidR="00BC13E9">
        <w:rPr>
          <w:iCs/>
        </w:rPr>
        <w:t>mit</w:t>
      </w:r>
      <w:r w:rsidR="00BC39D5">
        <w:rPr>
          <w:iCs/>
        </w:rPr>
        <w:t xml:space="preserve"> </w:t>
      </w:r>
      <w:r w:rsidR="00BC13E9">
        <w:rPr>
          <w:iCs/>
        </w:rPr>
        <w:t>të</w:t>
      </w:r>
      <w:r w:rsidR="00BC39D5">
        <w:rPr>
          <w:iCs/>
        </w:rPr>
        <w:t xml:space="preserve"> </w:t>
      </w:r>
      <w:proofErr w:type="spellStart"/>
      <w:r w:rsidR="00BC39D5">
        <w:rPr>
          <w:iCs/>
        </w:rPr>
        <w:t>prezumimit</w:t>
      </w:r>
      <w:proofErr w:type="spellEnd"/>
      <w:r w:rsidR="00BC39D5">
        <w:rPr>
          <w:iCs/>
        </w:rPr>
        <w:t xml:space="preserve"> të pafajësisë, gjykatës së</w:t>
      </w:r>
      <w:r w:rsidR="00BC13E9">
        <w:rPr>
          <w:iCs/>
        </w:rPr>
        <w:t xml:space="preserve"> caktuar me ligj dhe standardit</w:t>
      </w:r>
      <w:r w:rsidR="00BC39D5">
        <w:rPr>
          <w:iCs/>
        </w:rPr>
        <w:t xml:space="preserve"> </w:t>
      </w:r>
      <w:r w:rsidR="00BC13E9">
        <w:rPr>
          <w:iCs/>
        </w:rPr>
        <w:t>të</w:t>
      </w:r>
      <w:r w:rsidR="00BC39D5">
        <w:rPr>
          <w:iCs/>
        </w:rPr>
        <w:t xml:space="preserve"> arsyetimit të vendimit, si dhe të drejtën për jetë private</w:t>
      </w:r>
      <w:r w:rsidR="00235136" w:rsidRPr="00BE6A3C">
        <w:rPr>
          <w:iCs/>
        </w:rPr>
        <w:t xml:space="preserve">, </w:t>
      </w:r>
      <w:r w:rsidR="00613C81">
        <w:rPr>
          <w:iCs/>
        </w:rPr>
        <w:t xml:space="preserve">pretendime të cilat </w:t>
      </w:r>
      <w:r w:rsidR="004C40D0">
        <w:rPr>
          <w:i/>
          <w:iCs/>
        </w:rPr>
        <w:t xml:space="preserve">prima </w:t>
      </w:r>
      <w:proofErr w:type="spellStart"/>
      <w:r w:rsidR="004C40D0">
        <w:rPr>
          <w:i/>
          <w:iCs/>
        </w:rPr>
        <w:t>facie</w:t>
      </w:r>
      <w:proofErr w:type="spellEnd"/>
      <w:r w:rsidR="004C40D0">
        <w:rPr>
          <w:i/>
          <w:iCs/>
        </w:rPr>
        <w:t xml:space="preserve"> </w:t>
      </w:r>
      <w:r w:rsidR="00613C81">
        <w:rPr>
          <w:iCs/>
        </w:rPr>
        <w:t xml:space="preserve">përfshihen në </w:t>
      </w:r>
      <w:r w:rsidR="005C1625" w:rsidRPr="00560526">
        <w:rPr>
          <w:rFonts w:eastAsia="MS Mincho"/>
        </w:rPr>
        <w:t>kompetencën e Gjykat</w:t>
      </w:r>
      <w:r w:rsidR="004851A8">
        <w:rPr>
          <w:rFonts w:eastAsia="MS Mincho"/>
        </w:rPr>
        <w:t>ës</w:t>
      </w:r>
      <w:r w:rsidR="005C1625" w:rsidRPr="00560526">
        <w:rPr>
          <w:rFonts w:eastAsia="MS Mincho"/>
        </w:rPr>
        <w:t xml:space="preserve"> dhe, për rrjedhojë, do të analizohen në vijim</w:t>
      </w:r>
      <w:r w:rsidR="00235136">
        <w:rPr>
          <w:iCs/>
        </w:rPr>
        <w:t>.</w:t>
      </w:r>
    </w:p>
    <w:p w:rsidR="00235136" w:rsidRPr="001366AA" w:rsidRDefault="00235136" w:rsidP="00235136">
      <w:pPr>
        <w:pStyle w:val="ListParagraph"/>
        <w:tabs>
          <w:tab w:val="left" w:pos="1080"/>
        </w:tabs>
        <w:jc w:val="both"/>
        <w:rPr>
          <w:spacing w:val="2"/>
        </w:rPr>
      </w:pPr>
    </w:p>
    <w:p w:rsidR="005C1625" w:rsidRDefault="001366AA" w:rsidP="001366AA">
      <w:pPr>
        <w:pStyle w:val="ListParagraph"/>
        <w:tabs>
          <w:tab w:val="left" w:pos="1080"/>
        </w:tabs>
        <w:ind w:left="0" w:firstLine="720"/>
        <w:jc w:val="both"/>
        <w:rPr>
          <w:i/>
        </w:rPr>
      </w:pPr>
      <w:r w:rsidRPr="00220A56">
        <w:rPr>
          <w:i/>
        </w:rPr>
        <w:t xml:space="preserve">B. Për </w:t>
      </w:r>
      <w:r w:rsidR="005608F8">
        <w:rPr>
          <w:i/>
        </w:rPr>
        <w:t xml:space="preserve">pretendimin e </w:t>
      </w:r>
      <w:r w:rsidR="00AF2248">
        <w:rPr>
          <w:i/>
        </w:rPr>
        <w:t xml:space="preserve">cenimit </w:t>
      </w:r>
      <w:r w:rsidR="00BC13E9">
        <w:rPr>
          <w:i/>
        </w:rPr>
        <w:t xml:space="preserve">të </w:t>
      </w:r>
      <w:r w:rsidR="00AF2248">
        <w:rPr>
          <w:i/>
        </w:rPr>
        <w:t xml:space="preserve">së </w:t>
      </w:r>
      <w:r w:rsidR="00BC13E9">
        <w:rPr>
          <w:i/>
        </w:rPr>
        <w:t>drejtës për liri personale</w:t>
      </w:r>
    </w:p>
    <w:p w:rsidR="00BC13E9" w:rsidRPr="00220A56" w:rsidRDefault="00BC13E9" w:rsidP="001366AA">
      <w:pPr>
        <w:pStyle w:val="ListParagraph"/>
        <w:tabs>
          <w:tab w:val="left" w:pos="1080"/>
        </w:tabs>
        <w:ind w:left="0" w:firstLine="720"/>
        <w:jc w:val="both"/>
        <w:rPr>
          <w:i/>
        </w:rPr>
      </w:pPr>
      <w:r>
        <w:rPr>
          <w:i/>
        </w:rPr>
        <w:t>B.1.</w:t>
      </w:r>
      <w:r w:rsidR="00235777">
        <w:rPr>
          <w:i/>
        </w:rPr>
        <w:t xml:space="preserve"> </w:t>
      </w:r>
      <w:r>
        <w:rPr>
          <w:i/>
        </w:rPr>
        <w:t xml:space="preserve">Për </w:t>
      </w:r>
      <w:r w:rsidR="00A93BB1">
        <w:rPr>
          <w:i/>
        </w:rPr>
        <w:t xml:space="preserve">pretendimin </w:t>
      </w:r>
      <w:r w:rsidR="00AA50DE">
        <w:rPr>
          <w:i/>
        </w:rPr>
        <w:t>e</w:t>
      </w:r>
      <w:r w:rsidR="00A93BB1">
        <w:rPr>
          <w:i/>
        </w:rPr>
        <w:t xml:space="preserve"> </w:t>
      </w:r>
      <w:r>
        <w:rPr>
          <w:i/>
        </w:rPr>
        <w:t>cenimi</w:t>
      </w:r>
      <w:r w:rsidR="00AA50DE">
        <w:rPr>
          <w:i/>
        </w:rPr>
        <w:t>t</w:t>
      </w:r>
      <w:r>
        <w:rPr>
          <w:i/>
        </w:rPr>
        <w:t xml:space="preserve"> </w:t>
      </w:r>
      <w:r w:rsidR="00AA50DE">
        <w:rPr>
          <w:i/>
        </w:rPr>
        <w:t>të</w:t>
      </w:r>
      <w:r>
        <w:rPr>
          <w:i/>
        </w:rPr>
        <w:t xml:space="preserve"> standardit të dyshimit të arsyeshëm</w:t>
      </w:r>
    </w:p>
    <w:p w:rsidR="005C1625" w:rsidRPr="00BC13E9" w:rsidRDefault="005C1625" w:rsidP="005C1625">
      <w:pPr>
        <w:pStyle w:val="ListParagraph"/>
        <w:numPr>
          <w:ilvl w:val="0"/>
          <w:numId w:val="1"/>
        </w:numPr>
        <w:tabs>
          <w:tab w:val="left" w:pos="1080"/>
        </w:tabs>
        <w:ind w:left="0" w:firstLine="720"/>
        <w:jc w:val="both"/>
        <w:rPr>
          <w:spacing w:val="2"/>
        </w:rPr>
      </w:pPr>
      <w:r>
        <w:rPr>
          <w:spacing w:val="2"/>
        </w:rPr>
        <w:t xml:space="preserve">Kërkuesi ka pretenduar se </w:t>
      </w:r>
      <w:r w:rsidR="00533F13">
        <w:rPr>
          <w:rFonts w:eastAsia="MS Mincho"/>
          <w:spacing w:val="2"/>
        </w:rPr>
        <w:t>d</w:t>
      </w:r>
      <w:r w:rsidR="00533F13" w:rsidRPr="00560526">
        <w:t xml:space="preserve">yshimet për heqjen e lirisë </w:t>
      </w:r>
      <w:r w:rsidR="00533F13">
        <w:t>s</w:t>
      </w:r>
      <w:r w:rsidR="00533F13" w:rsidRPr="00560526">
        <w:t xml:space="preserve">ë tij vetjake nuk plotësojnë standardin kushtetues dhe </w:t>
      </w:r>
      <w:proofErr w:type="spellStart"/>
      <w:r w:rsidR="00533F13" w:rsidRPr="00560526">
        <w:t>konventor</w:t>
      </w:r>
      <w:proofErr w:type="spellEnd"/>
      <w:r w:rsidR="00533F13" w:rsidRPr="00560526">
        <w:t xml:space="preserve"> për të qenë të ndershme dhe </w:t>
      </w:r>
      <w:proofErr w:type="spellStart"/>
      <w:r w:rsidR="00533F13" w:rsidRPr="00560526">
        <w:rPr>
          <w:i/>
        </w:rPr>
        <w:t>bona</w:t>
      </w:r>
      <w:proofErr w:type="spellEnd"/>
      <w:r w:rsidR="00533F13" w:rsidRPr="00560526">
        <w:rPr>
          <w:i/>
        </w:rPr>
        <w:t xml:space="preserve"> </w:t>
      </w:r>
      <w:proofErr w:type="spellStart"/>
      <w:r w:rsidR="00533F13" w:rsidRPr="00560526">
        <w:rPr>
          <w:i/>
        </w:rPr>
        <w:t>fides</w:t>
      </w:r>
      <w:proofErr w:type="spellEnd"/>
      <w:r w:rsidR="00533F13" w:rsidRPr="00560526">
        <w:t xml:space="preserve"> </w:t>
      </w:r>
      <w:r w:rsidR="00533F13" w:rsidRPr="00560526">
        <w:rPr>
          <w:i/>
        </w:rPr>
        <w:t>(mirëbesimi)</w:t>
      </w:r>
      <w:r w:rsidR="00533F13" w:rsidRPr="00560526">
        <w:t>,</w:t>
      </w:r>
      <w:r w:rsidR="00533F13">
        <w:t xml:space="preserve"> </w:t>
      </w:r>
      <w:r w:rsidR="00533F13" w:rsidRPr="00560526">
        <w:t>pasi nuk bazohen në fakte ose informacione që e lidhin atë në mënyrë objektive me veprën penale për të cilën dyshohet.</w:t>
      </w:r>
      <w:r w:rsidR="00533F13">
        <w:t xml:space="preserve"> Masa e sigurisë e vendosur ndaj tij nuk plotëson kushtin kryesor të dyshimit të mbështetur mbi prova. As në kërkesën e Prokurorisë së Posaçme për marrjen e masës</w:t>
      </w:r>
      <w:r w:rsidR="009C75C0">
        <w:t>,</w:t>
      </w:r>
      <w:r w:rsidR="00533F13">
        <w:t xml:space="preserve"> as në vendimet e gjykatave nuk është përcaktuar dispozita konkrete që pretendohet se është shkelur nga kërkuesi dhe </w:t>
      </w:r>
      <w:r w:rsidR="009C75C0">
        <w:t>që</w:t>
      </w:r>
      <w:r w:rsidR="00533F13">
        <w:t xml:space="preserve"> përbën veprën penale për të cilën ai dyshohet. </w:t>
      </w:r>
      <w:r w:rsidR="00533F13" w:rsidRPr="00560526">
        <w:t xml:space="preserve">Kufizimi i </w:t>
      </w:r>
      <w:r w:rsidR="00533F13" w:rsidRPr="00560526">
        <w:lastRenderedPageBreak/>
        <w:t>lirisë së tij nuk është bazuar në prova, por në</w:t>
      </w:r>
      <w:r w:rsidR="00533F13">
        <w:t xml:space="preserve"> fakte të pasakta. Pretendimet e organit të akuzës se për kontratën e nënshkruar është bërë parapagesë nga RTSH-ja është e gabuar, pasi pagesa e pretenduar nuk është bërë në datën 31.12.2018, por </w:t>
      </w:r>
      <w:r w:rsidR="00EC05A2">
        <w:t xml:space="preserve">në datën </w:t>
      </w:r>
      <w:r w:rsidR="00533F13">
        <w:t xml:space="preserve">31.12.2019. </w:t>
      </w:r>
      <w:r w:rsidR="0020409E">
        <w:t>Neni 23 i DST-së rregullonte vonesat në zbatim dhe zgjatjen e afatit</w:t>
      </w:r>
      <w:r w:rsidR="008016CD">
        <w:t xml:space="preserve"> nga autoriteti </w:t>
      </w:r>
      <w:proofErr w:type="spellStart"/>
      <w:r w:rsidR="008016CD">
        <w:t>kontraktor</w:t>
      </w:r>
      <w:proofErr w:type="spellEnd"/>
      <w:r w:rsidR="0020409E">
        <w:t xml:space="preserve">. </w:t>
      </w:r>
      <w:r w:rsidR="00533F13">
        <w:t xml:space="preserve">Në këto kushte, duke mos referuar ndryshimin e afatit të pagesës në vlerësimin e rrethanave të çështjes, gjykata nuk ka pasur mundësi të vlerësojë se si mund të kishte ndikuar shtyrja e afatit të pagesave tek operatorët e tjerë ekonomikë. Pretendimet se tenderi është zhvilluar përpara se kanali “RTSH </w:t>
      </w:r>
      <w:proofErr w:type="spellStart"/>
      <w:r w:rsidR="00533F13">
        <w:t>Agro</w:t>
      </w:r>
      <w:proofErr w:type="spellEnd"/>
      <w:r w:rsidR="00533F13">
        <w:t>” të niste transmetimet është i pasaktë dhe nuk përbën vepër penale. Po kështu, ndjekja penale e kërkuesit ka nisur pas 2 vjetësh e 7 muajsh nga fakti penal i pretenduar</w:t>
      </w:r>
      <w:r w:rsidR="00BC13E9">
        <w:t>.</w:t>
      </w:r>
    </w:p>
    <w:p w:rsidR="00BC13E9" w:rsidRPr="00D216F6" w:rsidRDefault="00BC13E9" w:rsidP="00BC13E9">
      <w:pPr>
        <w:pStyle w:val="ListParagraph"/>
        <w:numPr>
          <w:ilvl w:val="0"/>
          <w:numId w:val="1"/>
        </w:numPr>
        <w:tabs>
          <w:tab w:val="left" w:pos="1080"/>
        </w:tabs>
        <w:ind w:left="0" w:firstLine="720"/>
        <w:jc w:val="both"/>
      </w:pPr>
      <w:r w:rsidRPr="00560526">
        <w:t xml:space="preserve">Neni 27, pika 1, </w:t>
      </w:r>
      <w:r w:rsidR="00A65D86">
        <w:t>i</w:t>
      </w:r>
      <w:r w:rsidRPr="00560526">
        <w:t xml:space="preserve"> Kushtetutës parashikon se askujt nuk mund t’i hiqet liria përveçse në rastet dhe sipas procedurave të parashikuara me ligj, ndërsa  pika 2 e këtij neni parashikon rastet e kufizimit të lirisë personale. Shkronja “c” e pikës 2 të nenit 27 të Kushtetutës parashikon si raste të kufizimit të kësaj lirie ekzistencën e dyshimeve të arsyeshme për kryerjen nga individi </w:t>
      </w:r>
      <w:r w:rsidRPr="00A836F2">
        <w:t xml:space="preserve">të një vepre penale, parandalimin e kryerjes prej tij të veprës penale ose largimin e tij pas kryerjes së saj. Sipas nenit 28, pika 2, të Kushtetutës, personi, të cilit i është hequr liria sipas nenit 27, paragrafi 2, </w:t>
      </w:r>
      <w:proofErr w:type="spellStart"/>
      <w:r w:rsidRPr="00A836F2">
        <w:t>nënparagrafi</w:t>
      </w:r>
      <w:proofErr w:type="spellEnd"/>
      <w:r w:rsidRPr="00A836F2">
        <w:t xml:space="preserve"> “c”, duhet të dërgohet brenda 48 orëve përpara gjyqtarit, i cili vendos paraburgimin ose lirimin e tij jo më vonë se 48 orë nga çasti i marrjes së dokumenteve për shqyrtim.</w:t>
      </w:r>
      <w:r w:rsidRPr="00560526">
        <w:t xml:space="preserve"> </w:t>
      </w:r>
    </w:p>
    <w:p w:rsidR="00BC13E9" w:rsidRPr="00D216F6" w:rsidRDefault="00BC13E9" w:rsidP="00BC13E9">
      <w:pPr>
        <w:pStyle w:val="ListParagraph"/>
        <w:numPr>
          <w:ilvl w:val="0"/>
          <w:numId w:val="1"/>
        </w:numPr>
        <w:tabs>
          <w:tab w:val="left" w:pos="1080"/>
        </w:tabs>
        <w:ind w:left="0" w:firstLine="720"/>
        <w:jc w:val="both"/>
      </w:pPr>
      <w:r w:rsidRPr="00D216F6">
        <w:t xml:space="preserve">Në jurisprudencën e saj Gjykata është shprehur se kushtet, kriteret dhe procedurat për caktimin, zbatimin, rivlerësimin, zëvendësimin dhe kontrollin gjyqësor </w:t>
      </w:r>
      <w:r w:rsidR="001341E7">
        <w:t>për</w:t>
      </w:r>
      <w:r w:rsidRPr="00D216F6">
        <w:t xml:space="preserve"> masat e sigurimit, veçanërisht atyre të arrestit, janë drejtpërdrejt të lidhura me respektimin e të drejtave dhe lirive themelore të njeriut, konkretisht me lirinë e personit dhe se këto procedura duhet të kenë karakter gjyqësor dhe të sigurojnë garancitë e duhura sipas llojit të privimit të lirisë </w:t>
      </w:r>
      <w:r w:rsidRPr="00D216F6">
        <w:rPr>
          <w:i/>
        </w:rPr>
        <w:t>(shih vendimet nr. 40, datë 18.07.2012; nr. 28, datë 23.06.2011 të Gjykatës Kushtetuese)</w:t>
      </w:r>
      <w:r w:rsidRPr="00D216F6">
        <w:t>.</w:t>
      </w:r>
    </w:p>
    <w:p w:rsidR="00BC13E9" w:rsidRPr="00560526" w:rsidRDefault="00BC13E9" w:rsidP="00BC13E9">
      <w:pPr>
        <w:pStyle w:val="ListParagraph"/>
        <w:numPr>
          <w:ilvl w:val="0"/>
          <w:numId w:val="1"/>
        </w:numPr>
        <w:tabs>
          <w:tab w:val="left" w:pos="1080"/>
        </w:tabs>
        <w:ind w:left="0" w:firstLine="720"/>
        <w:jc w:val="both"/>
      </w:pPr>
      <w:r w:rsidRPr="00D216F6">
        <w:t>Për sa u përket “dyshimeve të arsyeshme” për kryerjen e veprës penale, të tilla që justifikojnë kufizimin e lirisë personale të individit, Gjykata Evropiane</w:t>
      </w:r>
      <w:r w:rsidRPr="00560526">
        <w:t xml:space="preserve"> për të Drejtat e Njeriut </w:t>
      </w:r>
      <w:r w:rsidRPr="00560526">
        <w:rPr>
          <w:i/>
        </w:rPr>
        <w:t>(GJEDNJ)</w:t>
      </w:r>
      <w:r w:rsidRPr="00560526">
        <w:t xml:space="preserve"> është shprehur se ato nënkuptojnë ekzistencën e fakteve ose informacioneve që arrijnë të bindin edhe një vëzhgues të jashtëm se personi i dyshuar mund të ketë kryer veprën penale. Këto fakte nuk është e nevojshme të jenë në të njëjtin nivel si ato për të cilat nevojitet ngritja e akuzës ose justifikimi i dënimit penal, të cilat i përkasin një shkalle të mëvonshme të procesit të hetimit penal </w:t>
      </w:r>
      <w:r w:rsidRPr="00560526">
        <w:rPr>
          <w:i/>
        </w:rPr>
        <w:t xml:space="preserve">(shih vendimin e GJEDNJ-së për çështjen </w:t>
      </w:r>
      <w:bookmarkStart w:id="1" w:name="To"/>
      <w:bookmarkEnd w:id="1"/>
      <w:proofErr w:type="spellStart"/>
      <w:r w:rsidRPr="00560526">
        <w:rPr>
          <w:rStyle w:val="sa2b98c15"/>
          <w:i/>
        </w:rPr>
        <w:t>Selahattin</w:t>
      </w:r>
      <w:proofErr w:type="spellEnd"/>
      <w:r w:rsidRPr="00560526">
        <w:rPr>
          <w:rStyle w:val="sa2b98c15"/>
          <w:i/>
        </w:rPr>
        <w:t xml:space="preserve"> </w:t>
      </w:r>
      <w:proofErr w:type="spellStart"/>
      <w:r w:rsidRPr="00560526">
        <w:rPr>
          <w:rStyle w:val="sa2b98c15"/>
          <w:i/>
        </w:rPr>
        <w:t>Demirtaş</w:t>
      </w:r>
      <w:proofErr w:type="spellEnd"/>
      <w:r w:rsidRPr="00560526">
        <w:rPr>
          <w:rStyle w:val="sa2b98c15"/>
        </w:rPr>
        <w:t xml:space="preserve"> </w:t>
      </w:r>
      <w:r w:rsidRPr="00560526">
        <w:rPr>
          <w:rStyle w:val="sa2b98c15"/>
          <w:i/>
        </w:rPr>
        <w:t>kundër Turqisë (Nr. 2) [</w:t>
      </w:r>
      <w:r w:rsidR="00645F1E">
        <w:rPr>
          <w:rStyle w:val="sa2b98c15"/>
          <w:i/>
        </w:rPr>
        <w:t>DHM</w:t>
      </w:r>
      <w:r w:rsidRPr="00560526">
        <w:rPr>
          <w:rStyle w:val="sa2b98c15"/>
          <w:i/>
        </w:rPr>
        <w:t>], datë</w:t>
      </w:r>
      <w:r w:rsidRPr="00560526">
        <w:rPr>
          <w:rStyle w:val="sa2b98c15"/>
        </w:rPr>
        <w:t xml:space="preserve"> </w:t>
      </w:r>
      <w:r w:rsidRPr="00560526">
        <w:rPr>
          <w:rStyle w:val="sa2b98c15"/>
          <w:i/>
        </w:rPr>
        <w:t>22.12.2020, §</w:t>
      </w:r>
      <w:r w:rsidR="001341E7" w:rsidRPr="001341E7">
        <w:rPr>
          <w:i/>
        </w:rPr>
        <w:t>§</w:t>
      </w:r>
      <w:r w:rsidRPr="00560526">
        <w:rPr>
          <w:rStyle w:val="sa2b98c15"/>
          <w:i/>
        </w:rPr>
        <w:t xml:space="preserve"> 314-315)</w:t>
      </w:r>
      <w:r w:rsidRPr="00560526">
        <w:t>.</w:t>
      </w:r>
    </w:p>
    <w:p w:rsidR="00BC13E9" w:rsidRDefault="00BC13E9" w:rsidP="00BC13E9">
      <w:pPr>
        <w:pStyle w:val="ListParagraph"/>
        <w:numPr>
          <w:ilvl w:val="0"/>
          <w:numId w:val="1"/>
        </w:numPr>
        <w:tabs>
          <w:tab w:val="left" w:pos="1080"/>
        </w:tabs>
        <w:ind w:left="0" w:firstLine="720"/>
        <w:jc w:val="both"/>
      </w:pPr>
      <w:r>
        <w:t>S</w:t>
      </w:r>
      <w:r w:rsidRPr="00560526">
        <w:t xml:space="preserve">ipas praktikës gjyqësore të unifikuar, </w:t>
      </w:r>
      <w:r w:rsidRPr="00560526">
        <w:rPr>
          <w:color w:val="000000"/>
        </w:rPr>
        <w:t>dyshimi konsiderohet i arsyeshëm për kufizimin lirisë personale nëse bazohet në fakte dhe informacione</w:t>
      </w:r>
      <w:r w:rsidR="001341E7">
        <w:rPr>
          <w:color w:val="000000"/>
        </w:rPr>
        <w:t>,</w:t>
      </w:r>
      <w:r w:rsidRPr="00560526">
        <w:rPr>
          <w:color w:val="000000"/>
        </w:rPr>
        <w:t xml:space="preserve"> të cilat krijojnë bindjen se </w:t>
      </w:r>
      <w:r w:rsidRPr="00560526">
        <w:rPr>
          <w:color w:val="000000"/>
        </w:rPr>
        <w:lastRenderedPageBreak/>
        <w:t>ekziston një lidhje objektive midis personit të dyshuar dhe veprës penale për të cilën ai akuzohet</w:t>
      </w:r>
      <w:r w:rsidRPr="00560526">
        <w:rPr>
          <w:rFonts w:eastAsia="Verdana"/>
        </w:rPr>
        <w:t xml:space="preserve"> </w:t>
      </w:r>
      <w:r w:rsidRPr="00560526">
        <w:rPr>
          <w:rFonts w:eastAsia="Verdana"/>
          <w:i/>
        </w:rPr>
        <w:t xml:space="preserve">(shih </w:t>
      </w:r>
      <w:r w:rsidRPr="00560526">
        <w:rPr>
          <w:i/>
        </w:rPr>
        <w:t xml:space="preserve">vendimin </w:t>
      </w:r>
      <w:proofErr w:type="spellStart"/>
      <w:r w:rsidRPr="00560526">
        <w:rPr>
          <w:i/>
        </w:rPr>
        <w:t>unifikues</w:t>
      </w:r>
      <w:proofErr w:type="spellEnd"/>
      <w:r w:rsidRPr="00560526">
        <w:rPr>
          <w:i/>
        </w:rPr>
        <w:t xml:space="preserve"> nr. 7, datë 14.10.2011 të Kolegjeve të Bashkuara të Gjykatës së Lartë)</w:t>
      </w:r>
      <w:r w:rsidRPr="00560526">
        <w:t>. Dyshimi i arsyeshëm nënkupton bindjen që krijohet në bazë të provave të marra në përputhje me kërkesat e ligjit</w:t>
      </w:r>
      <w:r w:rsidR="00864F6E">
        <w:t>,</w:t>
      </w:r>
      <w:r w:rsidRPr="00560526">
        <w:t xml:space="preserve"> të cilat, në unitetin e tyre, tregojnë se vepra penale ka ndodhur dhe se ajo është kryer nga ai që akuzohet </w:t>
      </w:r>
      <w:r w:rsidRPr="00560526">
        <w:rPr>
          <w:i/>
        </w:rPr>
        <w:t xml:space="preserve">(shih vendimin </w:t>
      </w:r>
      <w:proofErr w:type="spellStart"/>
      <w:r w:rsidRPr="00560526">
        <w:rPr>
          <w:i/>
        </w:rPr>
        <w:t>unifikues</w:t>
      </w:r>
      <w:proofErr w:type="spellEnd"/>
      <w:r w:rsidRPr="00560526">
        <w:rPr>
          <w:i/>
        </w:rPr>
        <w:t xml:space="preserve"> nr. 3, datë 27.09.2002 të Kolegjeve të Bashkuara të Gjykatës së Lartë)</w:t>
      </w:r>
      <w:r w:rsidRPr="00560526">
        <w:t>.</w:t>
      </w:r>
    </w:p>
    <w:p w:rsidR="00D2518B" w:rsidRDefault="00A33C5A" w:rsidP="00D2518B">
      <w:pPr>
        <w:pStyle w:val="ListParagraph"/>
        <w:numPr>
          <w:ilvl w:val="0"/>
          <w:numId w:val="1"/>
        </w:numPr>
        <w:tabs>
          <w:tab w:val="left" w:pos="1080"/>
        </w:tabs>
        <w:ind w:left="0" w:firstLine="720"/>
        <w:jc w:val="both"/>
      </w:pPr>
      <w:r>
        <w:rPr>
          <w:spacing w:val="2"/>
        </w:rPr>
        <w:t>Duke iu kthyer rastit</w:t>
      </w:r>
      <w:r w:rsidR="00D2518B">
        <w:rPr>
          <w:spacing w:val="2"/>
        </w:rPr>
        <w:t xml:space="preserve"> konkret, </w:t>
      </w:r>
      <w:r w:rsidR="00FB27FF">
        <w:rPr>
          <w:spacing w:val="2"/>
        </w:rPr>
        <w:t>Kolegji vëren</w:t>
      </w:r>
      <w:r>
        <w:rPr>
          <w:spacing w:val="2"/>
        </w:rPr>
        <w:t xml:space="preserve"> se </w:t>
      </w:r>
      <w:r w:rsidR="00D2518B">
        <w:rPr>
          <w:spacing w:val="2"/>
        </w:rPr>
        <w:t xml:space="preserve">vlerësimet e Prokurorisë së Posaçme dhe gjykatave për kufizimin e lirisë personale të kërkuesit janë bazuar </w:t>
      </w:r>
      <w:r w:rsidR="00D2518B" w:rsidRPr="00EC054E">
        <w:t>në një analizë tërësore të rezultateve të hetimit</w:t>
      </w:r>
      <w:r w:rsidR="00D2518B">
        <w:t xml:space="preserve">, të tilla si: fillimi i procedurave për hapjen e kanalit “RTSH </w:t>
      </w:r>
      <w:proofErr w:type="spellStart"/>
      <w:r w:rsidR="00D2518B">
        <w:t>Agro</w:t>
      </w:r>
      <w:proofErr w:type="spellEnd"/>
      <w:r w:rsidR="00D2518B">
        <w:t>”</w:t>
      </w:r>
      <w:r w:rsidR="00BE68CC">
        <w:t>;</w:t>
      </w:r>
      <w:r w:rsidR="00D2518B">
        <w:t xml:space="preserve"> kërkesa drejtuar MFE-së për fond shtesë</w:t>
      </w:r>
      <w:r w:rsidR="00BE68CC">
        <w:t>;</w:t>
      </w:r>
      <w:r w:rsidR="00D2518B">
        <w:t xml:space="preserve"> procedurat e prokurimit</w:t>
      </w:r>
      <w:r w:rsidR="00BE68CC">
        <w:t>;</w:t>
      </w:r>
      <w:r w:rsidR="00D2518B">
        <w:t xml:space="preserve"> p</w:t>
      </w:r>
      <w:r w:rsidR="005F316E">
        <w:t xml:space="preserve">rocesverbali </w:t>
      </w:r>
      <w:r w:rsidR="00663B3B">
        <w:t>i</w:t>
      </w:r>
      <w:r w:rsidR="005F316E">
        <w:t xml:space="preserve"> datës 27.12.2018</w:t>
      </w:r>
      <w:r w:rsidR="00D2518B">
        <w:t xml:space="preserve"> </w:t>
      </w:r>
      <w:r w:rsidR="005F316E">
        <w:t>për</w:t>
      </w:r>
      <w:r w:rsidR="00D2518B">
        <w:t xml:space="preserve"> verifikimin dhe marrjen në dorëzim të mallrave fillestare</w:t>
      </w:r>
      <w:r w:rsidR="00BE68CC">
        <w:t>;</w:t>
      </w:r>
      <w:r w:rsidR="00D2518B">
        <w:t xml:space="preserve"> lidhja e kontratës shtesë nr. 87/19 </w:t>
      </w:r>
      <w:proofErr w:type="spellStart"/>
      <w:r w:rsidR="00D2518B">
        <w:t>prot</w:t>
      </w:r>
      <w:proofErr w:type="spellEnd"/>
      <w:r w:rsidR="00D2518B">
        <w:t>., datë 15.02.2019</w:t>
      </w:r>
      <w:r w:rsidR="00BE68CC">
        <w:t>;</w:t>
      </w:r>
      <w:r>
        <w:t xml:space="preserve"> kërkesat drejtuar Këshillit Drejtues të RTSH-së dhe AMA-s për përfshirjen e “RTSH </w:t>
      </w:r>
      <w:proofErr w:type="spellStart"/>
      <w:r>
        <w:t>Agro</w:t>
      </w:r>
      <w:proofErr w:type="spellEnd"/>
      <w:r>
        <w:t>” në paketën programore</w:t>
      </w:r>
      <w:r w:rsidR="00D2518B">
        <w:t xml:space="preserve"> etj. </w:t>
      </w:r>
      <w:r w:rsidR="00D2518B" w:rsidRPr="00EC054E">
        <w:t xml:space="preserve">Kjo analizë tërësore e provave </w:t>
      </w:r>
      <w:r w:rsidR="00D2518B">
        <w:t>i</w:t>
      </w:r>
      <w:r w:rsidR="00D2518B" w:rsidRPr="00EC054E">
        <w:t xml:space="preserve"> ka bindur gjykatat për ekzistencën e dyshimeve të arsyeshme ndaj kërkuesit</w:t>
      </w:r>
      <w:r w:rsidR="00D2518B" w:rsidRPr="00560526">
        <w:t xml:space="preserve">, të tilla që justifikojnë caktimin e masës ndaj tij. Në këto kushte, </w:t>
      </w:r>
      <w:r w:rsidR="00FB27FF">
        <w:t>Kolegji çmon</w:t>
      </w:r>
      <w:r w:rsidR="00D2518B" w:rsidRPr="00560526">
        <w:t xml:space="preserve"> se kufizimi i lirisë personale të kërkuesit është bërë në përputhje me nenet 27, pika 1, shkronja “c”, të Kushtetutës, nenin 5, pika 1, shkronja “c”, të KEDNJ-së dhe dispozitat ligjore përkatëse të KPP-së, që përcaktojnë procedurat e kufizimit të kësaj të drejte</w:t>
      </w:r>
      <w:r w:rsidR="00D2518B">
        <w:t>.</w:t>
      </w:r>
      <w:r w:rsidR="00D2518B" w:rsidRPr="00560526">
        <w:t xml:space="preserve"> </w:t>
      </w:r>
    </w:p>
    <w:p w:rsidR="00D60652" w:rsidRDefault="00D60652" w:rsidP="00D2518B">
      <w:pPr>
        <w:pStyle w:val="ListParagraph"/>
        <w:numPr>
          <w:ilvl w:val="0"/>
          <w:numId w:val="1"/>
        </w:numPr>
        <w:tabs>
          <w:tab w:val="left" w:pos="1080"/>
        </w:tabs>
        <w:ind w:left="0" w:firstLine="720"/>
        <w:jc w:val="both"/>
      </w:pPr>
      <w:r>
        <w:t>Kërkuesi ka parashtruar, gjithashtu, se ndjekja penale e tij ka filluar 2 v</w:t>
      </w:r>
      <w:r w:rsidR="00D10532">
        <w:t>jet</w:t>
      </w:r>
      <w:r>
        <w:t xml:space="preserve"> e 7 muaj nga fakti penal i pretenduar. Në lidhje me këtë pretendim</w:t>
      </w:r>
      <w:r w:rsidR="00495A66">
        <w:t>,</w:t>
      </w:r>
      <w:r>
        <w:t xml:space="preserve"> </w:t>
      </w:r>
      <w:r w:rsidR="004124C1">
        <w:t xml:space="preserve">Kolegji vëren se </w:t>
      </w:r>
      <w:r w:rsidR="00495A66">
        <w:t>nga materialet e çështjes rezulton se</w:t>
      </w:r>
      <w:r>
        <w:t xml:space="preserve"> kallëzimi penal i shoqërisë “</w:t>
      </w:r>
      <w:proofErr w:type="spellStart"/>
      <w:r>
        <w:t>Eurokontakt</w:t>
      </w:r>
      <w:proofErr w:type="spellEnd"/>
      <w:r>
        <w:t xml:space="preserve">” </w:t>
      </w:r>
      <w:proofErr w:type="spellStart"/>
      <w:r>
        <w:t>sh.p.k</w:t>
      </w:r>
      <w:proofErr w:type="spellEnd"/>
      <w:r>
        <w:t>. është depozituar fillimisht në Prokurorinë</w:t>
      </w:r>
      <w:r w:rsidR="00CD3ACF">
        <w:t xml:space="preserve"> e </w:t>
      </w:r>
      <w:r>
        <w:t>Ti</w:t>
      </w:r>
      <w:r w:rsidR="00CD3ACF">
        <w:t xml:space="preserve">ranës në </w:t>
      </w:r>
      <w:r w:rsidR="00CD3ACF" w:rsidRPr="00663B3B">
        <w:t>datën 23.01.2019</w:t>
      </w:r>
      <w:r w:rsidR="00341FD4" w:rsidRPr="00663B3B">
        <w:t>,</w:t>
      </w:r>
      <w:r w:rsidR="00341FD4">
        <w:t xml:space="preserve"> e cila ia ka përcjellë atë për kompetencë Prokurorisë së Posaçme në datën 18.02.2020. Në datën 05.10.2021 Prokuroria e Posaçme i është drejtuar Gjykatës së Posaçme të Shkallës së Parë me kërkesë për caktimin e masës së sigurimit ndaj kërkuesit, ndërsa vendimet e kësaj gjykate për caktimin e masës dhe vijimin e saj janë marrë respektivisht në datat 07.10.2021 dhe 11.10.2021. Gjykata e Posaçme e Apelit ka vendosur për çështjen në datën 30.10.2021, ndërsa vendimi i Gjykatës së Lartë është i datës 27.01.2022. Për sa i përket afatit të hetimeve, neni 323 i KPP-së parashikon një afat 6 muaj për veprat penale të pa</w:t>
      </w:r>
      <w:r w:rsidR="004124C1">
        <w:t xml:space="preserve">rashikuara nga neni 75/a i tij, ndërsa </w:t>
      </w:r>
      <w:r w:rsidR="00341FD4">
        <w:t xml:space="preserve">neni 324 i </w:t>
      </w:r>
      <w:r w:rsidR="00D10532">
        <w:t>po këtij kodi</w:t>
      </w:r>
      <w:r w:rsidR="00341FD4">
        <w:t xml:space="preserve"> parashikon </w:t>
      </w:r>
      <w:r w:rsidR="00495A66">
        <w:t xml:space="preserve">zgjatjen e afatit të hetimeve, i cili në rastin e Prokurorisë së Posaçme është 6 muaj, por që mund të zgjatet edhe më tej në rastet e parashikuara në pikën 2 të këtij neni. Në çështjen konkrete </w:t>
      </w:r>
      <w:r w:rsidR="004124C1">
        <w:t xml:space="preserve">Kolegji konstaton se </w:t>
      </w:r>
      <w:r w:rsidR="00495A66">
        <w:t xml:space="preserve">hetimi nga Prokuroria e Posaçme ka zgjatur mbi 1 vit e 7 muaj, ndërkohë që nga materialet e çështjes nuk rezulton që kërkuesi të ketë </w:t>
      </w:r>
      <w:r w:rsidR="00157CA9">
        <w:t>paraqitur kërkesë</w:t>
      </w:r>
      <w:r w:rsidR="00495A66">
        <w:t xml:space="preserve"> në </w:t>
      </w:r>
      <w:r w:rsidR="00157CA9">
        <w:t>zbatim</w:t>
      </w:r>
      <w:r w:rsidR="002344C8">
        <w:t xml:space="preserve"> të nen</w:t>
      </w:r>
      <w:r w:rsidR="00157CA9">
        <w:t>eve</w:t>
      </w:r>
      <w:r w:rsidR="002344C8">
        <w:t xml:space="preserve"> </w:t>
      </w:r>
      <w:r w:rsidR="002344C8" w:rsidRPr="002344C8">
        <w:t>399/2, pika 1, shkronja “ç”</w:t>
      </w:r>
      <w:r w:rsidR="00157CA9">
        <w:t xml:space="preserve"> dhe vijues</w:t>
      </w:r>
      <w:r w:rsidR="002344C8" w:rsidRPr="002344C8">
        <w:t xml:space="preserve"> </w:t>
      </w:r>
      <w:r w:rsidR="002344C8">
        <w:t>të Kodit të Procedurës Civile</w:t>
      </w:r>
      <w:r w:rsidR="00495A66">
        <w:t>.</w:t>
      </w:r>
    </w:p>
    <w:p w:rsidR="00D2518B" w:rsidRPr="00D2518B" w:rsidRDefault="00D2518B" w:rsidP="00D2518B">
      <w:pPr>
        <w:pStyle w:val="ListParagraph"/>
        <w:numPr>
          <w:ilvl w:val="0"/>
          <w:numId w:val="1"/>
        </w:numPr>
        <w:tabs>
          <w:tab w:val="left" w:pos="1080"/>
        </w:tabs>
        <w:ind w:left="0" w:firstLine="720"/>
        <w:jc w:val="both"/>
      </w:pPr>
      <w:r>
        <w:lastRenderedPageBreak/>
        <w:t xml:space="preserve">Për </w:t>
      </w:r>
      <w:r w:rsidR="0053104D">
        <w:t>sa më lart</w:t>
      </w:r>
      <w:r>
        <w:t xml:space="preserve">, </w:t>
      </w:r>
      <w:r w:rsidR="00B35113">
        <w:t>Kolegji vlerëson</w:t>
      </w:r>
      <w:r>
        <w:t xml:space="preserve"> se </w:t>
      </w:r>
      <w:r w:rsidRPr="00D2518B">
        <w:t>pretendimi i kërkuesit për cenimin e standardit të dyshimeve të arsyeshme për kufizimin e lirisë së tij personale është haptazi i pabazuar.</w:t>
      </w:r>
    </w:p>
    <w:p w:rsidR="00C54050" w:rsidRDefault="00C54050" w:rsidP="00C54050">
      <w:pPr>
        <w:pStyle w:val="ListParagraph"/>
        <w:tabs>
          <w:tab w:val="left" w:pos="1080"/>
        </w:tabs>
        <w:jc w:val="both"/>
        <w:rPr>
          <w:i/>
          <w:spacing w:val="2"/>
        </w:rPr>
      </w:pPr>
    </w:p>
    <w:p w:rsidR="00C54050" w:rsidRDefault="00C54050" w:rsidP="002344C8">
      <w:pPr>
        <w:pStyle w:val="ListParagraph"/>
        <w:tabs>
          <w:tab w:val="left" w:pos="1080"/>
        </w:tabs>
        <w:ind w:left="0" w:firstLine="720"/>
        <w:jc w:val="both"/>
        <w:rPr>
          <w:spacing w:val="2"/>
        </w:rPr>
      </w:pPr>
      <w:r>
        <w:rPr>
          <w:i/>
          <w:spacing w:val="2"/>
        </w:rPr>
        <w:t>B.</w:t>
      </w:r>
      <w:r w:rsidR="002344C8">
        <w:rPr>
          <w:i/>
          <w:spacing w:val="2"/>
        </w:rPr>
        <w:t>2</w:t>
      </w:r>
      <w:r w:rsidR="00235777">
        <w:rPr>
          <w:i/>
          <w:spacing w:val="2"/>
        </w:rPr>
        <w:t>.</w:t>
      </w:r>
      <w:r>
        <w:rPr>
          <w:i/>
          <w:spacing w:val="2"/>
        </w:rPr>
        <w:t xml:space="preserve"> Për </w:t>
      </w:r>
      <w:r w:rsidR="00382503">
        <w:rPr>
          <w:i/>
          <w:spacing w:val="2"/>
        </w:rPr>
        <w:t xml:space="preserve">pretendimin </w:t>
      </w:r>
      <w:r w:rsidR="00D10532">
        <w:rPr>
          <w:i/>
          <w:spacing w:val="2"/>
        </w:rPr>
        <w:t>e</w:t>
      </w:r>
      <w:r w:rsidR="00382503">
        <w:rPr>
          <w:i/>
          <w:spacing w:val="2"/>
        </w:rPr>
        <w:t xml:space="preserve"> </w:t>
      </w:r>
      <w:r w:rsidR="005E2D99">
        <w:rPr>
          <w:i/>
          <w:spacing w:val="2"/>
        </w:rPr>
        <w:t>cenimi</w:t>
      </w:r>
      <w:r w:rsidR="00D10532">
        <w:rPr>
          <w:i/>
          <w:spacing w:val="2"/>
        </w:rPr>
        <w:t>t</w:t>
      </w:r>
      <w:r w:rsidR="005E2D99">
        <w:rPr>
          <w:i/>
          <w:spacing w:val="2"/>
        </w:rPr>
        <w:t xml:space="preserve"> </w:t>
      </w:r>
      <w:r w:rsidR="00D10532">
        <w:rPr>
          <w:i/>
          <w:spacing w:val="2"/>
        </w:rPr>
        <w:t>të</w:t>
      </w:r>
      <w:r w:rsidR="005E2D99">
        <w:rPr>
          <w:i/>
          <w:spacing w:val="2"/>
        </w:rPr>
        <w:t xml:space="preserve"> parimit të </w:t>
      </w:r>
      <w:proofErr w:type="spellStart"/>
      <w:r w:rsidR="005E2D99">
        <w:rPr>
          <w:i/>
          <w:spacing w:val="2"/>
        </w:rPr>
        <w:t>proporcionalitetit</w:t>
      </w:r>
      <w:proofErr w:type="spellEnd"/>
      <w:r w:rsidR="005E2D99">
        <w:rPr>
          <w:i/>
          <w:spacing w:val="2"/>
        </w:rPr>
        <w:t xml:space="preserve"> në </w:t>
      </w:r>
      <w:r w:rsidR="00AF2248">
        <w:rPr>
          <w:i/>
          <w:spacing w:val="2"/>
        </w:rPr>
        <w:t>kufizimin e lirisë personale</w:t>
      </w:r>
      <w:r>
        <w:rPr>
          <w:i/>
          <w:spacing w:val="2"/>
        </w:rPr>
        <w:t xml:space="preserve"> </w:t>
      </w:r>
    </w:p>
    <w:p w:rsidR="00F66E18" w:rsidRPr="00AF2248" w:rsidRDefault="00C54050" w:rsidP="005C1625">
      <w:pPr>
        <w:pStyle w:val="ListParagraph"/>
        <w:numPr>
          <w:ilvl w:val="0"/>
          <w:numId w:val="1"/>
        </w:numPr>
        <w:tabs>
          <w:tab w:val="left" w:pos="1080"/>
        </w:tabs>
        <w:ind w:left="0" w:firstLine="720"/>
        <w:jc w:val="both"/>
        <w:rPr>
          <w:spacing w:val="2"/>
        </w:rPr>
      </w:pPr>
      <w:r>
        <w:rPr>
          <w:spacing w:val="2"/>
        </w:rPr>
        <w:t xml:space="preserve">Kërkuesi ka pretenduar se </w:t>
      </w:r>
      <w:r w:rsidR="00AF2248">
        <w:rPr>
          <w:rFonts w:eastAsia="MS Mincho"/>
          <w:spacing w:val="2"/>
        </w:rPr>
        <w:t xml:space="preserve">gjykatat nuk kanë zbatuar drejt kriteret e sanksionuara në nenet 229 e 230 të KPP-së dhe vendimin </w:t>
      </w:r>
      <w:proofErr w:type="spellStart"/>
      <w:r w:rsidR="00AF2248">
        <w:rPr>
          <w:rFonts w:eastAsia="MS Mincho"/>
          <w:spacing w:val="2"/>
        </w:rPr>
        <w:t>unifikues</w:t>
      </w:r>
      <w:proofErr w:type="spellEnd"/>
      <w:r w:rsidR="00AF2248">
        <w:rPr>
          <w:rFonts w:eastAsia="MS Mincho"/>
          <w:spacing w:val="2"/>
        </w:rPr>
        <w:t xml:space="preserve"> nr. 7, datë 14.10.2011 të Kolegjeve të Bashkuara të Gjykatës së Lartë në drejtim të raportit të përshtatshmërisë së llojit të masës së sigurimit personal me nevojën e sigurimit, si dhe rrethanat e tjera të posaçme të parashikuara nga neni 229, paragrafi i dytë, i KPP-së. Gjykatat nuk kanë arritur në konkluzione të argumentuara se përse masat e tjera të sigurimit nuk janë të përshtatshme në rastin e tij. Arsyetimet e tyre në këtë drejtim kanë të bëjnë vetëm me aspektin e rrezikshmërisë së lartë shoqërore të veprës penale që pretendohet si e kryer prej tij dhe jo me aspektin e </w:t>
      </w:r>
      <w:proofErr w:type="spellStart"/>
      <w:r w:rsidR="00AF2248">
        <w:rPr>
          <w:rFonts w:eastAsia="MS Mincho"/>
          <w:spacing w:val="2"/>
        </w:rPr>
        <w:t>mjaftueshmërisë</w:t>
      </w:r>
      <w:proofErr w:type="spellEnd"/>
      <w:r w:rsidR="00AF2248">
        <w:rPr>
          <w:rFonts w:eastAsia="MS Mincho"/>
          <w:spacing w:val="2"/>
        </w:rPr>
        <w:t xml:space="preserve">. Masa e sigurimit “Arrest në burg” zbatohet si një </w:t>
      </w:r>
      <w:proofErr w:type="spellStart"/>
      <w:r w:rsidR="00AF2248">
        <w:rPr>
          <w:rFonts w:eastAsia="MS Mincho"/>
          <w:i/>
          <w:spacing w:val="2"/>
        </w:rPr>
        <w:t>extrema</w:t>
      </w:r>
      <w:proofErr w:type="spellEnd"/>
      <w:r w:rsidR="00AF2248">
        <w:rPr>
          <w:rFonts w:eastAsia="MS Mincho"/>
          <w:i/>
          <w:spacing w:val="2"/>
        </w:rPr>
        <w:t xml:space="preserve"> </w:t>
      </w:r>
      <w:proofErr w:type="spellStart"/>
      <w:r w:rsidR="00AF2248">
        <w:rPr>
          <w:rFonts w:eastAsia="MS Mincho"/>
          <w:i/>
          <w:spacing w:val="2"/>
        </w:rPr>
        <w:t>ratio</w:t>
      </w:r>
      <w:proofErr w:type="spellEnd"/>
      <w:r w:rsidR="00AF2248">
        <w:rPr>
          <w:rFonts w:eastAsia="MS Mincho"/>
          <w:spacing w:val="2"/>
        </w:rPr>
        <w:t xml:space="preserve"> vetëm kur masat e tjera nuk kënaqin nevojat e sigurimit dhe justifikohet nga rrethanat që kanë të bëjnë me vlerësimin e kërkuesit, pavarësisht nga vepra që i atribuohet. Pretendimet e Prokurorisë së Posaçme për dyshime të ndërhyrjes së tij në prova janë të pabazuara, pasi ai është liruar nga detyra e </w:t>
      </w:r>
      <w:r w:rsidR="00D10532">
        <w:rPr>
          <w:rFonts w:eastAsia="MS Mincho"/>
          <w:spacing w:val="2"/>
        </w:rPr>
        <w:t>d</w:t>
      </w:r>
      <w:r w:rsidR="00AF2248">
        <w:rPr>
          <w:rFonts w:eastAsia="MS Mincho"/>
          <w:spacing w:val="2"/>
        </w:rPr>
        <w:t xml:space="preserve">rejtorit të </w:t>
      </w:r>
      <w:r w:rsidR="00D10532">
        <w:rPr>
          <w:rFonts w:eastAsia="MS Mincho"/>
          <w:spacing w:val="2"/>
        </w:rPr>
        <w:t>p</w:t>
      </w:r>
      <w:r w:rsidR="00AF2248">
        <w:rPr>
          <w:rFonts w:eastAsia="MS Mincho"/>
          <w:spacing w:val="2"/>
        </w:rPr>
        <w:t>ërgjithshëm të RTSH-së me vendimin nr. 19, datë 2</w:t>
      </w:r>
      <w:r w:rsidR="008E7082">
        <w:rPr>
          <w:rFonts w:eastAsia="MS Mincho"/>
          <w:spacing w:val="2"/>
        </w:rPr>
        <w:t>0</w:t>
      </w:r>
      <w:r w:rsidR="00AF2248">
        <w:rPr>
          <w:rFonts w:eastAsia="MS Mincho"/>
          <w:spacing w:val="2"/>
        </w:rPr>
        <w:t xml:space="preserve">.05.2021 të </w:t>
      </w:r>
      <w:r w:rsidR="00D10532">
        <w:rPr>
          <w:rFonts w:eastAsia="MS Mincho"/>
          <w:spacing w:val="2"/>
        </w:rPr>
        <w:t>k</w:t>
      </w:r>
      <w:r w:rsidR="00AF2248">
        <w:rPr>
          <w:rFonts w:eastAsia="MS Mincho"/>
          <w:spacing w:val="2"/>
        </w:rPr>
        <w:t xml:space="preserve">ëshillit </w:t>
      </w:r>
      <w:r w:rsidR="00D10532">
        <w:rPr>
          <w:rFonts w:eastAsia="MS Mincho"/>
          <w:spacing w:val="2"/>
        </w:rPr>
        <w:t>d</w:t>
      </w:r>
      <w:r w:rsidR="00AF2248">
        <w:rPr>
          <w:rFonts w:eastAsia="MS Mincho"/>
          <w:spacing w:val="2"/>
        </w:rPr>
        <w:t>rejtues dhe nuk kishte asnjë marrëdhënie me ambientet ku ndodheshin provat. Vepra penale “Shpërdorimi i detyrës” bazohet në prova shkresore dhe k</w:t>
      </w:r>
      <w:r w:rsidR="00AF2248">
        <w:t xml:space="preserve">ontrata shtesë nr. 87/19, datë 15.02.2019, mbi të cilën Prokuroria e Posaçme ka mbështetur akuzën, ishte sekuestruar që para arrestimit të tij. Kërkuesi ka qenë vazhdimisht bashkëpunues, duke vënë në dispozicion të organit procedues materialet e procedurës së prokurimit dhe dokumentet e lidhura me të, si dhe çdo informacion tjetër. Ai është </w:t>
      </w:r>
      <w:proofErr w:type="spellStart"/>
      <w:r w:rsidR="00AF2248">
        <w:t>vetëdorëzuar</w:t>
      </w:r>
      <w:proofErr w:type="spellEnd"/>
      <w:r w:rsidR="00AF2248">
        <w:t xml:space="preserve"> me të marrë dijeni nga </w:t>
      </w:r>
      <w:proofErr w:type="spellStart"/>
      <w:r w:rsidR="00AF2248">
        <w:t>medi</w:t>
      </w:r>
      <w:r w:rsidR="00D10532">
        <w:t>e</w:t>
      </w:r>
      <w:r w:rsidR="00AF2248">
        <w:t>t</w:t>
      </w:r>
      <w:proofErr w:type="spellEnd"/>
      <w:r w:rsidR="00AF2248">
        <w:t xml:space="preserve"> për vendosjen e masës ndaj tij dhe ka qenë bashkëpunues gjatë kontrollit të banesës. Po kështu, ai ishte në dijeni të hetimit për procedurën e prokurimit në fjalë dhe nuk do të ishte kthyer nga Shtetet e Bashkuara të Amerikës nëse kishte në plan t’i fshihej drejtësisë. Dyshimi i prokurorisë për rrezikun e largimit të tij nga vendi është i pabazuar, pasi ai mund të adresohej përmes masës së parashikuar në nenin 233 të KPP-së, çka do të ishte proporcionale në rastin e tij, për shkak të problemeve shëndetësore që ka.</w:t>
      </w:r>
    </w:p>
    <w:p w:rsidR="00AF2248" w:rsidRDefault="00EC351D" w:rsidP="005C1625">
      <w:pPr>
        <w:pStyle w:val="ListParagraph"/>
        <w:numPr>
          <w:ilvl w:val="0"/>
          <w:numId w:val="1"/>
        </w:numPr>
        <w:tabs>
          <w:tab w:val="left" w:pos="1080"/>
        </w:tabs>
        <w:ind w:left="0" w:firstLine="720"/>
        <w:jc w:val="both"/>
        <w:rPr>
          <w:spacing w:val="2"/>
        </w:rPr>
      </w:pPr>
      <w:r>
        <w:rPr>
          <w:spacing w:val="2"/>
        </w:rPr>
        <w:t xml:space="preserve">Nenet 27 dhe 28 të Kushtetutës kanë përcaktuar garancitë thelbësore që duhen pasur parasysh në kufizimin e lirisë personale të individit. Në zbatim të këtyre neneve, neni 229 i KPP-së ka parashikuar kriteret për caktimin e masave të sigurimit personal. Sipas këtij neni, </w:t>
      </w:r>
      <w:r w:rsidR="005F6D0A">
        <w:rPr>
          <w:spacing w:val="2"/>
        </w:rPr>
        <w:t xml:space="preserve">në caktimin e masave të sigurimit gjykata mban parasysh përshtatshmërinë e secilës </w:t>
      </w:r>
      <w:r w:rsidR="005F6D0A">
        <w:rPr>
          <w:spacing w:val="2"/>
        </w:rPr>
        <w:lastRenderedPageBreak/>
        <w:t>prej tyre me shkallën e nevojave të sigurimit që duhen marrë në rastin konkret. Çdo masë duhet të jetë në raport me rëndësinë e faktit dhe me sanksionin që parashikohet për veprën penale konkrete, ndërkohë që mbahen parasysh edhe vazhdimësia, përsëritja, si dhe rrethanat lehtësuese dhe rënduese të parashikuara nga KP-ja.</w:t>
      </w:r>
    </w:p>
    <w:p w:rsidR="005F6D0A" w:rsidRDefault="005F6D0A" w:rsidP="005C1625">
      <w:pPr>
        <w:pStyle w:val="ListParagraph"/>
        <w:numPr>
          <w:ilvl w:val="0"/>
          <w:numId w:val="1"/>
        </w:numPr>
        <w:tabs>
          <w:tab w:val="left" w:pos="1080"/>
        </w:tabs>
        <w:ind w:left="0" w:firstLine="720"/>
        <w:jc w:val="both"/>
        <w:rPr>
          <w:spacing w:val="2"/>
        </w:rPr>
      </w:pPr>
      <w:r>
        <w:rPr>
          <w:spacing w:val="2"/>
        </w:rPr>
        <w:t xml:space="preserve">Në rastin konkret, </w:t>
      </w:r>
      <w:r w:rsidR="00FC6281">
        <w:rPr>
          <w:spacing w:val="2"/>
        </w:rPr>
        <w:t xml:space="preserve">Kolegji vëren se </w:t>
      </w:r>
      <w:r w:rsidR="00A367CE">
        <w:rPr>
          <w:spacing w:val="2"/>
        </w:rPr>
        <w:t>si në vendosjen e masës ndaj kërkuesit, ashtu edhe në miratimin e saj, Gjykata e Posaçme e Shkallës së Parë ka arsyetuar për përshtatshmërinë e saj me shkallën e nevojave të sigurimit. Në përfundim</w:t>
      </w:r>
      <w:r w:rsidR="00366ED3">
        <w:rPr>
          <w:spacing w:val="2"/>
        </w:rPr>
        <w:t>,</w:t>
      </w:r>
      <w:r w:rsidR="00A367CE">
        <w:rPr>
          <w:spacing w:val="2"/>
        </w:rPr>
        <w:t xml:space="preserve"> ajo ka vlerësuar</w:t>
      </w:r>
      <w:r w:rsidR="00382503">
        <w:rPr>
          <w:spacing w:val="2"/>
        </w:rPr>
        <w:t>, ndër të tjera, se</w:t>
      </w:r>
      <w:r w:rsidR="00A367CE">
        <w:rPr>
          <w:spacing w:val="2"/>
        </w:rPr>
        <w:t xml:space="preserve"> në kushtet kur një pjesë e provave që mund të merreshin në lidhje me hetimin e çështjes nuk ishin marrë ende nga organi i akuzës dhe ekzistonte mundësia efektive e të hetuarve për të ndikuar në to, masa e vendosur ndaj kërkuesit ishte proporcionale </w:t>
      </w:r>
      <w:r w:rsidR="006A21DA">
        <w:rPr>
          <w:i/>
          <w:spacing w:val="2"/>
        </w:rPr>
        <w:t>(shih vendimet</w:t>
      </w:r>
      <w:r w:rsidR="00A367CE">
        <w:rPr>
          <w:i/>
          <w:spacing w:val="2"/>
        </w:rPr>
        <w:t xml:space="preserve"> </w:t>
      </w:r>
      <w:r w:rsidR="006A21DA">
        <w:rPr>
          <w:i/>
          <w:spacing w:val="2"/>
        </w:rPr>
        <w:t>nr. 79, datë 07.10.2021 të Gjykatës së Posaçme të Shkallës së Parë, faqet 18-19</w:t>
      </w:r>
      <w:r w:rsidR="00810F60">
        <w:rPr>
          <w:i/>
          <w:spacing w:val="2"/>
        </w:rPr>
        <w:t>;</w:t>
      </w:r>
      <w:r w:rsidR="006A21DA">
        <w:rPr>
          <w:i/>
          <w:spacing w:val="2"/>
        </w:rPr>
        <w:t xml:space="preserve"> nr. 80, datë 11.10.2021</w:t>
      </w:r>
      <w:r w:rsidR="00513974">
        <w:rPr>
          <w:i/>
          <w:spacing w:val="2"/>
        </w:rPr>
        <w:t xml:space="preserve"> </w:t>
      </w:r>
      <w:r w:rsidR="00513974" w:rsidRPr="00513974">
        <w:rPr>
          <w:i/>
          <w:spacing w:val="2"/>
        </w:rPr>
        <w:t>të Gjykatës së Posaçme të Shkallës së Parë</w:t>
      </w:r>
      <w:r w:rsidR="00513974">
        <w:rPr>
          <w:i/>
          <w:spacing w:val="2"/>
        </w:rPr>
        <w:t>,</w:t>
      </w:r>
      <w:r w:rsidR="006A21DA">
        <w:rPr>
          <w:i/>
          <w:spacing w:val="2"/>
        </w:rPr>
        <w:t xml:space="preserve"> faqet 13-1</w:t>
      </w:r>
      <w:r w:rsidR="003E7F78">
        <w:rPr>
          <w:i/>
          <w:spacing w:val="2"/>
        </w:rPr>
        <w:t>6</w:t>
      </w:r>
      <w:r w:rsidR="006A21DA">
        <w:rPr>
          <w:i/>
          <w:spacing w:val="2"/>
        </w:rPr>
        <w:t>)</w:t>
      </w:r>
      <w:r w:rsidR="00A367CE">
        <w:rPr>
          <w:spacing w:val="2"/>
        </w:rPr>
        <w:t xml:space="preserve">. Duke mbështetur të njëjtin arsyetim, Gjykata </w:t>
      </w:r>
      <w:r w:rsidR="00C142B5">
        <w:rPr>
          <w:spacing w:val="2"/>
        </w:rPr>
        <w:t>e Posaçme e Apelit ka arsyetuar</w:t>
      </w:r>
      <w:r w:rsidR="006A21DA">
        <w:rPr>
          <w:spacing w:val="2"/>
        </w:rPr>
        <w:t xml:space="preserve">: </w:t>
      </w:r>
      <w:r w:rsidR="006A21DA">
        <w:rPr>
          <w:i/>
          <w:spacing w:val="2"/>
        </w:rPr>
        <w:t xml:space="preserve">“... Gjykata e shkallës së parë ka marrë në konsideratë si shkallën e nevojave të sigurimit, ashtu edhe raportin e rëndësisë së faktit me sanksionin që parashikohet për veprën penale të nenit 248 të Kodit Penal që parashikon vetëm llojin me burgim të dënimit deri në shtatë vjet. Po ashtu, rezulton koherente masa e caktuar me parashikimin e nenit 229, pika 2, të </w:t>
      </w:r>
      <w:proofErr w:type="spellStart"/>
      <w:r w:rsidR="006A21DA">
        <w:rPr>
          <w:i/>
          <w:spacing w:val="2"/>
        </w:rPr>
        <w:t>K.Pr.Penale</w:t>
      </w:r>
      <w:proofErr w:type="spellEnd"/>
      <w:r w:rsidR="006A21DA">
        <w:rPr>
          <w:i/>
          <w:spacing w:val="2"/>
        </w:rPr>
        <w:t xml:space="preserve">, duke u mbajtur parasysh nga Gjykata se në rastin konkret përkrah sanksionit të dënimit kryesor i parashikuar me burgim vepron edhe sanksioni i parashikuar nga paragrafi i parë i nenit 35 të </w:t>
      </w:r>
      <w:proofErr w:type="spellStart"/>
      <w:r w:rsidR="006A21DA">
        <w:rPr>
          <w:i/>
          <w:spacing w:val="2"/>
        </w:rPr>
        <w:t>K.Penal</w:t>
      </w:r>
      <w:proofErr w:type="spellEnd"/>
      <w:r w:rsidR="006A21DA">
        <w:rPr>
          <w:i/>
          <w:spacing w:val="2"/>
        </w:rPr>
        <w:t>, heqja e të drejtës për të ushtruar funksione publike.”</w:t>
      </w:r>
      <w:r w:rsidR="006A21DA">
        <w:rPr>
          <w:spacing w:val="2"/>
        </w:rPr>
        <w:t>.</w:t>
      </w:r>
      <w:r w:rsidR="00933A99">
        <w:rPr>
          <w:spacing w:val="2"/>
        </w:rPr>
        <w:t xml:space="preserve"> Në përfundim, </w:t>
      </w:r>
      <w:r w:rsidR="00F44014">
        <w:rPr>
          <w:spacing w:val="2"/>
        </w:rPr>
        <w:t>ajo</w:t>
      </w:r>
      <w:r w:rsidR="00933A99">
        <w:rPr>
          <w:spacing w:val="2"/>
        </w:rPr>
        <w:t xml:space="preserve"> ka vlerësuar të drejtë</w:t>
      </w:r>
      <w:r w:rsidR="00AC1C10">
        <w:rPr>
          <w:spacing w:val="2"/>
        </w:rPr>
        <w:t>,</w:t>
      </w:r>
      <w:r w:rsidR="00933A99">
        <w:rPr>
          <w:spacing w:val="2"/>
        </w:rPr>
        <w:t xml:space="preserve"> proporcionale </w:t>
      </w:r>
      <w:r w:rsidR="00AC1C10">
        <w:rPr>
          <w:spacing w:val="2"/>
        </w:rPr>
        <w:t xml:space="preserve">dhe të përshtatshme </w:t>
      </w:r>
      <w:r w:rsidR="00933A99">
        <w:rPr>
          <w:spacing w:val="2"/>
        </w:rPr>
        <w:t xml:space="preserve">masën e sigurimit të caktuar ndaj kërkuesit nga gjyqtari i hetimeve paraprake, </w:t>
      </w:r>
      <w:r w:rsidR="00AC1C10">
        <w:rPr>
          <w:spacing w:val="2"/>
        </w:rPr>
        <w:t>në raport me natyrën e faktit penal dhe sanksione</w:t>
      </w:r>
      <w:r w:rsidR="00382503">
        <w:rPr>
          <w:spacing w:val="2"/>
        </w:rPr>
        <w:t>t penale</w:t>
      </w:r>
      <w:r w:rsidR="00AC1C10">
        <w:rPr>
          <w:spacing w:val="2"/>
        </w:rPr>
        <w:t xml:space="preserve"> për veprë</w:t>
      </w:r>
      <w:r w:rsidR="00382503">
        <w:rPr>
          <w:spacing w:val="2"/>
        </w:rPr>
        <w:t>n</w:t>
      </w:r>
      <w:r w:rsidR="00AC1C10">
        <w:rPr>
          <w:spacing w:val="2"/>
        </w:rPr>
        <w:t xml:space="preserve"> penale të </w:t>
      </w:r>
      <w:proofErr w:type="spellStart"/>
      <w:r w:rsidR="00AC1C10">
        <w:rPr>
          <w:spacing w:val="2"/>
        </w:rPr>
        <w:t>atribuar</w:t>
      </w:r>
      <w:proofErr w:type="spellEnd"/>
      <w:r w:rsidR="00AC1C10">
        <w:rPr>
          <w:spacing w:val="2"/>
        </w:rPr>
        <w:t xml:space="preserve"> kërkuesit </w:t>
      </w:r>
      <w:r w:rsidR="00AC1C10">
        <w:rPr>
          <w:i/>
          <w:spacing w:val="2"/>
        </w:rPr>
        <w:t>(shih vendimin nr. 40, datë 30.10.2021 të Gjykatës së Posaçme të Apelit, faqet 19-21)</w:t>
      </w:r>
      <w:r w:rsidR="00AC1C10">
        <w:rPr>
          <w:spacing w:val="2"/>
        </w:rPr>
        <w:t>.</w:t>
      </w:r>
      <w:r w:rsidR="00933A99">
        <w:rPr>
          <w:spacing w:val="2"/>
        </w:rPr>
        <w:t xml:space="preserve"> </w:t>
      </w:r>
      <w:r w:rsidR="006A21DA">
        <w:rPr>
          <w:spacing w:val="2"/>
        </w:rPr>
        <w:t xml:space="preserve"> </w:t>
      </w:r>
      <w:r w:rsidR="00E701CF">
        <w:rPr>
          <w:spacing w:val="2"/>
        </w:rPr>
        <w:t xml:space="preserve">Po kështu, </w:t>
      </w:r>
      <w:r w:rsidR="006F431B">
        <w:rPr>
          <w:spacing w:val="2"/>
        </w:rPr>
        <w:t xml:space="preserve">edhe </w:t>
      </w:r>
      <w:r w:rsidR="00E701CF">
        <w:rPr>
          <w:spacing w:val="2"/>
        </w:rPr>
        <w:t xml:space="preserve">Gjykata e Lartë ka vlerësuar se gjykatat më të ulëta kanë analizuar dhe zbatuar drejt kriteret e parashikuara në nenet 229 dhe 230 të KPP-së në raport me parimin e përshtatshmërisë dhe </w:t>
      </w:r>
      <w:proofErr w:type="spellStart"/>
      <w:r w:rsidR="00E701CF">
        <w:rPr>
          <w:spacing w:val="2"/>
        </w:rPr>
        <w:t>proporcionalitetit</w:t>
      </w:r>
      <w:proofErr w:type="spellEnd"/>
      <w:r w:rsidR="00F36A47">
        <w:rPr>
          <w:spacing w:val="2"/>
        </w:rPr>
        <w:t>,</w:t>
      </w:r>
      <w:r w:rsidR="00E13800">
        <w:rPr>
          <w:spacing w:val="2"/>
        </w:rPr>
        <w:t xml:space="preserve"> </w:t>
      </w:r>
      <w:r w:rsidR="006F431B">
        <w:rPr>
          <w:spacing w:val="2"/>
        </w:rPr>
        <w:t xml:space="preserve">në drejtim të nevojave të sigurimit </w:t>
      </w:r>
      <w:r w:rsidR="00F36A47">
        <w:rPr>
          <w:spacing w:val="2"/>
        </w:rPr>
        <w:t>dhe</w:t>
      </w:r>
      <w:r w:rsidR="006F431B">
        <w:rPr>
          <w:spacing w:val="2"/>
        </w:rPr>
        <w:t xml:space="preserve"> rrethana</w:t>
      </w:r>
      <w:r w:rsidR="00F36A47">
        <w:rPr>
          <w:spacing w:val="2"/>
        </w:rPr>
        <w:t>ve</w:t>
      </w:r>
      <w:r w:rsidR="006F431B">
        <w:rPr>
          <w:spacing w:val="2"/>
        </w:rPr>
        <w:t xml:space="preserve"> </w:t>
      </w:r>
      <w:r w:rsidR="00F36A47">
        <w:rPr>
          <w:spacing w:val="2"/>
        </w:rPr>
        <w:t>të</w:t>
      </w:r>
      <w:r w:rsidR="006F431B">
        <w:rPr>
          <w:spacing w:val="2"/>
        </w:rPr>
        <w:t xml:space="preserve"> faktit e prova</w:t>
      </w:r>
      <w:r w:rsidR="00F36A47">
        <w:rPr>
          <w:spacing w:val="2"/>
        </w:rPr>
        <w:t>ve</w:t>
      </w:r>
      <w:r w:rsidR="00AC1C10">
        <w:rPr>
          <w:i/>
          <w:spacing w:val="2"/>
        </w:rPr>
        <w:t xml:space="preserve"> (shih vendimin nr. 00-2022-184, datë 27.01.2022 të Gjykatës së Lartë, faqja 14)</w:t>
      </w:r>
      <w:r w:rsidR="00AC1C10">
        <w:rPr>
          <w:spacing w:val="2"/>
        </w:rPr>
        <w:t xml:space="preserve">. </w:t>
      </w:r>
    </w:p>
    <w:p w:rsidR="00AC1C10" w:rsidRPr="00EB1FDA" w:rsidRDefault="00A9507C" w:rsidP="005C1625">
      <w:pPr>
        <w:pStyle w:val="ListParagraph"/>
        <w:numPr>
          <w:ilvl w:val="0"/>
          <w:numId w:val="1"/>
        </w:numPr>
        <w:tabs>
          <w:tab w:val="left" w:pos="1080"/>
        </w:tabs>
        <w:ind w:left="0" w:firstLine="720"/>
        <w:jc w:val="both"/>
        <w:rPr>
          <w:spacing w:val="2"/>
        </w:rPr>
      </w:pPr>
      <w:r w:rsidRPr="00EB1FDA">
        <w:rPr>
          <w:spacing w:val="2"/>
        </w:rPr>
        <w:t>Për</w:t>
      </w:r>
      <w:r w:rsidR="00AC1C10" w:rsidRPr="00EB1FDA">
        <w:rPr>
          <w:spacing w:val="2"/>
        </w:rPr>
        <w:t xml:space="preserve"> sa më lart, </w:t>
      </w:r>
      <w:r w:rsidR="009D4C0B" w:rsidRPr="00EB1FDA">
        <w:rPr>
          <w:spacing w:val="2"/>
        </w:rPr>
        <w:t>Kolegji vlerëson</w:t>
      </w:r>
      <w:r w:rsidR="00AC1C10" w:rsidRPr="00EB1FDA">
        <w:rPr>
          <w:spacing w:val="2"/>
        </w:rPr>
        <w:t xml:space="preserve"> se masa e sigurimit personal “Arrest me burg” </w:t>
      </w:r>
      <w:r w:rsidRPr="00EB1FDA">
        <w:rPr>
          <w:spacing w:val="2"/>
        </w:rPr>
        <w:t xml:space="preserve">përmes </w:t>
      </w:r>
      <w:r w:rsidR="009F155B">
        <w:rPr>
          <w:spacing w:val="2"/>
        </w:rPr>
        <w:t>s</w:t>
      </w:r>
      <w:r w:rsidRPr="00EB1FDA">
        <w:rPr>
          <w:spacing w:val="2"/>
        </w:rPr>
        <w:t xml:space="preserve">ë cilës kërkuesit i është kufizuar e drejta </w:t>
      </w:r>
      <w:r w:rsidR="00AC1C10" w:rsidRPr="00EB1FDA">
        <w:rPr>
          <w:spacing w:val="2"/>
        </w:rPr>
        <w:t>për liri personale</w:t>
      </w:r>
      <w:r w:rsidR="009F155B">
        <w:rPr>
          <w:spacing w:val="2"/>
        </w:rPr>
        <w:t>,</w:t>
      </w:r>
      <w:r w:rsidR="00AC1C10" w:rsidRPr="00EB1FDA">
        <w:rPr>
          <w:spacing w:val="2"/>
        </w:rPr>
        <w:t xml:space="preserve"> </w:t>
      </w:r>
      <w:r w:rsidRPr="00EB1FDA">
        <w:rPr>
          <w:spacing w:val="2"/>
        </w:rPr>
        <w:t xml:space="preserve">nuk </w:t>
      </w:r>
      <w:r w:rsidR="00AC1C10" w:rsidRPr="00EB1FDA">
        <w:rPr>
          <w:spacing w:val="2"/>
        </w:rPr>
        <w:t xml:space="preserve">rezulton të jetë </w:t>
      </w:r>
      <w:proofErr w:type="spellStart"/>
      <w:r w:rsidRPr="00EB1FDA">
        <w:rPr>
          <w:spacing w:val="2"/>
        </w:rPr>
        <w:t>jo</w:t>
      </w:r>
      <w:r w:rsidR="00AC1C10" w:rsidRPr="00EB1FDA">
        <w:rPr>
          <w:spacing w:val="2"/>
        </w:rPr>
        <w:t>proporcionale</w:t>
      </w:r>
      <w:proofErr w:type="spellEnd"/>
      <w:r w:rsidR="00AC1C10" w:rsidRPr="00EB1FDA">
        <w:rPr>
          <w:spacing w:val="2"/>
        </w:rPr>
        <w:t xml:space="preserve"> me nevojën e diktuar për marrjen e saj</w:t>
      </w:r>
      <w:r w:rsidR="001E4E5B" w:rsidRPr="00EB1FDA">
        <w:rPr>
          <w:spacing w:val="2"/>
        </w:rPr>
        <w:t>, ndërsa</w:t>
      </w:r>
      <w:r w:rsidR="00AC1C10" w:rsidRPr="00EB1FDA">
        <w:rPr>
          <w:spacing w:val="2"/>
        </w:rPr>
        <w:t xml:space="preserve"> </w:t>
      </w:r>
      <w:r w:rsidR="00802FBC" w:rsidRPr="00EB1FDA">
        <w:rPr>
          <w:spacing w:val="2"/>
        </w:rPr>
        <w:t xml:space="preserve">arsyet e vendosjes së kësaj mase dhe jo </w:t>
      </w:r>
      <w:r w:rsidR="001E4E5B" w:rsidRPr="00EB1FDA">
        <w:rPr>
          <w:spacing w:val="2"/>
        </w:rPr>
        <w:t xml:space="preserve">të </w:t>
      </w:r>
      <w:r w:rsidR="00802FBC" w:rsidRPr="00EB1FDA">
        <w:rPr>
          <w:spacing w:val="2"/>
        </w:rPr>
        <w:t>një mase tjetër janë arsyetuar nga gjykatat</w:t>
      </w:r>
      <w:r w:rsidR="001E4E5B" w:rsidRPr="00EB1FDA">
        <w:rPr>
          <w:spacing w:val="2"/>
        </w:rPr>
        <w:t>, duk</w:t>
      </w:r>
      <w:r w:rsidR="009F155B">
        <w:rPr>
          <w:spacing w:val="2"/>
        </w:rPr>
        <w:t>e</w:t>
      </w:r>
      <w:r w:rsidR="001E4E5B" w:rsidRPr="00EB1FDA">
        <w:rPr>
          <w:spacing w:val="2"/>
        </w:rPr>
        <w:t xml:space="preserve"> i dhënë përgjigje të argumentuar në këtë drejtim</w:t>
      </w:r>
      <w:r w:rsidR="00802FBC" w:rsidRPr="00EB1FDA">
        <w:rPr>
          <w:spacing w:val="2"/>
        </w:rPr>
        <w:t>.</w:t>
      </w:r>
      <w:r w:rsidR="007F3B86" w:rsidRPr="00EB1FDA">
        <w:rPr>
          <w:spacing w:val="2"/>
        </w:rPr>
        <w:t xml:space="preserve"> </w:t>
      </w:r>
      <w:r w:rsidR="00907614" w:rsidRPr="00EB1FDA">
        <w:rPr>
          <w:spacing w:val="2"/>
        </w:rPr>
        <w:t>Po kështu</w:t>
      </w:r>
      <w:r w:rsidR="007F3B86" w:rsidRPr="00EB1FDA">
        <w:rPr>
          <w:spacing w:val="2"/>
        </w:rPr>
        <w:t>, kërkuesi ka marrë përgjigje edhe për pretendimet e tij në lidhje gjendjen shëndetësore, për të cilat G</w:t>
      </w:r>
      <w:r w:rsidR="00D10B93" w:rsidRPr="00EB1FDA">
        <w:rPr>
          <w:spacing w:val="2"/>
        </w:rPr>
        <w:t>jykata e Posaçme e Shkallës së P</w:t>
      </w:r>
      <w:r w:rsidR="007F3B86" w:rsidRPr="00EB1FDA">
        <w:rPr>
          <w:spacing w:val="2"/>
        </w:rPr>
        <w:t xml:space="preserve">arë ka </w:t>
      </w:r>
      <w:r w:rsidR="007F3B86" w:rsidRPr="00EB1FDA">
        <w:rPr>
          <w:spacing w:val="2"/>
        </w:rPr>
        <w:lastRenderedPageBreak/>
        <w:t xml:space="preserve">arsyetuar se ato nuk janë vërtetuar me provë në gjykim, ndërsa mosha e tij është mbajtur në vëmendje të saj dhe </w:t>
      </w:r>
      <w:r w:rsidR="008E6565" w:rsidRPr="00EB1FDA">
        <w:rPr>
          <w:spacing w:val="2"/>
        </w:rPr>
        <w:t xml:space="preserve">është </w:t>
      </w:r>
      <w:r w:rsidR="007F3B86" w:rsidRPr="00EB1FDA">
        <w:rPr>
          <w:spacing w:val="2"/>
        </w:rPr>
        <w:t xml:space="preserve">marrë në konsideratë në momentin e caktimit të masës </w:t>
      </w:r>
      <w:r w:rsidR="002C57EA" w:rsidRPr="00EB1FDA">
        <w:rPr>
          <w:i/>
          <w:spacing w:val="2"/>
        </w:rPr>
        <w:t>(shih vendimin nr. 80, datë 11</w:t>
      </w:r>
      <w:r w:rsidR="007F3B86" w:rsidRPr="00EB1FDA">
        <w:rPr>
          <w:i/>
          <w:spacing w:val="2"/>
        </w:rPr>
        <w:t>.10.2021 të Gjykatës së Posaçme të Shkallës së Parë, faqja 16)</w:t>
      </w:r>
      <w:r w:rsidR="00461D4F">
        <w:rPr>
          <w:spacing w:val="2"/>
        </w:rPr>
        <w:t>. Arsyetimi i</w:t>
      </w:r>
      <w:r w:rsidR="00F11F6D" w:rsidRPr="00EB1FDA">
        <w:rPr>
          <w:spacing w:val="2"/>
        </w:rPr>
        <w:t xml:space="preserve"> </w:t>
      </w:r>
      <w:r w:rsidR="00461D4F">
        <w:rPr>
          <w:spacing w:val="2"/>
        </w:rPr>
        <w:t xml:space="preserve">kësaj gjykate </w:t>
      </w:r>
      <w:r w:rsidR="00F11F6D" w:rsidRPr="00EB1FDA">
        <w:rPr>
          <w:spacing w:val="2"/>
        </w:rPr>
        <w:t xml:space="preserve">është vlerësuar i </w:t>
      </w:r>
      <w:r w:rsidR="00890D68" w:rsidRPr="00EB1FDA">
        <w:rPr>
          <w:spacing w:val="2"/>
        </w:rPr>
        <w:t xml:space="preserve">drejtë nga Gjykata e Posaçme e Apelit </w:t>
      </w:r>
      <w:r w:rsidR="00890D68" w:rsidRPr="00EB1FDA">
        <w:rPr>
          <w:i/>
          <w:spacing w:val="2"/>
        </w:rPr>
        <w:t>(shih vendimin nr. 40, datë 30.10.2021 të Gjykatës së Posaçme të Apelit, faqja 14, paragrafi 4)</w:t>
      </w:r>
      <w:r w:rsidR="00890D68" w:rsidRPr="00EB1FDA">
        <w:rPr>
          <w:spacing w:val="2"/>
        </w:rPr>
        <w:t xml:space="preserve"> dhe Gjykata e Lartë </w:t>
      </w:r>
      <w:r w:rsidR="00890D68" w:rsidRPr="00EB1FDA">
        <w:rPr>
          <w:i/>
          <w:spacing w:val="2"/>
        </w:rPr>
        <w:t xml:space="preserve">(shih vendimin nr. 00-2022-184, datë 27.01.2022 të Gjykatës së Lartë, faqja 14, </w:t>
      </w:r>
      <w:r w:rsidR="00DD2986" w:rsidRPr="00EB1FDA">
        <w:rPr>
          <w:i/>
          <w:spacing w:val="2"/>
        </w:rPr>
        <w:t>pikat 20-21</w:t>
      </w:r>
      <w:r w:rsidR="00890D68" w:rsidRPr="00EB1FDA">
        <w:rPr>
          <w:i/>
          <w:spacing w:val="2"/>
        </w:rPr>
        <w:t>)</w:t>
      </w:r>
      <w:r w:rsidR="00890D68" w:rsidRPr="00EB1FDA">
        <w:rPr>
          <w:spacing w:val="2"/>
        </w:rPr>
        <w:t xml:space="preserve">. </w:t>
      </w:r>
      <w:r w:rsidR="00252328" w:rsidRPr="00EB1FDA">
        <w:rPr>
          <w:spacing w:val="2"/>
        </w:rPr>
        <w:t>Kolegji vëren se e</w:t>
      </w:r>
      <w:r w:rsidR="007F3B86" w:rsidRPr="00EB1FDA">
        <w:rPr>
          <w:spacing w:val="2"/>
        </w:rPr>
        <w:t xml:space="preserve">dhe në ankimin kushtetues individual kërkuesi nuk ka arritur ta ngrejë </w:t>
      </w:r>
      <w:r w:rsidR="00252328" w:rsidRPr="00EB1FDA">
        <w:rPr>
          <w:spacing w:val="2"/>
        </w:rPr>
        <w:t xml:space="preserve">këtë pretendim </w:t>
      </w:r>
      <w:r w:rsidR="007F3B86" w:rsidRPr="00EB1FDA">
        <w:rPr>
          <w:spacing w:val="2"/>
        </w:rPr>
        <w:t>në nivel kushtetues, në kuptim të nenit 28, pika 3, të Kushtetutës.</w:t>
      </w:r>
    </w:p>
    <w:p w:rsidR="00B23154" w:rsidRPr="00525A21" w:rsidRDefault="00F66E18" w:rsidP="003E2134">
      <w:pPr>
        <w:pStyle w:val="ListParagraph"/>
        <w:numPr>
          <w:ilvl w:val="0"/>
          <w:numId w:val="1"/>
        </w:numPr>
        <w:tabs>
          <w:tab w:val="left" w:pos="1080"/>
        </w:tabs>
        <w:ind w:left="0" w:firstLine="720"/>
        <w:jc w:val="both"/>
        <w:rPr>
          <w:spacing w:val="2"/>
        </w:rPr>
      </w:pPr>
      <w:r w:rsidRPr="00525A21">
        <w:rPr>
          <w:spacing w:val="2"/>
        </w:rPr>
        <w:t xml:space="preserve">Për </w:t>
      </w:r>
      <w:r w:rsidR="00240B55">
        <w:rPr>
          <w:spacing w:val="2"/>
        </w:rPr>
        <w:t>rrjedhojë,</w:t>
      </w:r>
      <w:r w:rsidRPr="00525A21">
        <w:rPr>
          <w:spacing w:val="2"/>
        </w:rPr>
        <w:t xml:space="preserve"> </w:t>
      </w:r>
      <w:r w:rsidR="00252328">
        <w:rPr>
          <w:spacing w:val="2"/>
        </w:rPr>
        <w:t xml:space="preserve">Kolegji </w:t>
      </w:r>
      <w:r w:rsidR="00802FBC">
        <w:rPr>
          <w:spacing w:val="2"/>
        </w:rPr>
        <w:t>çmo</w:t>
      </w:r>
      <w:r w:rsidR="00252328">
        <w:rPr>
          <w:spacing w:val="2"/>
        </w:rPr>
        <w:t>n</w:t>
      </w:r>
      <w:r w:rsidR="00D83176" w:rsidRPr="00525A21">
        <w:rPr>
          <w:spacing w:val="2"/>
        </w:rPr>
        <w:t xml:space="preserve"> se pretendim</w:t>
      </w:r>
      <w:r w:rsidR="00525A21">
        <w:rPr>
          <w:spacing w:val="2"/>
        </w:rPr>
        <w:t>i</w:t>
      </w:r>
      <w:r w:rsidR="00D83176" w:rsidRPr="00525A21">
        <w:rPr>
          <w:spacing w:val="2"/>
        </w:rPr>
        <w:t xml:space="preserve"> </w:t>
      </w:r>
      <w:r w:rsidR="00525A21">
        <w:rPr>
          <w:spacing w:val="2"/>
        </w:rPr>
        <w:t>i</w:t>
      </w:r>
      <w:r w:rsidR="00D83176" w:rsidRPr="00525A21">
        <w:rPr>
          <w:spacing w:val="2"/>
        </w:rPr>
        <w:t xml:space="preserve"> kërkuesit për cenimin e parimit të </w:t>
      </w:r>
      <w:proofErr w:type="spellStart"/>
      <w:r w:rsidR="00A379F3">
        <w:rPr>
          <w:spacing w:val="2"/>
        </w:rPr>
        <w:t>proporcionalitetit</w:t>
      </w:r>
      <w:proofErr w:type="spellEnd"/>
      <w:r w:rsidR="00A379F3">
        <w:rPr>
          <w:spacing w:val="2"/>
        </w:rPr>
        <w:t xml:space="preserve"> në kufizimin e lirisë personale </w:t>
      </w:r>
      <w:r w:rsidR="005F11B2" w:rsidRPr="00525A21">
        <w:rPr>
          <w:spacing w:val="2"/>
        </w:rPr>
        <w:t>është haptazi i pabazuar.</w:t>
      </w:r>
    </w:p>
    <w:p w:rsidR="005F11B2" w:rsidRPr="00B23154" w:rsidRDefault="005F11B2" w:rsidP="005F11B2">
      <w:pPr>
        <w:pStyle w:val="ListParagraph"/>
        <w:tabs>
          <w:tab w:val="left" w:pos="1080"/>
        </w:tabs>
        <w:jc w:val="both"/>
        <w:rPr>
          <w:spacing w:val="2"/>
        </w:rPr>
      </w:pPr>
    </w:p>
    <w:p w:rsidR="00706F7A" w:rsidRDefault="005608F8" w:rsidP="005608F8">
      <w:pPr>
        <w:tabs>
          <w:tab w:val="left" w:pos="720"/>
        </w:tabs>
        <w:jc w:val="both"/>
        <w:rPr>
          <w:i/>
          <w:spacing w:val="2"/>
        </w:rPr>
      </w:pPr>
      <w:r>
        <w:rPr>
          <w:spacing w:val="2"/>
        </w:rPr>
        <w:tab/>
      </w:r>
      <w:r w:rsidR="00706F7A">
        <w:rPr>
          <w:i/>
          <w:spacing w:val="2"/>
        </w:rPr>
        <w:t>C</w:t>
      </w:r>
      <w:r w:rsidR="00C54050">
        <w:rPr>
          <w:i/>
          <w:spacing w:val="2"/>
        </w:rPr>
        <w:t xml:space="preserve">. </w:t>
      </w:r>
      <w:r>
        <w:rPr>
          <w:i/>
          <w:spacing w:val="2"/>
        </w:rPr>
        <w:t xml:space="preserve">Për pretendimin e cenimit të </w:t>
      </w:r>
      <w:r w:rsidR="00706F7A">
        <w:rPr>
          <w:i/>
          <w:spacing w:val="2"/>
        </w:rPr>
        <w:t>procesit të rregullt ligjor</w:t>
      </w:r>
    </w:p>
    <w:p w:rsidR="005608F8" w:rsidRPr="005608F8" w:rsidRDefault="00706F7A" w:rsidP="005608F8">
      <w:pPr>
        <w:tabs>
          <w:tab w:val="left" w:pos="720"/>
        </w:tabs>
        <w:jc w:val="both"/>
        <w:rPr>
          <w:i/>
          <w:spacing w:val="2"/>
        </w:rPr>
      </w:pPr>
      <w:r>
        <w:rPr>
          <w:i/>
          <w:spacing w:val="2"/>
        </w:rPr>
        <w:tab/>
        <w:t>C.1.</w:t>
      </w:r>
      <w:r w:rsidR="005608F8">
        <w:rPr>
          <w:i/>
          <w:spacing w:val="2"/>
        </w:rPr>
        <w:t xml:space="preserve"> </w:t>
      </w:r>
      <w:r>
        <w:rPr>
          <w:i/>
          <w:spacing w:val="2"/>
        </w:rPr>
        <w:t xml:space="preserve">Për pretendimin e cenimit të parimit të </w:t>
      </w:r>
      <w:proofErr w:type="spellStart"/>
      <w:r w:rsidR="00C610BC">
        <w:rPr>
          <w:i/>
          <w:spacing w:val="2"/>
        </w:rPr>
        <w:t>prezumimit</w:t>
      </w:r>
      <w:proofErr w:type="spellEnd"/>
      <w:r w:rsidR="00C610BC">
        <w:rPr>
          <w:i/>
          <w:spacing w:val="2"/>
        </w:rPr>
        <w:t xml:space="preserve"> të pafajësisë</w:t>
      </w:r>
    </w:p>
    <w:p w:rsidR="00AF0491" w:rsidRPr="000D1301" w:rsidRDefault="00C1726B" w:rsidP="00AF0491">
      <w:pPr>
        <w:pStyle w:val="ListParagraph"/>
        <w:numPr>
          <w:ilvl w:val="0"/>
          <w:numId w:val="1"/>
        </w:numPr>
        <w:tabs>
          <w:tab w:val="left" w:pos="1080"/>
        </w:tabs>
        <w:ind w:left="0" w:firstLine="720"/>
        <w:jc w:val="both"/>
      </w:pPr>
      <w:r w:rsidRPr="00A72044">
        <w:rPr>
          <w:spacing w:val="2"/>
        </w:rPr>
        <w:t>Kërkuesi ka pretenduar se</w:t>
      </w:r>
      <w:r w:rsidR="005E2D99" w:rsidRPr="00A72044">
        <w:rPr>
          <w:spacing w:val="2"/>
        </w:rPr>
        <w:t xml:space="preserve"> </w:t>
      </w:r>
      <w:r w:rsidR="00C610BC" w:rsidRPr="00A72044">
        <w:rPr>
          <w:spacing w:val="2"/>
        </w:rPr>
        <w:t>është paragjykuar nga gjykatat e posaçme, të cilat kanë vlerësuar se faktet e zbuluara nga hetimi vërtetojnë plotësisht shkeljet për të cilat ai akuzohej dhe, për rrjedhojë</w:t>
      </w:r>
      <w:r w:rsidR="00F060DE">
        <w:rPr>
          <w:spacing w:val="2"/>
        </w:rPr>
        <w:t>,</w:t>
      </w:r>
      <w:r w:rsidR="00C610BC" w:rsidRPr="00A72044">
        <w:rPr>
          <w:spacing w:val="2"/>
        </w:rPr>
        <w:t xml:space="preserve"> janë në raport të drejtë me masën e sigurimit të caktuar ndaj tij, e cila është e përshtatshme. Caktimi</w:t>
      </w:r>
      <w:r w:rsidR="00C610BC">
        <w:rPr>
          <w:spacing w:val="2"/>
        </w:rPr>
        <w:t xml:space="preserve"> i masës është përdorur ndaj tij si sanksion dënimi njëlloj sikur të ishte shpallur fajësia dhe jo për nevoja të hetimit ose të ruajtjes së vlerave procedurale dhe marrëdhënieve shoqërore.</w:t>
      </w:r>
    </w:p>
    <w:p w:rsidR="00C610BC" w:rsidRPr="00560526" w:rsidRDefault="00C610BC" w:rsidP="00C610BC">
      <w:pPr>
        <w:pStyle w:val="ListParagraph"/>
        <w:numPr>
          <w:ilvl w:val="0"/>
          <w:numId w:val="1"/>
        </w:numPr>
        <w:tabs>
          <w:tab w:val="left" w:pos="1080"/>
        </w:tabs>
        <w:ind w:left="0" w:firstLine="720"/>
        <w:jc w:val="both"/>
      </w:pPr>
      <w:r w:rsidRPr="00560526">
        <w:t xml:space="preserve">Sipas Kushtetutës, kushdo quhet i pafajshëm, përderisa nuk i është provuar fajësia me vendim gjyqësor të formës së prerë </w:t>
      </w:r>
      <w:r w:rsidRPr="00560526">
        <w:rPr>
          <w:i/>
        </w:rPr>
        <w:t>(neni 30).</w:t>
      </w:r>
      <w:r w:rsidRPr="00560526">
        <w:t xml:space="preserve"> Parimi i </w:t>
      </w:r>
      <w:proofErr w:type="spellStart"/>
      <w:r w:rsidRPr="00560526">
        <w:t>prezumimit</w:t>
      </w:r>
      <w:proofErr w:type="spellEnd"/>
      <w:r w:rsidRPr="00560526">
        <w:t xml:space="preserve"> të pafajësisë kërkon që deklarimi i fajësisë së të pandehurit të bëhet nga gjykata vetëm pas një shqyrtimi të plotë të çështjes, në përputhje me parimin e </w:t>
      </w:r>
      <w:r w:rsidR="0039441F" w:rsidRPr="00560526">
        <w:t xml:space="preserve">barazisë së armëve dhe të </w:t>
      </w:r>
      <w:r w:rsidRPr="00560526">
        <w:t>kontradiktoritetit në gjykim. Ky parim buron nga parimi i shtetit të së drejtës dhe është i lidhur ngushtë me të drejtën e personit të akuzuar për t’u mbrojtur në një gjykim të drejtë. Sipas këtij parimi, asnjë masë që barazohet me dënimin nuk mund të jepet ndaj një të pandehuri pa u provuar fajësia e tij përtej çdo dyshimi të arsyeshëm</w:t>
      </w:r>
      <w:r w:rsidRPr="00560526">
        <w:rPr>
          <w:rFonts w:eastAsia="Times New Roman"/>
          <w:i/>
        </w:rPr>
        <w:t xml:space="preserve"> (shih vendimet nr. 4, datë 21.02.2022; nr. 12, datë 24.04.2018 të Gjykatës Kushtetuese)</w:t>
      </w:r>
      <w:r w:rsidRPr="00560526">
        <w:rPr>
          <w:rFonts w:eastAsia="Times New Roman"/>
        </w:rPr>
        <w:t>.</w:t>
      </w:r>
    </w:p>
    <w:p w:rsidR="000224B0" w:rsidRPr="00C610BC" w:rsidRDefault="00103C3B" w:rsidP="004E264D">
      <w:pPr>
        <w:pStyle w:val="ListParagraph"/>
        <w:numPr>
          <w:ilvl w:val="0"/>
          <w:numId w:val="1"/>
        </w:numPr>
        <w:tabs>
          <w:tab w:val="left" w:pos="1080"/>
        </w:tabs>
        <w:ind w:left="0" w:firstLine="720"/>
        <w:jc w:val="both"/>
        <w:rPr>
          <w:spacing w:val="2"/>
        </w:rPr>
      </w:pPr>
      <w:r>
        <w:t>S</w:t>
      </w:r>
      <w:r w:rsidRPr="00560526">
        <w:t xml:space="preserve">i rregull, parimi i </w:t>
      </w:r>
      <w:proofErr w:type="spellStart"/>
      <w:r w:rsidRPr="00560526">
        <w:t>prezumimit</w:t>
      </w:r>
      <w:proofErr w:type="spellEnd"/>
      <w:r w:rsidRPr="00560526">
        <w:t xml:space="preserve"> të pafajësisë zbatohet në rastet e shqyrtimit nga gjykatat të themelit të çështjes. </w:t>
      </w:r>
      <w:r>
        <w:t>Megjithatë, n</w:t>
      </w:r>
      <w:r w:rsidR="00C610BC" w:rsidRPr="00560526">
        <w:t xml:space="preserve">ë jurisprudencën e saj </w:t>
      </w:r>
      <w:r w:rsidR="0039441F">
        <w:t>GJEDNJ-ja</w:t>
      </w:r>
      <w:r w:rsidR="00C610BC" w:rsidRPr="00560526">
        <w:t xml:space="preserve"> ka mbajtur qëndrimin se pavarësisht se në rastet e procedurave gjyqësore për caktimin e masave të sigurimit personal, sipas nenit 5, pika 4, të KEDNJ-së nuk është gjithmonë e nevojshme të zbatohen të njëjtat garanci të parashikuara në nenin 6, </w:t>
      </w:r>
      <w:r w:rsidR="00C610BC">
        <w:t>p</w:t>
      </w:r>
      <w:r w:rsidR="00C610BC" w:rsidRPr="00560526">
        <w:t xml:space="preserve">arimi i </w:t>
      </w:r>
      <w:proofErr w:type="spellStart"/>
      <w:r w:rsidR="00C610BC" w:rsidRPr="00560526">
        <w:t>prezumimit</w:t>
      </w:r>
      <w:proofErr w:type="spellEnd"/>
      <w:r w:rsidR="00C610BC" w:rsidRPr="00560526">
        <w:t xml:space="preserve"> të pafajësisë duhet </w:t>
      </w:r>
      <w:r w:rsidR="00C610BC" w:rsidRPr="00560526">
        <w:lastRenderedPageBreak/>
        <w:t xml:space="preserve">zbatuar nga gjykatat edhe gjatë vendimmarrjes së tyre për caktimin ndaj individëve të masave të sigurimit personal </w:t>
      </w:r>
      <w:r w:rsidR="00C610BC" w:rsidRPr="00560526">
        <w:rPr>
          <w:i/>
        </w:rPr>
        <w:t xml:space="preserve">(shih vendimin e GJEDNJ-së për çështjen </w:t>
      </w:r>
      <w:proofErr w:type="spellStart"/>
      <w:r w:rsidR="00C610BC" w:rsidRPr="00560526">
        <w:rPr>
          <w:i/>
        </w:rPr>
        <w:t>Vardan</w:t>
      </w:r>
      <w:proofErr w:type="spellEnd"/>
      <w:r w:rsidR="00C610BC" w:rsidRPr="00560526">
        <w:rPr>
          <w:i/>
        </w:rPr>
        <w:t xml:space="preserve"> </w:t>
      </w:r>
      <w:proofErr w:type="spellStart"/>
      <w:r w:rsidR="00C610BC" w:rsidRPr="00560526">
        <w:rPr>
          <w:i/>
        </w:rPr>
        <w:t>Martirosyan</w:t>
      </w:r>
      <w:proofErr w:type="spellEnd"/>
      <w:r w:rsidR="00C610BC" w:rsidRPr="00560526">
        <w:rPr>
          <w:i/>
        </w:rPr>
        <w:t xml:space="preserve"> kundër Armenisë</w:t>
      </w:r>
      <w:r w:rsidR="00C610BC" w:rsidRPr="00560526">
        <w:t xml:space="preserve">, </w:t>
      </w:r>
      <w:r w:rsidR="00C610BC" w:rsidRPr="00560526">
        <w:rPr>
          <w:i/>
        </w:rPr>
        <w:t>datë 15.06.2021, § 83)</w:t>
      </w:r>
      <w:r w:rsidR="004E264D" w:rsidRPr="000D1301">
        <w:t>.</w:t>
      </w:r>
    </w:p>
    <w:p w:rsidR="00C610BC" w:rsidRPr="007D3501" w:rsidRDefault="00C610BC" w:rsidP="004E264D">
      <w:pPr>
        <w:pStyle w:val="ListParagraph"/>
        <w:numPr>
          <w:ilvl w:val="0"/>
          <w:numId w:val="1"/>
        </w:numPr>
        <w:tabs>
          <w:tab w:val="left" w:pos="1080"/>
        </w:tabs>
        <w:ind w:left="0" w:firstLine="720"/>
        <w:jc w:val="both"/>
        <w:rPr>
          <w:spacing w:val="2"/>
        </w:rPr>
      </w:pPr>
      <w:r w:rsidRPr="00560526">
        <w:t xml:space="preserve">Në rastin </w:t>
      </w:r>
      <w:r>
        <w:t>konkret</w:t>
      </w:r>
      <w:r w:rsidRPr="00560526">
        <w:t xml:space="preserve">, </w:t>
      </w:r>
      <w:r w:rsidR="00204E33">
        <w:t>Kolegji thekson</w:t>
      </w:r>
      <w:r w:rsidR="00F60863">
        <w:t xml:space="preserve"> se </w:t>
      </w:r>
      <w:r>
        <w:t>vendimet e</w:t>
      </w:r>
      <w:r w:rsidRPr="00560526">
        <w:t xml:space="preserve"> kundërshtuar</w:t>
      </w:r>
      <w:r>
        <w:t>a</w:t>
      </w:r>
      <w:r w:rsidRPr="00560526">
        <w:t xml:space="preserve"> nga kërkuesi nuk përbë</w:t>
      </w:r>
      <w:r>
        <w:t>j</w:t>
      </w:r>
      <w:r w:rsidRPr="00560526">
        <w:t>n</w:t>
      </w:r>
      <w:r>
        <w:t>ë</w:t>
      </w:r>
      <w:r w:rsidRPr="00560526">
        <w:t xml:space="preserve"> vendim</w:t>
      </w:r>
      <w:r>
        <w:t>e themeli të tilla që përcaktojnë</w:t>
      </w:r>
      <w:r w:rsidRPr="00560526">
        <w:t xml:space="preserve"> fajësinë e tij.</w:t>
      </w:r>
      <w:r>
        <w:t xml:space="preserve"> </w:t>
      </w:r>
      <w:r w:rsidR="00204E33">
        <w:t>Gjithashtu</w:t>
      </w:r>
      <w:r w:rsidR="00103C3B">
        <w:t>, s</w:t>
      </w:r>
      <w:r>
        <w:t xml:space="preserve">iç u arsyetua më lart, masa e sigurimit është vendosur ndaj tij për shkak të ekzistencës së </w:t>
      </w:r>
      <w:r w:rsidRPr="00560526">
        <w:t>dyshime</w:t>
      </w:r>
      <w:r>
        <w:t>ve</w:t>
      </w:r>
      <w:r w:rsidRPr="00560526">
        <w:t xml:space="preserve"> të arsyeshme për </w:t>
      </w:r>
      <w:r>
        <w:t>kryerjen e veprave të tjera penale, në kuadër të procedimit penal për të cilin ai po hetohej</w:t>
      </w:r>
      <w:r w:rsidRPr="00560526">
        <w:t>. Gjykata</w:t>
      </w:r>
      <w:r>
        <w:t>t</w:t>
      </w:r>
      <w:r w:rsidRPr="00560526">
        <w:t xml:space="preserve"> ka</w:t>
      </w:r>
      <w:r>
        <w:t>në</w:t>
      </w:r>
      <w:r w:rsidRPr="00560526">
        <w:t xml:space="preserve"> vlerësuar se rrethanat e çështjes ishin të tilla që justifik</w:t>
      </w:r>
      <w:r>
        <w:t xml:space="preserve">onin masën e vendosur ndaj tij dhe se kjo masë është proporcionale </w:t>
      </w:r>
      <w:r w:rsidR="008128AB">
        <w:rPr>
          <w:i/>
        </w:rPr>
        <w:t>(shih paragrafin</w:t>
      </w:r>
      <w:r w:rsidR="00E57DAA">
        <w:rPr>
          <w:i/>
        </w:rPr>
        <w:t xml:space="preserve"> </w:t>
      </w:r>
      <w:r>
        <w:rPr>
          <w:i/>
        </w:rPr>
        <w:t xml:space="preserve">33 </w:t>
      </w:r>
      <w:r w:rsidR="0041148F">
        <w:rPr>
          <w:i/>
        </w:rPr>
        <w:t>të vendimit</w:t>
      </w:r>
      <w:r>
        <w:rPr>
          <w:i/>
        </w:rPr>
        <w:t>)</w:t>
      </w:r>
      <w:r>
        <w:t xml:space="preserve">. </w:t>
      </w:r>
      <w:r w:rsidR="00F60863">
        <w:t>N</w:t>
      </w:r>
      <w:r>
        <w:t xml:space="preserve">ë analizë të arsyetimit të vendimeve të tyre nuk rezulton që </w:t>
      </w:r>
      <w:r w:rsidR="00103C3B">
        <w:t>gjykatat</w:t>
      </w:r>
      <w:r>
        <w:t xml:space="preserve"> të jenë shprehur për fajësinë e kërkuesit </w:t>
      </w:r>
      <w:r w:rsidR="00441391">
        <w:t>ose</w:t>
      </w:r>
      <w:r>
        <w:t xml:space="preserve"> të kenë paragjykuar çështjen e tij. Vendimmarrja e tyre është bazuar tërësisht në analizën e shkaqeve për vendosjen </w:t>
      </w:r>
      <w:r w:rsidR="000C56B0">
        <w:t>e</w:t>
      </w:r>
      <w:r>
        <w:t xml:space="preserve"> masës së sigurisë “Arrest në burg” dhe </w:t>
      </w:r>
      <w:proofErr w:type="spellStart"/>
      <w:r>
        <w:t>proporcionalitetin</w:t>
      </w:r>
      <w:proofErr w:type="spellEnd"/>
      <w:r>
        <w:t xml:space="preserve"> e saj.</w:t>
      </w:r>
    </w:p>
    <w:p w:rsidR="007D3501" w:rsidRPr="007D3501" w:rsidRDefault="007D3501" w:rsidP="004E264D">
      <w:pPr>
        <w:pStyle w:val="ListParagraph"/>
        <w:numPr>
          <w:ilvl w:val="0"/>
          <w:numId w:val="1"/>
        </w:numPr>
        <w:tabs>
          <w:tab w:val="left" w:pos="1080"/>
        </w:tabs>
        <w:ind w:left="0" w:firstLine="720"/>
        <w:jc w:val="both"/>
        <w:rPr>
          <w:spacing w:val="2"/>
        </w:rPr>
      </w:pPr>
      <w:r>
        <w:t xml:space="preserve">Për rrjedhojë, </w:t>
      </w:r>
      <w:r w:rsidR="00F04575">
        <w:t>Kolegji vlerëson</w:t>
      </w:r>
      <w:r>
        <w:t xml:space="preserve"> se pretendimi i kërkuesit për cenimin e </w:t>
      </w:r>
      <w:r w:rsidR="00C610BC">
        <w:t xml:space="preserve">parimit të </w:t>
      </w:r>
      <w:proofErr w:type="spellStart"/>
      <w:r w:rsidR="00C610BC">
        <w:t>prezumimit</w:t>
      </w:r>
      <w:proofErr w:type="spellEnd"/>
      <w:r w:rsidR="00C610BC">
        <w:t xml:space="preserve"> të pafajësisë </w:t>
      </w:r>
      <w:r>
        <w:t xml:space="preserve">është </w:t>
      </w:r>
      <w:r w:rsidR="00D36630">
        <w:t xml:space="preserve">haptazi </w:t>
      </w:r>
      <w:r>
        <w:t>i pabazuar.</w:t>
      </w:r>
    </w:p>
    <w:p w:rsidR="007D3501" w:rsidRDefault="007D3501" w:rsidP="007D3501">
      <w:pPr>
        <w:pStyle w:val="ListParagraph"/>
        <w:tabs>
          <w:tab w:val="left" w:pos="1080"/>
        </w:tabs>
        <w:jc w:val="both"/>
      </w:pPr>
    </w:p>
    <w:p w:rsidR="007D3501" w:rsidRPr="007D3501" w:rsidRDefault="008C3C3D" w:rsidP="007D3501">
      <w:pPr>
        <w:pStyle w:val="ListParagraph"/>
        <w:tabs>
          <w:tab w:val="left" w:pos="1080"/>
        </w:tabs>
        <w:jc w:val="both"/>
        <w:rPr>
          <w:i/>
          <w:spacing w:val="2"/>
        </w:rPr>
      </w:pPr>
      <w:r>
        <w:rPr>
          <w:i/>
        </w:rPr>
        <w:t>C.2</w:t>
      </w:r>
      <w:r w:rsidR="007D3501">
        <w:rPr>
          <w:i/>
        </w:rPr>
        <w:t xml:space="preserve">. Për </w:t>
      </w:r>
      <w:r w:rsidR="00871876">
        <w:rPr>
          <w:i/>
        </w:rPr>
        <w:t xml:space="preserve">pretendimin </w:t>
      </w:r>
      <w:r w:rsidR="008A7355">
        <w:rPr>
          <w:i/>
        </w:rPr>
        <w:t>e</w:t>
      </w:r>
      <w:r w:rsidR="00871876">
        <w:rPr>
          <w:i/>
        </w:rPr>
        <w:t xml:space="preserve"> </w:t>
      </w:r>
      <w:r w:rsidR="007D3501">
        <w:rPr>
          <w:i/>
        </w:rPr>
        <w:t>cenimi</w:t>
      </w:r>
      <w:r w:rsidR="008A7355">
        <w:rPr>
          <w:i/>
        </w:rPr>
        <w:t>t</w:t>
      </w:r>
      <w:r w:rsidR="007D3501">
        <w:rPr>
          <w:i/>
        </w:rPr>
        <w:t xml:space="preserve"> </w:t>
      </w:r>
      <w:r w:rsidR="008A7355">
        <w:rPr>
          <w:i/>
        </w:rPr>
        <w:t>të</w:t>
      </w:r>
      <w:r w:rsidR="007D3501">
        <w:rPr>
          <w:i/>
        </w:rPr>
        <w:t xml:space="preserve"> </w:t>
      </w:r>
      <w:r w:rsidR="00260D8A">
        <w:rPr>
          <w:i/>
        </w:rPr>
        <w:t xml:space="preserve">parimit të </w:t>
      </w:r>
      <w:r w:rsidR="00C610BC">
        <w:rPr>
          <w:i/>
        </w:rPr>
        <w:t>gjykatës së caktuar me ligj</w:t>
      </w:r>
    </w:p>
    <w:p w:rsidR="00AF0491" w:rsidRDefault="008D67A3" w:rsidP="00AF0491">
      <w:pPr>
        <w:pStyle w:val="ListParagraph"/>
        <w:numPr>
          <w:ilvl w:val="0"/>
          <w:numId w:val="1"/>
        </w:numPr>
        <w:tabs>
          <w:tab w:val="left" w:pos="1080"/>
        </w:tabs>
        <w:ind w:left="0" w:firstLine="720"/>
        <w:jc w:val="both"/>
        <w:rPr>
          <w:spacing w:val="2"/>
        </w:rPr>
      </w:pPr>
      <w:r>
        <w:t xml:space="preserve">Kërkuesi ka pretenduar </w:t>
      </w:r>
      <w:r>
        <w:rPr>
          <w:spacing w:val="2"/>
        </w:rPr>
        <w:t>se</w:t>
      </w:r>
      <w:r w:rsidR="00C610BC">
        <w:rPr>
          <w:spacing w:val="2"/>
        </w:rPr>
        <w:t xml:space="preserve"> procedimi i tre </w:t>
      </w:r>
      <w:r w:rsidR="00175607">
        <w:rPr>
          <w:spacing w:val="2"/>
        </w:rPr>
        <w:t xml:space="preserve">të </w:t>
      </w:r>
      <w:r w:rsidR="00C610BC">
        <w:rPr>
          <w:spacing w:val="2"/>
        </w:rPr>
        <w:t xml:space="preserve">bashkëpandehurve për veprën penale të parashikuar nga neni 258 i KP-së është i ndarë nga ai i tij dhe pretendimet e Prokurorisë së Posaçme dhe Gjykatës së Posaçme të Shkallës së Parë se procedimi duhej trajtuar sipas nenit 80 të KP-së janë të gabuara. Dyshimet e prokurorisë ndaj tij </w:t>
      </w:r>
      <w:r w:rsidR="001F0DFD">
        <w:rPr>
          <w:spacing w:val="2"/>
        </w:rPr>
        <w:t>kishin të bënin</w:t>
      </w:r>
      <w:r w:rsidR="00C610BC">
        <w:rPr>
          <w:spacing w:val="2"/>
        </w:rPr>
        <w:t xml:space="preserve"> me zbatimin e kontratës së prokurimit dhe jo me lidhjen e saj e përzgjedhjen e fituesit nga anëtarët e KVO-së. Këto veprimtari administrative janë tërësisht të ndara dhe nuk lidhen me njëra-tjetrën. Për rrjedhojë, gjykata që duhej të vlerësonte kërkesat e prokurorisë gjatë procesit duhej të ishte Gjykata e Rrethit Gjyqësor Tiranë</w:t>
      </w:r>
      <w:r w:rsidR="008A4C7A">
        <w:rPr>
          <w:spacing w:val="2"/>
        </w:rPr>
        <w:t>.</w:t>
      </w:r>
    </w:p>
    <w:p w:rsidR="008A4C7A" w:rsidRDefault="008A4C7A" w:rsidP="008A4C7A">
      <w:pPr>
        <w:pStyle w:val="ListParagraph"/>
        <w:numPr>
          <w:ilvl w:val="0"/>
          <w:numId w:val="1"/>
        </w:numPr>
        <w:tabs>
          <w:tab w:val="left" w:pos="1080"/>
        </w:tabs>
        <w:ind w:left="0" w:firstLine="720"/>
        <w:jc w:val="both"/>
      </w:pPr>
      <w:r>
        <w:t xml:space="preserve">Në jurisprudencën e saj </w:t>
      </w:r>
      <w:r w:rsidRPr="0003120C">
        <w:t xml:space="preserve">Gjykata ka theksuar se gjykimi nga një gjykatë e caktuar me ligj është një nga elementet e procesit të rregullt ligjor, i sanksionuar në nenin 42 të Kushtetutës dhe nenin 6 të KEDNJ-së. Ky </w:t>
      </w:r>
      <w:r w:rsidRPr="0003120C">
        <w:rPr>
          <w:rFonts w:eastAsia="Times New Roman"/>
        </w:rPr>
        <w:t>parim në jurisprudencën kushtetuese është trajtuar i lidhur</w:t>
      </w:r>
      <w:r w:rsidRPr="0003120C">
        <w:t xml:space="preserve"> me zgjidhjen e çështjeve nga organe të ngarkuara me ligj për të dhënë drejtësi, të cilat duhet të shqyrtojnë dhe të vendosin për çështje që janë në kompetencë të tyre, gjatë një procesi të zhvilluar </w:t>
      </w:r>
      <w:r w:rsidR="00B6386E">
        <w:t>sipas</w:t>
      </w:r>
      <w:r w:rsidRPr="0003120C">
        <w:t xml:space="preserve"> një procedur</w:t>
      </w:r>
      <w:r w:rsidR="00B6386E">
        <w:t>e</w:t>
      </w:r>
      <w:r w:rsidRPr="0003120C">
        <w:t xml:space="preserve"> ligjërisht të përcaktuar dhe në pajtim me rendin juridik. </w:t>
      </w:r>
      <w:r>
        <w:t>K</w:t>
      </w:r>
      <w:r w:rsidRPr="0003120C">
        <w:t xml:space="preserve">ëtë parim Gjykata e ka parë të lidhur ngushtë </w:t>
      </w:r>
      <w:r w:rsidRPr="0003120C">
        <w:rPr>
          <w:rFonts w:eastAsia="Times New Roman"/>
        </w:rPr>
        <w:t xml:space="preserve">edhe me përbërjen e trupit gjykues </w:t>
      </w:r>
      <w:r w:rsidRPr="0003120C">
        <w:t>të ngarkuar për shqyrtimin e çdo çështjeje konkrete</w:t>
      </w:r>
      <w:r>
        <w:t xml:space="preserve"> </w:t>
      </w:r>
      <w:r>
        <w:rPr>
          <w:i/>
        </w:rPr>
        <w:t>(shih vendimin nr. 15, datë 11.03.2021 të Gjykatës Kushtetuese)</w:t>
      </w:r>
      <w:r>
        <w:t xml:space="preserve">. </w:t>
      </w:r>
    </w:p>
    <w:p w:rsidR="008A4C7A" w:rsidRPr="00D85B9A" w:rsidRDefault="00340426" w:rsidP="008A4C7A">
      <w:pPr>
        <w:pStyle w:val="ListParagraph"/>
        <w:numPr>
          <w:ilvl w:val="0"/>
          <w:numId w:val="1"/>
        </w:numPr>
        <w:tabs>
          <w:tab w:val="left" w:pos="1080"/>
        </w:tabs>
        <w:ind w:left="0" w:firstLine="720"/>
        <w:jc w:val="both"/>
        <w:rPr>
          <w:spacing w:val="2"/>
        </w:rPr>
      </w:pPr>
      <w:r>
        <w:rPr>
          <w:spacing w:val="2"/>
        </w:rPr>
        <w:lastRenderedPageBreak/>
        <w:t>Kolegji vëren se s</w:t>
      </w:r>
      <w:r w:rsidR="008A4C7A" w:rsidRPr="008A4C7A">
        <w:rPr>
          <w:spacing w:val="2"/>
        </w:rPr>
        <w:t xml:space="preserve">ipas nenit 80, pika 1, të KPP-së, </w:t>
      </w:r>
      <w:r w:rsidR="008A4C7A">
        <w:rPr>
          <w:spacing w:val="2"/>
        </w:rPr>
        <w:t>n</w:t>
      </w:r>
      <w:r w:rsidR="008A4C7A" w:rsidRPr="008A4C7A">
        <w:rPr>
          <w:spacing w:val="2"/>
        </w:rPr>
        <w:t>ë rastet e procedimeve të lidhura ndërmjet tyre dhe që nuk mund të ndahen, nga të cilat një ose disa janë kompetencë e Gjykatës kundër Korrupsionit dhe Krimit të Organizuar dhe procedimet e tjera në kompetencë të gjykatave të tjera të shkallës së parë, kompetente është Gjykata kundër Korrupsionit dhe Krimit të Organizuar</w:t>
      </w:r>
      <w:r w:rsidR="008A4C7A">
        <w:rPr>
          <w:spacing w:val="2"/>
        </w:rPr>
        <w:t xml:space="preserve">. </w:t>
      </w:r>
      <w:r w:rsidR="00354D05">
        <w:rPr>
          <w:spacing w:val="2"/>
        </w:rPr>
        <w:t>Ndërkohë, neni</w:t>
      </w:r>
      <w:r w:rsidR="008A4C7A">
        <w:rPr>
          <w:spacing w:val="2"/>
        </w:rPr>
        <w:t xml:space="preserve"> 79 </w:t>
      </w:r>
      <w:r w:rsidR="00354D05">
        <w:rPr>
          <w:spacing w:val="2"/>
        </w:rPr>
        <w:t>i</w:t>
      </w:r>
      <w:r w:rsidR="008A4C7A">
        <w:rPr>
          <w:spacing w:val="2"/>
        </w:rPr>
        <w:t xml:space="preserve"> </w:t>
      </w:r>
      <w:r w:rsidR="008A4C7A" w:rsidRPr="00D85B9A">
        <w:rPr>
          <w:spacing w:val="2"/>
        </w:rPr>
        <w:t>KPP-së</w:t>
      </w:r>
      <w:r w:rsidR="00354D05" w:rsidRPr="00D85B9A">
        <w:rPr>
          <w:spacing w:val="2"/>
        </w:rPr>
        <w:t xml:space="preserve"> parashikon se</w:t>
      </w:r>
      <w:r w:rsidR="008A4C7A" w:rsidRPr="00D85B9A">
        <w:rPr>
          <w:spacing w:val="2"/>
        </w:rPr>
        <w:t xml:space="preserve"> organi procedues mund të vendosë bashkimin e procedimeve</w:t>
      </w:r>
      <w:r w:rsidR="0017244C">
        <w:rPr>
          <w:spacing w:val="2"/>
        </w:rPr>
        <w:t>, ndër të tjera,</w:t>
      </w:r>
      <w:r w:rsidR="008A4C7A" w:rsidRPr="00D85B9A">
        <w:rPr>
          <w:spacing w:val="2"/>
        </w:rPr>
        <w:t xml:space="preserve"> kur vepra penale për të cilën zhvillohet procedimi është kryer nga disa persona në bashkëpunim ndërmjet tyre. </w:t>
      </w:r>
      <w:r w:rsidR="00354D05" w:rsidRPr="00D85B9A">
        <w:rPr>
          <w:spacing w:val="2"/>
        </w:rPr>
        <w:t>Nga ana tjetër</w:t>
      </w:r>
      <w:r w:rsidR="00681727" w:rsidRPr="00D85B9A">
        <w:rPr>
          <w:spacing w:val="2"/>
        </w:rPr>
        <w:t xml:space="preserve">, sipas nenit </w:t>
      </w:r>
      <w:r w:rsidR="00354D05" w:rsidRPr="00D85B9A">
        <w:rPr>
          <w:spacing w:val="2"/>
        </w:rPr>
        <w:t xml:space="preserve">75/a të KPP-së, </w:t>
      </w:r>
      <w:r w:rsidR="00D85B9A" w:rsidRPr="00D85B9A">
        <w:rPr>
          <w:spacing w:val="2"/>
        </w:rPr>
        <w:t xml:space="preserve">në fuqi në kohën e marrjes së masës ndaj kërkuesit, </w:t>
      </w:r>
      <w:r w:rsidR="00354D05" w:rsidRPr="00D85B9A">
        <w:rPr>
          <w:spacing w:val="2"/>
        </w:rPr>
        <w:t>vepra penale e parashikuar nga neni 258</w:t>
      </w:r>
      <w:r w:rsidR="00876A62">
        <w:rPr>
          <w:spacing w:val="2"/>
        </w:rPr>
        <w:t>, paragrafi i dytë,</w:t>
      </w:r>
      <w:r w:rsidR="00354D05" w:rsidRPr="00D85B9A">
        <w:rPr>
          <w:spacing w:val="2"/>
        </w:rPr>
        <w:t xml:space="preserve"> i KP-së përfshihe</w:t>
      </w:r>
      <w:r w:rsidR="00CC226B">
        <w:rPr>
          <w:spacing w:val="2"/>
        </w:rPr>
        <w:t>j</w:t>
      </w:r>
      <w:r w:rsidR="00354D05" w:rsidRPr="00D85B9A">
        <w:rPr>
          <w:spacing w:val="2"/>
        </w:rPr>
        <w:t xml:space="preserve"> në kompetencën e prokurorisë dhe gjykatave të </w:t>
      </w:r>
      <w:r w:rsidR="00D81518" w:rsidRPr="00D85B9A">
        <w:rPr>
          <w:spacing w:val="2"/>
        </w:rPr>
        <w:t>p</w:t>
      </w:r>
      <w:r w:rsidR="00354D05" w:rsidRPr="00D85B9A">
        <w:rPr>
          <w:spacing w:val="2"/>
        </w:rPr>
        <w:t>osaçme.</w:t>
      </w:r>
    </w:p>
    <w:p w:rsidR="008A4C7A" w:rsidRPr="008A4C7A" w:rsidRDefault="008A4C7A" w:rsidP="008A4C7A">
      <w:pPr>
        <w:pStyle w:val="ListParagraph"/>
        <w:numPr>
          <w:ilvl w:val="0"/>
          <w:numId w:val="1"/>
        </w:numPr>
        <w:tabs>
          <w:tab w:val="left" w:pos="1080"/>
        </w:tabs>
        <w:ind w:left="0" w:firstLine="720"/>
        <w:jc w:val="both"/>
        <w:rPr>
          <w:spacing w:val="2"/>
        </w:rPr>
      </w:pPr>
      <w:r w:rsidRPr="00D85B9A">
        <w:rPr>
          <w:spacing w:val="2"/>
        </w:rPr>
        <w:t xml:space="preserve">Në rastin konkret, </w:t>
      </w:r>
      <w:r w:rsidR="0017244C">
        <w:rPr>
          <w:spacing w:val="2"/>
        </w:rPr>
        <w:t xml:space="preserve">Kolegji </w:t>
      </w:r>
      <w:r w:rsidR="001902C4">
        <w:rPr>
          <w:spacing w:val="2"/>
        </w:rPr>
        <w:t>vëren</w:t>
      </w:r>
      <w:r w:rsidR="0017244C">
        <w:rPr>
          <w:spacing w:val="2"/>
        </w:rPr>
        <w:t xml:space="preserve"> se </w:t>
      </w:r>
      <w:r w:rsidRPr="00D85B9A">
        <w:rPr>
          <w:spacing w:val="2"/>
        </w:rPr>
        <w:t>kërkuesi është</w:t>
      </w:r>
      <w:r>
        <w:rPr>
          <w:spacing w:val="2"/>
        </w:rPr>
        <w:t xml:space="preserve"> hetuar për veprën penale </w:t>
      </w:r>
      <w:r w:rsidR="00060CF9">
        <w:rPr>
          <w:spacing w:val="2"/>
        </w:rPr>
        <w:t xml:space="preserve">“Shpërdorimi i detyrës”, të parashikuar nga neni 248 i KP-së, ndërsa të bashkëpandehurit e tjerë për veprën penale “Shkelja e barazisë së pjesëmarrësve në </w:t>
      </w:r>
      <w:proofErr w:type="spellStart"/>
      <w:r w:rsidR="00060CF9">
        <w:rPr>
          <w:spacing w:val="2"/>
        </w:rPr>
        <w:t>tendera</w:t>
      </w:r>
      <w:proofErr w:type="spellEnd"/>
      <w:r w:rsidR="00060CF9">
        <w:rPr>
          <w:spacing w:val="2"/>
        </w:rPr>
        <w:t xml:space="preserve"> apo ankande publike”, </w:t>
      </w:r>
      <w:r w:rsidR="00880868">
        <w:rPr>
          <w:spacing w:val="2"/>
        </w:rPr>
        <w:t xml:space="preserve">në bashkëpunim, </w:t>
      </w:r>
      <w:r w:rsidR="00060CF9">
        <w:rPr>
          <w:spacing w:val="2"/>
        </w:rPr>
        <w:t>të parashikuar nga nen</w:t>
      </w:r>
      <w:r w:rsidR="00880868">
        <w:rPr>
          <w:spacing w:val="2"/>
        </w:rPr>
        <w:t>et</w:t>
      </w:r>
      <w:r w:rsidR="00060CF9">
        <w:rPr>
          <w:spacing w:val="2"/>
        </w:rPr>
        <w:t xml:space="preserve"> 258</w:t>
      </w:r>
      <w:r w:rsidR="00880868">
        <w:rPr>
          <w:spacing w:val="2"/>
        </w:rPr>
        <w:t xml:space="preserve"> dhe 25</w:t>
      </w:r>
      <w:r w:rsidR="009A43A1">
        <w:rPr>
          <w:spacing w:val="2"/>
        </w:rPr>
        <w:t xml:space="preserve"> </w:t>
      </w:r>
      <w:r w:rsidR="00880868">
        <w:rPr>
          <w:spacing w:val="2"/>
        </w:rPr>
        <w:t>të</w:t>
      </w:r>
      <w:r w:rsidR="00060CF9">
        <w:rPr>
          <w:spacing w:val="2"/>
        </w:rPr>
        <w:t xml:space="preserve"> KP-së. Në thelb të </w:t>
      </w:r>
      <w:r w:rsidR="0077222F">
        <w:rPr>
          <w:spacing w:val="2"/>
        </w:rPr>
        <w:t>procedimit</w:t>
      </w:r>
      <w:r w:rsidR="00060CF9">
        <w:rPr>
          <w:spacing w:val="2"/>
        </w:rPr>
        <w:t xml:space="preserve"> penal për të dy</w:t>
      </w:r>
      <w:r w:rsidR="00242039">
        <w:rPr>
          <w:spacing w:val="2"/>
        </w:rPr>
        <w:t>ja</w:t>
      </w:r>
      <w:r w:rsidR="00060CF9">
        <w:rPr>
          <w:spacing w:val="2"/>
        </w:rPr>
        <w:t xml:space="preserve"> vepra</w:t>
      </w:r>
      <w:r w:rsidR="003058A7">
        <w:rPr>
          <w:spacing w:val="2"/>
        </w:rPr>
        <w:t>t</w:t>
      </w:r>
      <w:r w:rsidR="00060CF9">
        <w:rPr>
          <w:spacing w:val="2"/>
        </w:rPr>
        <w:t xml:space="preserve"> kanë qenë procedurat e ndjekura nga kërkuesi dhe të bashkëpandehurit e tjerë në lidhje me zhvillimin e tenderit dhe shpalljen e fituesit për procedurat për hapjen e kanalit televiziv “RTSH </w:t>
      </w:r>
      <w:proofErr w:type="spellStart"/>
      <w:r w:rsidR="00060CF9">
        <w:rPr>
          <w:spacing w:val="2"/>
        </w:rPr>
        <w:t>Agro</w:t>
      </w:r>
      <w:proofErr w:type="spellEnd"/>
      <w:r w:rsidR="00060CF9">
        <w:rPr>
          <w:spacing w:val="2"/>
        </w:rPr>
        <w:t>”. Organi procedues dhe gjykatat kanë vlerësuar se, si të tilla, hetimet për veprimet e kryera nga kërkuesi dhe të bashkëpandehurit kishin të bënin me procedime të lidhur</w:t>
      </w:r>
      <w:r w:rsidR="00ED1D63">
        <w:rPr>
          <w:spacing w:val="2"/>
        </w:rPr>
        <w:t>a</w:t>
      </w:r>
      <w:r w:rsidR="00060CF9">
        <w:rPr>
          <w:spacing w:val="2"/>
        </w:rPr>
        <w:t xml:space="preserve"> ndërmjet tyre dhe që nuk mund të ndaheshin, duke vlerësuar se kompetente për gjykimin e masave të sigurisë ndaj </w:t>
      </w:r>
      <w:r w:rsidR="00880868">
        <w:rPr>
          <w:spacing w:val="2"/>
        </w:rPr>
        <w:t>tyre</w:t>
      </w:r>
      <w:r w:rsidR="00060CF9">
        <w:rPr>
          <w:spacing w:val="2"/>
        </w:rPr>
        <w:t xml:space="preserve"> ishin gjykatat e posaçme </w:t>
      </w:r>
      <w:r w:rsidR="00060CF9">
        <w:rPr>
          <w:i/>
          <w:spacing w:val="2"/>
        </w:rPr>
        <w:t xml:space="preserve">(shih kërkesën e Prokurorisë së Posaçme datë 05.10.2021 </w:t>
      </w:r>
      <w:r w:rsidR="00681727">
        <w:rPr>
          <w:i/>
          <w:spacing w:val="2"/>
        </w:rPr>
        <w:t xml:space="preserve">drejtuar Gjykatës së Posaçme për marrjen e masës ndaj kërkuesit, faqet </w:t>
      </w:r>
      <w:r w:rsidR="003058A7">
        <w:rPr>
          <w:i/>
          <w:spacing w:val="2"/>
        </w:rPr>
        <w:t xml:space="preserve">2 dhe </w:t>
      </w:r>
      <w:r w:rsidR="00681727">
        <w:rPr>
          <w:i/>
          <w:spacing w:val="2"/>
        </w:rPr>
        <w:t xml:space="preserve">13-14; vendimin nr. 79, datë 07.10.2021 të Gjykatës së Posaçme të Shkallës së Parë, faqja 2; vendimin nr. 80, datë 11.10.2021 të Gjykatës së Posaçme të Shkallës së Parë, faqja 3, paragrafi i dytë; </w:t>
      </w:r>
      <w:r w:rsidR="008C1B76">
        <w:rPr>
          <w:i/>
          <w:spacing w:val="2"/>
        </w:rPr>
        <w:t>vendimin nr. 40, datë 30.10.2021 të Gjykatës së Posaçme të Apelit, faqja 7; vendimin nr. 00-2022-184, datë 27.01.2022 të Gjykatës së Lartë, faqja 15, paragrafi 22)</w:t>
      </w:r>
      <w:r w:rsidR="00060CF9">
        <w:rPr>
          <w:spacing w:val="2"/>
        </w:rPr>
        <w:t xml:space="preserve">. </w:t>
      </w:r>
      <w:r w:rsidR="00ED1D63">
        <w:rPr>
          <w:spacing w:val="2"/>
        </w:rPr>
        <w:t xml:space="preserve">Në këtë kuptim, </w:t>
      </w:r>
      <w:r w:rsidR="0099291C">
        <w:rPr>
          <w:spacing w:val="2"/>
        </w:rPr>
        <w:t xml:space="preserve">Kolegji çmon se </w:t>
      </w:r>
      <w:r w:rsidR="006D74F0">
        <w:rPr>
          <w:spacing w:val="2"/>
        </w:rPr>
        <w:t>p</w:t>
      </w:r>
      <w:r w:rsidR="00ED1D63">
        <w:rPr>
          <w:spacing w:val="2"/>
        </w:rPr>
        <w:t xml:space="preserve">rokuroria dhe gjykatat e posaçme </w:t>
      </w:r>
      <w:r w:rsidR="0099291C">
        <w:rPr>
          <w:spacing w:val="2"/>
        </w:rPr>
        <w:t xml:space="preserve">kanë </w:t>
      </w:r>
      <w:r w:rsidR="00ED1D63">
        <w:rPr>
          <w:spacing w:val="2"/>
        </w:rPr>
        <w:t xml:space="preserve">vepruar në </w:t>
      </w:r>
      <w:r w:rsidR="0099291C">
        <w:rPr>
          <w:spacing w:val="2"/>
        </w:rPr>
        <w:t xml:space="preserve">përputhje </w:t>
      </w:r>
      <w:r w:rsidR="00ED1D63">
        <w:rPr>
          <w:spacing w:val="2"/>
        </w:rPr>
        <w:t xml:space="preserve">me kompetencat e tyre lëndore në hetimin dhe gjykimin e çështjes së </w:t>
      </w:r>
      <w:r w:rsidR="007562EB">
        <w:rPr>
          <w:spacing w:val="2"/>
        </w:rPr>
        <w:t>tij</w:t>
      </w:r>
      <w:r w:rsidR="00ED1D63">
        <w:rPr>
          <w:spacing w:val="2"/>
        </w:rPr>
        <w:t xml:space="preserve">. </w:t>
      </w:r>
    </w:p>
    <w:p w:rsidR="001C0FB7" w:rsidRPr="00AF0491" w:rsidRDefault="001C0FB7" w:rsidP="00E331E8">
      <w:pPr>
        <w:pStyle w:val="ListParagraph"/>
        <w:numPr>
          <w:ilvl w:val="0"/>
          <w:numId w:val="1"/>
        </w:numPr>
        <w:tabs>
          <w:tab w:val="left" w:pos="1080"/>
        </w:tabs>
        <w:ind w:left="0" w:firstLine="720"/>
        <w:jc w:val="both"/>
        <w:rPr>
          <w:spacing w:val="2"/>
        </w:rPr>
      </w:pPr>
      <w:r w:rsidRPr="00AF0491">
        <w:rPr>
          <w:spacing w:val="2"/>
        </w:rPr>
        <w:t xml:space="preserve">Për </w:t>
      </w:r>
      <w:r w:rsidR="008C3C3D">
        <w:rPr>
          <w:spacing w:val="2"/>
        </w:rPr>
        <w:t>sa më lart</w:t>
      </w:r>
      <w:r w:rsidRPr="00AF0491">
        <w:rPr>
          <w:spacing w:val="2"/>
        </w:rPr>
        <w:t xml:space="preserve">, </w:t>
      </w:r>
      <w:r w:rsidR="0099291C">
        <w:rPr>
          <w:spacing w:val="2"/>
        </w:rPr>
        <w:t>Kolegji vlerëson</w:t>
      </w:r>
      <w:r w:rsidR="008C3C3D">
        <w:rPr>
          <w:spacing w:val="2"/>
        </w:rPr>
        <w:t xml:space="preserve"> se </w:t>
      </w:r>
      <w:r w:rsidRPr="00AF0491">
        <w:rPr>
          <w:spacing w:val="2"/>
        </w:rPr>
        <w:t xml:space="preserve">pretendimi i kërkuesit për cenimin e </w:t>
      </w:r>
      <w:r w:rsidR="008C3C3D">
        <w:rPr>
          <w:spacing w:val="2"/>
        </w:rPr>
        <w:t>parimit të gjykatës së caktuar me ligj</w:t>
      </w:r>
      <w:r w:rsidRPr="00AF0491">
        <w:rPr>
          <w:spacing w:val="2"/>
        </w:rPr>
        <w:t xml:space="preserve"> është haptazi i pabazuar.</w:t>
      </w:r>
    </w:p>
    <w:p w:rsidR="009B07B1" w:rsidRDefault="009B07B1" w:rsidP="008D67A3">
      <w:pPr>
        <w:pStyle w:val="ListParagraph"/>
        <w:tabs>
          <w:tab w:val="left" w:pos="1080"/>
        </w:tabs>
        <w:jc w:val="both"/>
        <w:rPr>
          <w:i/>
        </w:rPr>
      </w:pPr>
    </w:p>
    <w:p w:rsidR="008D67A3" w:rsidRPr="008D67A3" w:rsidRDefault="008C3C3D" w:rsidP="008D67A3">
      <w:pPr>
        <w:pStyle w:val="ListParagraph"/>
        <w:tabs>
          <w:tab w:val="left" w:pos="1080"/>
        </w:tabs>
        <w:jc w:val="both"/>
        <w:rPr>
          <w:i/>
          <w:spacing w:val="2"/>
        </w:rPr>
      </w:pPr>
      <w:r>
        <w:rPr>
          <w:i/>
        </w:rPr>
        <w:t>C.3</w:t>
      </w:r>
      <w:r w:rsidR="008D67A3">
        <w:rPr>
          <w:i/>
        </w:rPr>
        <w:t xml:space="preserve">. Për </w:t>
      </w:r>
      <w:r w:rsidR="00871876">
        <w:rPr>
          <w:i/>
        </w:rPr>
        <w:t xml:space="preserve">pretendimin </w:t>
      </w:r>
      <w:r w:rsidR="00242039">
        <w:rPr>
          <w:i/>
        </w:rPr>
        <w:t>e</w:t>
      </w:r>
      <w:r w:rsidR="00871876">
        <w:rPr>
          <w:i/>
        </w:rPr>
        <w:t xml:space="preserve"> </w:t>
      </w:r>
      <w:r w:rsidR="008D67A3">
        <w:rPr>
          <w:i/>
        </w:rPr>
        <w:t>cenimi</w:t>
      </w:r>
      <w:r w:rsidR="00242039">
        <w:rPr>
          <w:i/>
        </w:rPr>
        <w:t>t</w:t>
      </w:r>
      <w:r w:rsidR="008D67A3">
        <w:rPr>
          <w:i/>
        </w:rPr>
        <w:t xml:space="preserve"> </w:t>
      </w:r>
      <w:r w:rsidR="00242039">
        <w:rPr>
          <w:i/>
        </w:rPr>
        <w:t>të</w:t>
      </w:r>
      <w:r w:rsidR="008D67A3">
        <w:rPr>
          <w:i/>
        </w:rPr>
        <w:t xml:space="preserve"> standardit të arsyetimit të vendimit </w:t>
      </w:r>
    </w:p>
    <w:p w:rsidR="008D67A3" w:rsidRPr="001B29D6" w:rsidRDefault="008D67A3" w:rsidP="004E264D">
      <w:pPr>
        <w:pStyle w:val="ListParagraph"/>
        <w:numPr>
          <w:ilvl w:val="0"/>
          <w:numId w:val="1"/>
        </w:numPr>
        <w:tabs>
          <w:tab w:val="left" w:pos="1080"/>
        </w:tabs>
        <w:ind w:left="0" w:firstLine="720"/>
        <w:jc w:val="both"/>
        <w:rPr>
          <w:spacing w:val="2"/>
        </w:rPr>
      </w:pPr>
      <w:r>
        <w:t>Kërkuesi ka pretenduar se</w:t>
      </w:r>
      <w:r w:rsidR="008C3C3D">
        <w:t xml:space="preserve"> </w:t>
      </w:r>
      <w:r w:rsidR="008C3C3D" w:rsidRPr="00560526">
        <w:t xml:space="preserve">gjykatat janë kufizuar në përsëritjen në mënyrë abstrakte dhe </w:t>
      </w:r>
      <w:proofErr w:type="spellStart"/>
      <w:r w:rsidR="00E7516D" w:rsidRPr="00560526">
        <w:t>stereotip</w:t>
      </w:r>
      <w:r w:rsidR="00E7516D">
        <w:t>e</w:t>
      </w:r>
      <w:proofErr w:type="spellEnd"/>
      <w:r w:rsidR="008C3C3D" w:rsidRPr="00560526">
        <w:t xml:space="preserve"> të vendimeve të tyre për kushtet formale të paraburgimit, pa asnjë analizë </w:t>
      </w:r>
      <w:proofErr w:type="spellStart"/>
      <w:r w:rsidR="008C3C3D" w:rsidRPr="00560526">
        <w:lastRenderedPageBreak/>
        <w:t>ezauruese</w:t>
      </w:r>
      <w:proofErr w:type="spellEnd"/>
      <w:r w:rsidR="008C3C3D" w:rsidRPr="00560526">
        <w:t xml:space="preserve"> dhe reale të kushteve dhe kritereve të parashikuara nga neni 228, pika 1, i KPP-së, si dhe pa treguar se si ato zbatohen në rastin e tij.</w:t>
      </w:r>
      <w:r w:rsidR="008C3C3D">
        <w:t xml:space="preserve"> Gjykatat nuk kanë bërë asnjë arsyetim </w:t>
      </w:r>
      <w:r w:rsidR="009747BF">
        <w:t>se përse</w:t>
      </w:r>
      <w:r w:rsidR="008C3C3D">
        <w:t xml:space="preserve"> masat e tjera të sigurimit personal ishin të papërshtatshme në rrethanat konkrete, ndërsa Gjykata e Lartë nuk i ka dhënë përgjigje pretendimeve të tij të ngritura në rekurs</w:t>
      </w:r>
      <w:r>
        <w:t>.</w:t>
      </w:r>
    </w:p>
    <w:p w:rsidR="008C3C3D" w:rsidRPr="008C3C3D" w:rsidRDefault="000F7218" w:rsidP="001B29D6">
      <w:pPr>
        <w:pStyle w:val="ListParagraph"/>
        <w:numPr>
          <w:ilvl w:val="0"/>
          <w:numId w:val="1"/>
        </w:numPr>
        <w:tabs>
          <w:tab w:val="left" w:pos="1080"/>
        </w:tabs>
        <w:ind w:left="0" w:firstLine="720"/>
        <w:jc w:val="both"/>
        <w:rPr>
          <w:spacing w:val="2"/>
        </w:rPr>
      </w:pPr>
      <w:r>
        <w:t>Kolegji thekson se p</w:t>
      </w:r>
      <w:r w:rsidR="008C3C3D">
        <w:t>rocedurat gjyqësore për caktimin e</w:t>
      </w:r>
      <w:r w:rsidR="008C3C3D" w:rsidRPr="00D216F6">
        <w:t xml:space="preserve"> </w:t>
      </w:r>
      <w:r w:rsidR="008C3C3D">
        <w:t>masave</w:t>
      </w:r>
      <w:r w:rsidR="008C3C3D" w:rsidRPr="00D216F6">
        <w:t xml:space="preserve"> </w:t>
      </w:r>
      <w:r w:rsidR="008C3C3D">
        <w:t>të</w:t>
      </w:r>
      <w:r w:rsidR="008C3C3D" w:rsidRPr="00D216F6">
        <w:t xml:space="preserve"> sigurimit, veçanërisht atyre të arrestit, janë drejtpërdrejt të lidhura me respektimin e të drejtave </w:t>
      </w:r>
      <w:r w:rsidR="008C3C3D">
        <w:t>dhe lirive themelore të njeriut, konkretisht me lirinë e personit. Si të tilla, ato</w:t>
      </w:r>
      <w:r w:rsidR="008C3C3D" w:rsidRPr="00D216F6">
        <w:t xml:space="preserve"> </w:t>
      </w:r>
      <w:r w:rsidR="008C3C3D" w:rsidRPr="00DD6B77">
        <w:t>duhet të kenë karakter gjyqësor dhe të sigurojnë garancitë e duhura sipas llojit të privimit të lirisë, përfshirë edhe standardin e arsyetimit të vendimit</w:t>
      </w:r>
      <w:r w:rsidR="008C3C3D">
        <w:t>.</w:t>
      </w:r>
    </w:p>
    <w:p w:rsidR="001B29D6" w:rsidRPr="001B29D6" w:rsidRDefault="00C04EFE" w:rsidP="001B29D6">
      <w:pPr>
        <w:pStyle w:val="ListParagraph"/>
        <w:numPr>
          <w:ilvl w:val="0"/>
          <w:numId w:val="1"/>
        </w:numPr>
        <w:tabs>
          <w:tab w:val="left" w:pos="1080"/>
        </w:tabs>
        <w:ind w:left="0" w:firstLine="720"/>
        <w:jc w:val="both"/>
        <w:rPr>
          <w:spacing w:val="2"/>
        </w:rPr>
      </w:pPr>
      <w:r>
        <w:rPr>
          <w:lang w:eastAsia="fr-FR"/>
        </w:rPr>
        <w:t>Sipas</w:t>
      </w:r>
      <w:r w:rsidR="008C3C3D" w:rsidRPr="00560526">
        <w:rPr>
          <w:lang w:eastAsia="fr-FR"/>
        </w:rPr>
        <w:t xml:space="preserve"> </w:t>
      </w:r>
      <w:r>
        <w:rPr>
          <w:lang w:eastAsia="fr-FR"/>
        </w:rPr>
        <w:t>Gjykatës,</w:t>
      </w:r>
      <w:r w:rsidR="000F7218" w:rsidRPr="00560526">
        <w:rPr>
          <w:lang w:eastAsia="fr-FR"/>
        </w:rPr>
        <w:t xml:space="preserve"> </w:t>
      </w:r>
      <w:r w:rsidR="008C3C3D" w:rsidRPr="00560526">
        <w:rPr>
          <w:rFonts w:eastAsia="Times New Roman"/>
        </w:rPr>
        <w:t>e drejta për një proces të rregullt ligjor përfshin edhe të drejtën për të pasur një vendim gjyqësor të arsyetuar, që i garantohet individit nga nenet 42 dhe 142, pika 1, të Kushtetutës.</w:t>
      </w:r>
      <w:r w:rsidR="008C3C3D" w:rsidRPr="00560526">
        <w:rPr>
          <w:rFonts w:eastAsia="Times New Roman"/>
          <w:bCs/>
        </w:rPr>
        <w:t xml:space="preserve"> </w:t>
      </w:r>
      <w:r w:rsidR="008C3C3D" w:rsidRPr="00560526">
        <w:rPr>
          <w:rFonts w:eastAsia="Times New Roman"/>
        </w:rPr>
        <w:t xml:space="preserve">Arsyetimi i vendimeve është element thelbësor i një vendimi të drejtë. </w:t>
      </w:r>
      <w:r w:rsidR="008C3C3D" w:rsidRPr="00560526">
        <w:rPr>
          <w:rFonts w:eastAsia="Times New Roman"/>
          <w:bCs/>
        </w:rPr>
        <w:t>Funksioni i një vendimi të arsyetuar është t’u tregojë palëve që ato janë dëgjuar,</w:t>
      </w:r>
      <w:r w:rsidR="008C3C3D" w:rsidRPr="00560526">
        <w:rPr>
          <w:rFonts w:eastAsia="Times New Roman"/>
        </w:rPr>
        <w:t xml:space="preserve"> si dhe u jep mundësinë atyre ta kundërshtojnë atë </w:t>
      </w:r>
      <w:r w:rsidR="008C3C3D" w:rsidRPr="00560526">
        <w:rPr>
          <w:rFonts w:eastAsia="Times New Roman"/>
          <w:i/>
        </w:rPr>
        <w:t xml:space="preserve">(shih vendimin nr. </w:t>
      </w:r>
      <w:r w:rsidR="00050C33">
        <w:rPr>
          <w:rFonts w:eastAsia="Times New Roman"/>
          <w:i/>
        </w:rPr>
        <w:t>21</w:t>
      </w:r>
      <w:r w:rsidR="008C3C3D" w:rsidRPr="00560526">
        <w:rPr>
          <w:rFonts w:eastAsia="Times New Roman"/>
          <w:i/>
        </w:rPr>
        <w:t xml:space="preserve">, datë </w:t>
      </w:r>
      <w:r w:rsidR="00050C33">
        <w:rPr>
          <w:rFonts w:eastAsia="Times New Roman"/>
          <w:i/>
        </w:rPr>
        <w:t>26</w:t>
      </w:r>
      <w:r w:rsidR="008C3C3D" w:rsidRPr="00560526">
        <w:rPr>
          <w:rFonts w:eastAsia="Times New Roman"/>
          <w:i/>
        </w:rPr>
        <w:t>.0</w:t>
      </w:r>
      <w:r w:rsidR="00050C33">
        <w:rPr>
          <w:rFonts w:eastAsia="Times New Roman"/>
          <w:i/>
        </w:rPr>
        <w:t>9</w:t>
      </w:r>
      <w:r w:rsidR="008C3C3D" w:rsidRPr="00560526">
        <w:rPr>
          <w:rFonts w:eastAsia="Times New Roman"/>
          <w:i/>
        </w:rPr>
        <w:t>.202</w:t>
      </w:r>
      <w:r w:rsidR="00050C33">
        <w:rPr>
          <w:rFonts w:eastAsia="Times New Roman"/>
          <w:i/>
        </w:rPr>
        <w:t>2</w:t>
      </w:r>
      <w:r w:rsidR="008C3C3D" w:rsidRPr="00560526">
        <w:rPr>
          <w:rFonts w:eastAsia="Times New Roman"/>
          <w:i/>
        </w:rPr>
        <w:t xml:space="preserve"> të Gjykatës Kushtetuese)</w:t>
      </w:r>
      <w:r w:rsidR="001B29D6">
        <w:rPr>
          <w:i/>
        </w:rPr>
        <w:t>.</w:t>
      </w:r>
    </w:p>
    <w:p w:rsidR="001B29D6" w:rsidRPr="008C3C3D" w:rsidRDefault="008C3C3D" w:rsidP="001B29D6">
      <w:pPr>
        <w:pStyle w:val="ListParagraph"/>
        <w:numPr>
          <w:ilvl w:val="0"/>
          <w:numId w:val="1"/>
        </w:numPr>
        <w:tabs>
          <w:tab w:val="left" w:pos="1080"/>
        </w:tabs>
        <w:ind w:left="0" w:firstLine="720"/>
        <w:jc w:val="both"/>
        <w:rPr>
          <w:spacing w:val="2"/>
        </w:rPr>
      </w:pPr>
      <w:r w:rsidRPr="00560526">
        <w:rPr>
          <w:rFonts w:eastAsia="Times New Roman"/>
        </w:rPr>
        <w:t>Gjykata ka theksuar domosdoshmërinë e arsyetimit të vendimeve gjyqësore si një garanci për procesin e rregullt ligjor. Vendimi duhet të mbështetet vetëm mbi faktet që janë paraqitur gjatë procesit gjyqësor dhe duhet të përmbajë bazën ligjore mbi të cilën bazohet zgjidhja e mosmarrëveshjes, analizën e provave dhe mënyrën e zgjidhjes së mosmarrëveshjes. Vendimi gjyqësor</w:t>
      </w:r>
      <w:r w:rsidR="00D92606">
        <w:rPr>
          <w:rFonts w:eastAsia="Times New Roman"/>
        </w:rPr>
        <w:t>,</w:t>
      </w:r>
      <w:r w:rsidRPr="00560526">
        <w:rPr>
          <w:rFonts w:eastAsia="Times New Roman"/>
        </w:rPr>
        <w:t xml:space="preserve"> në çdo rast</w:t>
      </w:r>
      <w:r w:rsidR="00D92606">
        <w:rPr>
          <w:rFonts w:eastAsia="Times New Roman"/>
        </w:rPr>
        <w:t>,</w:t>
      </w:r>
      <w:r w:rsidRPr="00560526">
        <w:rPr>
          <w:rFonts w:eastAsia="Times New Roman"/>
        </w:rPr>
        <w:t xml:space="preserve"> duhet të jetë logjik, i rregullt në formë dhe i qartë në përmbajtje. Në tërësinë e tij ai duhet konsideruar si një unitet, në të cilin pjesët përbërëse janë të lidhura ngushtësisht mes tyre dhe ato duhet të jenë në shërbim dhe funksion të njëra-tjetrës. Argumentet e pjesës arsyetuese duhet të jenë të bazuara dhe të lidhura logjikisht, duke respektuar rregullat e mendimit të drejtë dhe duhet të formojnë një përmbajtje koherente brenda vendimit, i cili përjashton çdo kundërthënie ose </w:t>
      </w:r>
      <w:proofErr w:type="spellStart"/>
      <w:r w:rsidRPr="00560526">
        <w:rPr>
          <w:rFonts w:eastAsia="Times New Roman"/>
        </w:rPr>
        <w:t>kontradiksion</w:t>
      </w:r>
      <w:proofErr w:type="spellEnd"/>
      <w:r w:rsidRPr="00560526">
        <w:rPr>
          <w:rFonts w:eastAsia="Times New Roman"/>
        </w:rPr>
        <w:t xml:space="preserve"> të hapur ose të fshehtë </w:t>
      </w:r>
      <w:r w:rsidRPr="00560526">
        <w:rPr>
          <w:rFonts w:eastAsia="Times New Roman"/>
          <w:i/>
        </w:rPr>
        <w:t>(shih vendimin nr. 16, datë 16.03.2021 të Gjykatës Kushtetuese)</w:t>
      </w:r>
      <w:r>
        <w:rPr>
          <w:rFonts w:eastAsia="Times New Roman"/>
        </w:rPr>
        <w:t>.</w:t>
      </w:r>
    </w:p>
    <w:p w:rsidR="008C3C3D" w:rsidRPr="001B29D6" w:rsidRDefault="008C3C3D" w:rsidP="001B29D6">
      <w:pPr>
        <w:pStyle w:val="ListParagraph"/>
        <w:numPr>
          <w:ilvl w:val="0"/>
          <w:numId w:val="1"/>
        </w:numPr>
        <w:tabs>
          <w:tab w:val="left" w:pos="1080"/>
        </w:tabs>
        <w:ind w:left="0" w:firstLine="720"/>
        <w:jc w:val="both"/>
        <w:rPr>
          <w:spacing w:val="2"/>
        </w:rPr>
      </w:pPr>
      <w:r w:rsidRPr="00560526">
        <w:rPr>
          <w:rFonts w:eastAsia="Times New Roman"/>
        </w:rPr>
        <w:t>Zbatimi i këtij parimi është vlerësuar nga Gjykata rast pas rasti, në varësi të rrethanave konkrete të çështjes, duke analizuar nëse vendimet gjyqësore të kundërshtuara e kanë përmbushur në mënyrë të mjaftueshme detyrimin për arsyetimin e vendimeve të tyre. N</w:t>
      </w:r>
      <w:r w:rsidRPr="00560526">
        <w:rPr>
          <w:rFonts w:eastAsia="Times New Roman"/>
          <w:bCs/>
        </w:rPr>
        <w:t xml:space="preserve">ë aspektin e kontrollit kushtetues, Gjykata verifikon nëse arsyetimi i vendimit gjyqësor i ka plotësuar ose jo kriteret e përcaktuara më sipër, të cilat garantojnë të drejtën për të pasur një vendim gjyqësor të arsyetuar </w:t>
      </w:r>
      <w:r w:rsidR="00CE618F">
        <w:rPr>
          <w:rFonts w:eastAsia="Times New Roman"/>
          <w:i/>
        </w:rPr>
        <w:t>(shih vendimet nr. 21, datë 26.09.2022;</w:t>
      </w:r>
      <w:r w:rsidRPr="00560526">
        <w:rPr>
          <w:rFonts w:eastAsia="Times New Roman"/>
          <w:i/>
        </w:rPr>
        <w:t xml:space="preserve"> </w:t>
      </w:r>
      <w:r w:rsidR="00C96D07" w:rsidRPr="00C96D07">
        <w:rPr>
          <w:rFonts w:eastAsia="Times New Roman"/>
          <w:bCs/>
          <w:i/>
        </w:rPr>
        <w:t>nr. 6, datë 16.02.2021</w:t>
      </w:r>
      <w:r w:rsidRPr="00560526">
        <w:rPr>
          <w:rFonts w:eastAsia="Times New Roman"/>
          <w:i/>
        </w:rPr>
        <w:t xml:space="preserve"> të Gjykatës Kushtetuese)</w:t>
      </w:r>
      <w:r>
        <w:rPr>
          <w:rFonts w:eastAsia="Times New Roman"/>
        </w:rPr>
        <w:t>.</w:t>
      </w:r>
    </w:p>
    <w:p w:rsidR="001C0FB7" w:rsidRPr="00AF0491" w:rsidRDefault="001B29D6" w:rsidP="00E331E8">
      <w:pPr>
        <w:pStyle w:val="ListParagraph"/>
        <w:numPr>
          <w:ilvl w:val="0"/>
          <w:numId w:val="1"/>
        </w:numPr>
        <w:tabs>
          <w:tab w:val="left" w:pos="1080"/>
        </w:tabs>
        <w:ind w:left="0" w:firstLine="720"/>
        <w:jc w:val="both"/>
        <w:rPr>
          <w:spacing w:val="2"/>
        </w:rPr>
      </w:pPr>
      <w:r w:rsidRPr="00AF0491">
        <w:rPr>
          <w:spacing w:val="2"/>
        </w:rPr>
        <w:lastRenderedPageBreak/>
        <w:t>Në ra</w:t>
      </w:r>
      <w:r w:rsidR="00AF0491">
        <w:rPr>
          <w:spacing w:val="2"/>
        </w:rPr>
        <w:t xml:space="preserve">stin në shqyrtim, </w:t>
      </w:r>
      <w:r w:rsidR="00C96D07">
        <w:rPr>
          <w:spacing w:val="2"/>
        </w:rPr>
        <w:t xml:space="preserve">Kolegji vlerëson se </w:t>
      </w:r>
      <w:r w:rsidR="008C3C3D">
        <w:rPr>
          <w:spacing w:val="2"/>
        </w:rPr>
        <w:t xml:space="preserve">në kundërshtim me sa pretendohet, në vendimmarrjet e tyre Gjykata e Posaçme e Shkallës së Parë dhe ajo e </w:t>
      </w:r>
      <w:r w:rsidR="00933834">
        <w:rPr>
          <w:spacing w:val="2"/>
        </w:rPr>
        <w:t>a</w:t>
      </w:r>
      <w:r w:rsidR="008C3C3D">
        <w:rPr>
          <w:spacing w:val="2"/>
        </w:rPr>
        <w:t xml:space="preserve">pelit kanë arsyetuar në mënyrë të detajuar si për shkaqet e vendosjes ndaj kërkuesit të masës së sigurimit personal “Arrest në burg”, ashtu edhe për </w:t>
      </w:r>
      <w:proofErr w:type="spellStart"/>
      <w:r w:rsidR="008C3C3D">
        <w:rPr>
          <w:spacing w:val="2"/>
        </w:rPr>
        <w:t>proporcionalitetin</w:t>
      </w:r>
      <w:proofErr w:type="spellEnd"/>
      <w:r w:rsidR="008C3C3D">
        <w:rPr>
          <w:spacing w:val="2"/>
        </w:rPr>
        <w:t xml:space="preserve"> e saj </w:t>
      </w:r>
      <w:r w:rsidR="00C96D07">
        <w:rPr>
          <w:i/>
          <w:spacing w:val="2"/>
        </w:rPr>
        <w:t>(shih paragrafin</w:t>
      </w:r>
      <w:r w:rsidR="008C3C3D">
        <w:rPr>
          <w:i/>
          <w:spacing w:val="2"/>
        </w:rPr>
        <w:t xml:space="preserve"> 33 </w:t>
      </w:r>
      <w:r w:rsidR="00C96D07">
        <w:rPr>
          <w:i/>
          <w:spacing w:val="2"/>
        </w:rPr>
        <w:t>të vendimit</w:t>
      </w:r>
      <w:r w:rsidR="008C3C3D">
        <w:rPr>
          <w:i/>
          <w:spacing w:val="2"/>
        </w:rPr>
        <w:t>)</w:t>
      </w:r>
      <w:r w:rsidR="008C3C3D">
        <w:rPr>
          <w:spacing w:val="2"/>
        </w:rPr>
        <w:t xml:space="preserve">. </w:t>
      </w:r>
      <w:r w:rsidR="008F40D4">
        <w:rPr>
          <w:spacing w:val="2"/>
        </w:rPr>
        <w:t>Po kështu</w:t>
      </w:r>
      <w:r w:rsidR="008C3C3D">
        <w:rPr>
          <w:spacing w:val="2"/>
        </w:rPr>
        <w:t xml:space="preserve">, </w:t>
      </w:r>
      <w:r w:rsidR="00270B87">
        <w:rPr>
          <w:spacing w:val="2"/>
        </w:rPr>
        <w:t xml:space="preserve">Kolegji vëren se </w:t>
      </w:r>
      <w:r w:rsidR="008C3C3D">
        <w:rPr>
          <w:spacing w:val="2"/>
        </w:rPr>
        <w:t xml:space="preserve">në lidhje me pretendimet </w:t>
      </w:r>
      <w:r w:rsidR="008F40D4">
        <w:rPr>
          <w:spacing w:val="2"/>
        </w:rPr>
        <w:t xml:space="preserve">e kërkuesit </w:t>
      </w:r>
      <w:r w:rsidR="008C3C3D">
        <w:rPr>
          <w:spacing w:val="2"/>
        </w:rPr>
        <w:t xml:space="preserve">për kriteret e parashikuara në nenin 228 të KPP-së, Gjykata e Lartë ka arsyetuar: </w:t>
      </w:r>
      <w:r w:rsidR="008C3C3D">
        <w:rPr>
          <w:i/>
          <w:spacing w:val="2"/>
        </w:rPr>
        <w:t>“</w:t>
      </w:r>
      <w:r w:rsidR="008F40D4">
        <w:rPr>
          <w:i/>
          <w:spacing w:val="2"/>
        </w:rPr>
        <w:t xml:space="preserve">20. [...] </w:t>
      </w:r>
      <w:r w:rsidR="008F40D4" w:rsidRPr="008F40D4">
        <w:rPr>
          <w:i/>
          <w:spacing w:val="2"/>
        </w:rPr>
        <w:t>Kolegji nuk konstatoi asnjë shkelje të dispozitave procedurale penale në lëndë të masave të sigurimit, për</w:t>
      </w:r>
      <w:r w:rsidR="0019002B">
        <w:rPr>
          <w:i/>
          <w:spacing w:val="2"/>
        </w:rPr>
        <w:t xml:space="preserve"> </w:t>
      </w:r>
      <w:r w:rsidR="008F40D4" w:rsidRPr="008F40D4">
        <w:rPr>
          <w:i/>
          <w:spacing w:val="2"/>
        </w:rPr>
        <w:t xml:space="preserve">sa i përket kushteve dhe kritereve të zbatimit të tyre në rastin konkret, zbatimi i të cilave në rastin konkret është mirë argumentuar nga gjykatat e posaçme, të cilat kanë analizuar kriteret e parashikuara nga neni 229 e 230 të KPP, në raport me parimin e përshtatshmërisë dhe </w:t>
      </w:r>
      <w:proofErr w:type="spellStart"/>
      <w:r w:rsidR="008F40D4" w:rsidRPr="008F40D4">
        <w:rPr>
          <w:i/>
          <w:spacing w:val="2"/>
        </w:rPr>
        <w:t>proporcionalitetit</w:t>
      </w:r>
      <w:proofErr w:type="spellEnd"/>
      <w:r w:rsidR="008F40D4" w:rsidRPr="008F40D4">
        <w:rPr>
          <w:i/>
          <w:spacing w:val="2"/>
        </w:rPr>
        <w:t>. Pretendimet e parashtruara në rekurs që lidhen me zbatimin e nenit 228 dhe 229 të KPP, janë vlerësuar nga gjykatat e posaçme në raport me ekzistencën e nevojave të sigurimit, me rrethanat e faktit dhe me provat e paraqitura nga prokuroria e posaçme</w:t>
      </w:r>
      <w:r w:rsidR="008F40D4">
        <w:rPr>
          <w:i/>
          <w:spacing w:val="2"/>
        </w:rPr>
        <w:t>. 21. [...]</w:t>
      </w:r>
      <w:r w:rsidR="006D74F0">
        <w:rPr>
          <w:i/>
          <w:spacing w:val="2"/>
        </w:rPr>
        <w:t xml:space="preserve"> </w:t>
      </w:r>
      <w:r w:rsidR="008F40D4" w:rsidRPr="008F40D4">
        <w:rPr>
          <w:i/>
          <w:spacing w:val="2"/>
        </w:rPr>
        <w:t xml:space="preserve">Kolegji rithekson se shqyrtimi i faktit dhe i provave/akteve edhe në lëndë të masave të sigurimit, që lidhet me verifikimin e ekzistencës së nevojave të sigurimit në rastin konkret, nëse masa e caktuar është e nevojshme, e përshtatshme dhe/apo proporcionale, kërkon </w:t>
      </w:r>
      <w:proofErr w:type="spellStart"/>
      <w:r w:rsidR="008F40D4" w:rsidRPr="008F40D4">
        <w:rPr>
          <w:i/>
          <w:spacing w:val="2"/>
        </w:rPr>
        <w:t>domosdoshmërisht</w:t>
      </w:r>
      <w:proofErr w:type="spellEnd"/>
      <w:r w:rsidR="008F40D4" w:rsidRPr="008F40D4">
        <w:rPr>
          <w:i/>
          <w:spacing w:val="2"/>
        </w:rPr>
        <w:t xml:space="preserve"> edhe çmuarjen e provave/akteve të përfshira në fashikull, vlerësim të rrethanave të faktit dhe të nevojave të sigurimit, vlerësim të personalitetit të </w:t>
      </w:r>
      <w:proofErr w:type="spellStart"/>
      <w:r w:rsidR="008F40D4" w:rsidRPr="008F40D4">
        <w:rPr>
          <w:i/>
          <w:spacing w:val="2"/>
        </w:rPr>
        <w:t>të</w:t>
      </w:r>
      <w:proofErr w:type="spellEnd"/>
      <w:r w:rsidR="008F40D4" w:rsidRPr="008F40D4">
        <w:rPr>
          <w:i/>
          <w:spacing w:val="2"/>
        </w:rPr>
        <w:t xml:space="preserve"> hetuarit/dyshuarit – elemente këto që dalin jashtë kompetencës së Gjykatës së Lartë si gjykatë ligji. Por, nga ana tjetër, në verifikim të </w:t>
      </w:r>
      <w:proofErr w:type="spellStart"/>
      <w:r w:rsidR="008F40D4" w:rsidRPr="008F40D4">
        <w:rPr>
          <w:i/>
          <w:spacing w:val="2"/>
        </w:rPr>
        <w:t>bazueshmërisë</w:t>
      </w:r>
      <w:proofErr w:type="spellEnd"/>
      <w:r w:rsidR="008F40D4" w:rsidRPr="008F40D4">
        <w:rPr>
          <w:i/>
          <w:spacing w:val="2"/>
        </w:rPr>
        <w:t xml:space="preserve"> në ligj të vendimit të </w:t>
      </w:r>
      <w:proofErr w:type="spellStart"/>
      <w:r w:rsidR="008F40D4" w:rsidRPr="008F40D4">
        <w:rPr>
          <w:i/>
          <w:spacing w:val="2"/>
        </w:rPr>
        <w:t>ankimuar</w:t>
      </w:r>
      <w:proofErr w:type="spellEnd"/>
      <w:r w:rsidR="008F40D4" w:rsidRPr="008F40D4">
        <w:rPr>
          <w:i/>
          <w:spacing w:val="2"/>
        </w:rPr>
        <w:t>, Kolegji vlerëson se të gjitha këto elementë janë trajtuar nga gjykata e posaçme e apelit, e cila ka trajtuar çdo pretendim duke e verifikuar e trajtuar në raport me rrethanat dhe provat e paraqitura nga prokuroria e posaçme</w:t>
      </w:r>
      <w:r w:rsidR="008F40D4">
        <w:rPr>
          <w:i/>
          <w:spacing w:val="2"/>
        </w:rPr>
        <w:t>.”</w:t>
      </w:r>
      <w:r w:rsidRPr="002F14A2">
        <w:t>.</w:t>
      </w:r>
      <w:r w:rsidR="00173046">
        <w:t xml:space="preserve"> </w:t>
      </w:r>
    </w:p>
    <w:p w:rsidR="001C0FB7" w:rsidRPr="000C3733" w:rsidRDefault="00270B87" w:rsidP="001C0FB7">
      <w:pPr>
        <w:pStyle w:val="ListParagraph"/>
        <w:numPr>
          <w:ilvl w:val="0"/>
          <w:numId w:val="1"/>
        </w:numPr>
        <w:tabs>
          <w:tab w:val="left" w:pos="1080"/>
        </w:tabs>
        <w:ind w:left="0" w:firstLine="720"/>
        <w:jc w:val="both"/>
        <w:rPr>
          <w:spacing w:val="2"/>
        </w:rPr>
      </w:pPr>
      <w:r>
        <w:rPr>
          <w:rFonts w:eastAsia="MS Mincho"/>
        </w:rPr>
        <w:t>Nga ana tjetër</w:t>
      </w:r>
      <w:r w:rsidR="001C0FB7">
        <w:rPr>
          <w:rFonts w:eastAsia="MS Mincho"/>
        </w:rPr>
        <w:t>,</w:t>
      </w:r>
      <w:r w:rsidR="006D74F0">
        <w:rPr>
          <w:rFonts w:eastAsia="MS Mincho"/>
        </w:rPr>
        <w:t xml:space="preserve"> </w:t>
      </w:r>
      <w:r>
        <w:rPr>
          <w:rFonts w:eastAsia="MS Mincho"/>
        </w:rPr>
        <w:t>Kolegji</w:t>
      </w:r>
      <w:r w:rsidR="0019002B">
        <w:rPr>
          <w:rFonts w:eastAsia="MS Mincho"/>
        </w:rPr>
        <w:t>,</w:t>
      </w:r>
      <w:r>
        <w:rPr>
          <w:rFonts w:eastAsia="MS Mincho"/>
        </w:rPr>
        <w:t xml:space="preserve"> </w:t>
      </w:r>
      <w:r w:rsidR="0019002B">
        <w:rPr>
          <w:rFonts w:eastAsia="MS Mincho"/>
        </w:rPr>
        <w:t xml:space="preserve">gjithashtu, </w:t>
      </w:r>
      <w:r>
        <w:rPr>
          <w:rFonts w:eastAsia="MS Mincho"/>
        </w:rPr>
        <w:t>vëren se në përmbushje</w:t>
      </w:r>
      <w:r w:rsidR="001C0FB7">
        <w:rPr>
          <w:rFonts w:eastAsia="MS Mincho"/>
        </w:rPr>
        <w:t xml:space="preserve"> </w:t>
      </w:r>
      <w:r>
        <w:rPr>
          <w:rFonts w:eastAsia="MS Mincho"/>
        </w:rPr>
        <w:t>t</w:t>
      </w:r>
      <w:r w:rsidR="001C0FB7">
        <w:rPr>
          <w:rFonts w:eastAsia="MS Mincho"/>
        </w:rPr>
        <w:t xml:space="preserve">ë </w:t>
      </w:r>
      <w:r w:rsidR="003B5686">
        <w:rPr>
          <w:rFonts w:eastAsia="MS Mincho"/>
        </w:rPr>
        <w:t>detyrimeve kushtetuese dhe ligjore, si dhe</w:t>
      </w:r>
      <w:r w:rsidR="001C0FB7">
        <w:rPr>
          <w:rFonts w:eastAsia="MS Mincho"/>
        </w:rPr>
        <w:t xml:space="preserve"> standardeve të vendosura nga jurisprudenca kushtetuese për arsyetimin e vendimit,</w:t>
      </w:r>
      <w:r w:rsidR="003B5686">
        <w:rPr>
          <w:rFonts w:eastAsia="MS Mincho"/>
        </w:rPr>
        <w:t xml:space="preserve"> </w:t>
      </w:r>
      <w:r w:rsidR="001C0FB7">
        <w:t>vendimet</w:t>
      </w:r>
      <w:r w:rsidR="001C0FB7">
        <w:rPr>
          <w:rFonts w:eastAsia="MS Mincho"/>
        </w:rPr>
        <w:t xml:space="preserve"> objekt ankimi kushtetues nuk rezulto</w:t>
      </w:r>
      <w:r w:rsidR="00032F24">
        <w:rPr>
          <w:rFonts w:eastAsia="MS Mincho"/>
        </w:rPr>
        <w:t>j</w:t>
      </w:r>
      <w:r w:rsidR="001C0FB7">
        <w:rPr>
          <w:rFonts w:eastAsia="MS Mincho"/>
        </w:rPr>
        <w:t>n</w:t>
      </w:r>
      <w:r w:rsidR="00032F24">
        <w:rPr>
          <w:rFonts w:eastAsia="MS Mincho"/>
        </w:rPr>
        <w:t>ë</w:t>
      </w:r>
      <w:r w:rsidR="001C0FB7">
        <w:rPr>
          <w:rFonts w:eastAsia="MS Mincho"/>
        </w:rPr>
        <w:t xml:space="preserve"> të jenë të paqarta, alogjike, kontradiktore ose </w:t>
      </w:r>
      <w:r w:rsidR="003B5686">
        <w:rPr>
          <w:rFonts w:eastAsia="MS Mincho"/>
        </w:rPr>
        <w:t>në mungesë të element</w:t>
      </w:r>
      <w:r w:rsidR="0019002B">
        <w:rPr>
          <w:rFonts w:eastAsia="MS Mincho"/>
        </w:rPr>
        <w:t>e</w:t>
      </w:r>
      <w:r w:rsidR="003B5686">
        <w:rPr>
          <w:rFonts w:eastAsia="MS Mincho"/>
        </w:rPr>
        <w:t>ve formale</w:t>
      </w:r>
      <w:r w:rsidR="001C0FB7">
        <w:rPr>
          <w:rFonts w:eastAsia="MS Mincho"/>
        </w:rPr>
        <w:t xml:space="preserve">. </w:t>
      </w:r>
    </w:p>
    <w:p w:rsidR="00173046" w:rsidRPr="00DD1363" w:rsidRDefault="00173046" w:rsidP="00E331E8">
      <w:pPr>
        <w:pStyle w:val="ListParagraph"/>
        <w:numPr>
          <w:ilvl w:val="0"/>
          <w:numId w:val="1"/>
        </w:numPr>
        <w:tabs>
          <w:tab w:val="left" w:pos="1080"/>
        </w:tabs>
        <w:ind w:left="0" w:firstLine="720"/>
        <w:jc w:val="both"/>
        <w:rPr>
          <w:spacing w:val="2"/>
        </w:rPr>
      </w:pPr>
      <w:r>
        <w:t xml:space="preserve">Për rrjedhojë, </w:t>
      </w:r>
      <w:r w:rsidR="00270B87">
        <w:t xml:space="preserve">Kolegji çmon </w:t>
      </w:r>
      <w:r w:rsidR="008F40D4">
        <w:t xml:space="preserve">se </w:t>
      </w:r>
      <w:r>
        <w:t>pretendimi i kërkuesit për cenimin e standardit të arsyetimit të vendimit është haptazi i pabazuar.</w:t>
      </w:r>
    </w:p>
    <w:p w:rsidR="00DD1363" w:rsidRPr="008F40D4" w:rsidRDefault="00DD1363" w:rsidP="00DD1363">
      <w:pPr>
        <w:pStyle w:val="ListParagraph"/>
        <w:tabs>
          <w:tab w:val="left" w:pos="1080"/>
        </w:tabs>
        <w:jc w:val="both"/>
        <w:rPr>
          <w:i/>
          <w:spacing w:val="2"/>
        </w:rPr>
      </w:pPr>
      <w:r>
        <w:rPr>
          <w:i/>
        </w:rPr>
        <w:t>D. Për pretendimin e cenimit të së drejtës për jetë private</w:t>
      </w:r>
    </w:p>
    <w:p w:rsidR="008F40D4" w:rsidRPr="00DD1363" w:rsidRDefault="00DD1363" w:rsidP="00744AE4">
      <w:pPr>
        <w:pStyle w:val="ListParagraph"/>
        <w:numPr>
          <w:ilvl w:val="0"/>
          <w:numId w:val="1"/>
        </w:numPr>
        <w:tabs>
          <w:tab w:val="left" w:pos="1080"/>
        </w:tabs>
        <w:ind w:left="0" w:firstLine="720"/>
        <w:jc w:val="both"/>
        <w:rPr>
          <w:spacing w:val="2"/>
        </w:rPr>
      </w:pPr>
      <w:r>
        <w:rPr>
          <w:spacing w:val="2"/>
        </w:rPr>
        <w:t xml:space="preserve">Kërkuesi ka pretenduar se vendosja ndaj tij e masës së sigurimit personal “Arrest në burg” i ka cenuar të drejtën për jetë private në drejtim të zhvillimit të karrierës dhe jetës profesionale, pasi </w:t>
      </w:r>
      <w:r w:rsidRPr="00D1511B">
        <w:t xml:space="preserve">nuk pati mundësi të merrte pjesë në garën e re për postin e </w:t>
      </w:r>
      <w:r w:rsidR="0019002B">
        <w:t>d</w:t>
      </w:r>
      <w:r w:rsidRPr="00D1511B">
        <w:t xml:space="preserve">rejtorit të </w:t>
      </w:r>
      <w:r w:rsidR="0019002B">
        <w:lastRenderedPageBreak/>
        <w:t>p</w:t>
      </w:r>
      <w:r w:rsidRPr="00D1511B">
        <w:t>ërgjithshëm të RTSH-së për shkak të masës së sigurimit “Arrest me burg” të vendosur ndaj tij</w:t>
      </w:r>
      <w:r>
        <w:rPr>
          <w:spacing w:val="2"/>
        </w:rPr>
        <w:t>.</w:t>
      </w:r>
    </w:p>
    <w:p w:rsidR="008F40D4" w:rsidRPr="008F40D4" w:rsidRDefault="008F40D4" w:rsidP="00173046">
      <w:pPr>
        <w:pStyle w:val="ListParagraph"/>
        <w:numPr>
          <w:ilvl w:val="0"/>
          <w:numId w:val="1"/>
        </w:numPr>
        <w:tabs>
          <w:tab w:val="left" w:pos="1080"/>
        </w:tabs>
        <w:ind w:left="0" w:firstLine="720"/>
        <w:jc w:val="both"/>
        <w:rPr>
          <w:i/>
          <w:spacing w:val="2"/>
        </w:rPr>
      </w:pPr>
      <w:r>
        <w:rPr>
          <w:spacing w:val="2"/>
        </w:rPr>
        <w:t xml:space="preserve">Në jurisprudencën e saj Gjykata </w:t>
      </w:r>
      <w:r w:rsidRPr="0090001F">
        <w:t xml:space="preserve">ka vlerësuar se </w:t>
      </w:r>
      <w:r w:rsidR="006D74F0">
        <w:t>e drejta për jetë private</w:t>
      </w:r>
      <w:r w:rsidRPr="0090001F">
        <w:t xml:space="preserve"> </w:t>
      </w:r>
      <w:r w:rsidRPr="0090001F">
        <w:rPr>
          <w:rFonts w:eastAsia="Times New Roman"/>
        </w:rPr>
        <w:t xml:space="preserve">nuk </w:t>
      </w:r>
      <w:r w:rsidRPr="00EC7DEB">
        <w:rPr>
          <w:rFonts w:eastAsia="Times New Roman"/>
        </w:rPr>
        <w:t xml:space="preserve">mbrohet nga një dispozitë e vetme e Kushtetutës, por nga disa prej tyre, ndër të cilat përfshihen neni 35 </w:t>
      </w:r>
      <w:r w:rsidRPr="00EC7DEB">
        <w:rPr>
          <w:rFonts w:eastAsia="Times New Roman"/>
          <w:i/>
        </w:rPr>
        <w:t>(mbrojtja e të dhënave personale)</w:t>
      </w:r>
      <w:r w:rsidRPr="00EC7DEB">
        <w:rPr>
          <w:rFonts w:eastAsia="Times New Roman"/>
        </w:rPr>
        <w:t xml:space="preserve">, neni 36 </w:t>
      </w:r>
      <w:r w:rsidRPr="00EC7DEB">
        <w:rPr>
          <w:rFonts w:eastAsia="Times New Roman"/>
          <w:i/>
        </w:rPr>
        <w:t>(liria dhe fshehtësia e korrespondencës)</w:t>
      </w:r>
      <w:r w:rsidRPr="00EC7DEB">
        <w:rPr>
          <w:rFonts w:eastAsia="Times New Roman"/>
        </w:rPr>
        <w:t xml:space="preserve"> dhe neni 37 </w:t>
      </w:r>
      <w:r w:rsidRPr="00EC7DEB">
        <w:rPr>
          <w:rFonts w:eastAsia="Times New Roman"/>
          <w:i/>
        </w:rPr>
        <w:t>(paprekshmëria e banesës)</w:t>
      </w:r>
      <w:r w:rsidRPr="00EC7DEB">
        <w:rPr>
          <w:rFonts w:eastAsia="Times New Roman"/>
        </w:rPr>
        <w:t xml:space="preserve">. E drejta për jetë private </w:t>
      </w:r>
      <w:r w:rsidRPr="00EC7DEB">
        <w:rPr>
          <w:rFonts w:eastAsia="MS Mincho"/>
        </w:rPr>
        <w:t>nuk ka karakter shterues, por, në thelb, duhet t’i sigurojë individit një hapësirë brenda së cilës ai mund të zhvillojë dhe plotësojë në mënyrë të pavarur personalitetin e tij, ku përfshihet edhe zhvillimi ose ruajtja në një masë të caktuar e marrëdhënieve me njerëzit e tjerë. Respektimi i jetës private kërkon në parim mosndërhyrjen në vendimet që merr vetë individi rreth mënyrës së bërjes së jetës së tij</w:t>
      </w:r>
      <w:r w:rsidRPr="00EC7DEB">
        <w:rPr>
          <w:rFonts w:eastAsia="Times New Roman"/>
        </w:rPr>
        <w:t xml:space="preserve"> </w:t>
      </w:r>
      <w:r w:rsidRPr="00833FD9">
        <w:rPr>
          <w:rFonts w:eastAsia="Times New Roman"/>
          <w:i/>
        </w:rPr>
        <w:t>(shih vendimin nr. 38, dat</w:t>
      </w:r>
      <w:r w:rsidRPr="00833FD9">
        <w:rPr>
          <w:i/>
        </w:rPr>
        <w:t>ë 02.12.2021</w:t>
      </w:r>
      <w:r w:rsidRPr="00833FD9">
        <w:rPr>
          <w:rFonts w:eastAsia="Times New Roman"/>
          <w:i/>
        </w:rPr>
        <w:t xml:space="preserve"> të Gjykatës Kushtetuese)</w:t>
      </w:r>
      <w:r>
        <w:rPr>
          <w:rFonts w:eastAsia="Times New Roman"/>
        </w:rPr>
        <w:t>.</w:t>
      </w:r>
    </w:p>
    <w:p w:rsidR="004D7400" w:rsidRPr="004D7400" w:rsidRDefault="008F40D4" w:rsidP="004D7400">
      <w:pPr>
        <w:pStyle w:val="ListParagraph"/>
        <w:numPr>
          <w:ilvl w:val="0"/>
          <w:numId w:val="1"/>
        </w:numPr>
        <w:tabs>
          <w:tab w:val="left" w:pos="1080"/>
        </w:tabs>
        <w:ind w:left="0" w:firstLine="720"/>
        <w:jc w:val="both"/>
        <w:rPr>
          <w:rFonts w:eastAsia="Times New Roman"/>
          <w:i/>
        </w:rPr>
      </w:pPr>
      <w:r w:rsidRPr="004D7400">
        <w:rPr>
          <w:rFonts w:eastAsia="Times New Roman"/>
        </w:rPr>
        <w:t>Nga ana tjetër, në referim të nenit</w:t>
      </w:r>
      <w:r w:rsidR="00744AE4">
        <w:rPr>
          <w:rFonts w:eastAsia="Times New Roman"/>
        </w:rPr>
        <w:t xml:space="preserve"> 17 të Kushtetutës dhe nenit</w:t>
      </w:r>
      <w:r w:rsidRPr="004D7400">
        <w:rPr>
          <w:rFonts w:eastAsia="Times New Roman"/>
        </w:rPr>
        <w:t xml:space="preserve"> 8 të KEDNJ-së, e drejta për jetë private nuk </w:t>
      </w:r>
      <w:r w:rsidR="006D74F0">
        <w:rPr>
          <w:rFonts w:eastAsia="Times New Roman"/>
        </w:rPr>
        <w:t xml:space="preserve">përbën një të drejtë </w:t>
      </w:r>
      <w:r w:rsidRPr="004D7400">
        <w:rPr>
          <w:rFonts w:eastAsia="Times New Roman"/>
        </w:rPr>
        <w:t xml:space="preserve">absolute, por </w:t>
      </w:r>
      <w:r w:rsidR="00DC550A">
        <w:rPr>
          <w:rFonts w:eastAsia="Times New Roman"/>
        </w:rPr>
        <w:t>i</w:t>
      </w:r>
      <w:r w:rsidRPr="004D7400">
        <w:rPr>
          <w:rFonts w:eastAsia="Times New Roman"/>
        </w:rPr>
        <w:t>u nënshtrohet kufizimeve</w:t>
      </w:r>
      <w:r w:rsidR="004D7400" w:rsidRPr="004D7400">
        <w:rPr>
          <w:rFonts w:eastAsia="Times New Roman"/>
        </w:rPr>
        <w:t xml:space="preserve">. Sipas </w:t>
      </w:r>
      <w:r w:rsidR="00744AE4">
        <w:rPr>
          <w:rFonts w:eastAsia="Times New Roman"/>
        </w:rPr>
        <w:t>këtyre neneve,</w:t>
      </w:r>
      <w:r w:rsidR="004D7400" w:rsidRPr="004D7400">
        <w:rPr>
          <w:rFonts w:eastAsia="Times New Roman"/>
        </w:rPr>
        <w:t xml:space="preserve"> ndërhyrjet në këtë të drejtë duhet të jenë në përputhje me parashikimet ligjore e të nevojshme në një shoqëri demokratike dhe mund të justifikohen në interes të sigurisë publike, për mbrojtjen e rendit publik, shëndetit ose moralit</w:t>
      </w:r>
      <w:r w:rsidR="00DC550A">
        <w:rPr>
          <w:rFonts w:eastAsia="Times New Roman"/>
        </w:rPr>
        <w:t>,</w:t>
      </w:r>
      <w:r w:rsidR="004D7400" w:rsidRPr="004D7400">
        <w:rPr>
          <w:rFonts w:eastAsia="Times New Roman"/>
        </w:rPr>
        <w:t xml:space="preserve"> ose</w:t>
      </w:r>
      <w:r w:rsidR="004D7400">
        <w:rPr>
          <w:rFonts w:eastAsia="Times New Roman"/>
        </w:rPr>
        <w:t xml:space="preserve"> </w:t>
      </w:r>
      <w:r w:rsidR="004D7400" w:rsidRPr="004D7400">
        <w:rPr>
          <w:rFonts w:eastAsia="Times New Roman"/>
        </w:rPr>
        <w:t xml:space="preserve">për mbrojtjen e të drejtave dhe lirive të </w:t>
      </w:r>
      <w:proofErr w:type="spellStart"/>
      <w:r w:rsidR="004D7400" w:rsidRPr="004D7400">
        <w:rPr>
          <w:rFonts w:eastAsia="Times New Roman"/>
        </w:rPr>
        <w:t>të</w:t>
      </w:r>
      <w:proofErr w:type="spellEnd"/>
      <w:r w:rsidR="004D7400" w:rsidRPr="004D7400">
        <w:rPr>
          <w:rFonts w:eastAsia="Times New Roman"/>
        </w:rPr>
        <w:t xml:space="preserve"> tjerëve</w:t>
      </w:r>
      <w:r w:rsidR="004D7400">
        <w:rPr>
          <w:rFonts w:eastAsia="Times New Roman"/>
        </w:rPr>
        <w:t>.</w:t>
      </w:r>
    </w:p>
    <w:p w:rsidR="00276C7E" w:rsidRPr="00375080" w:rsidRDefault="004D7400" w:rsidP="00276C7E">
      <w:pPr>
        <w:pStyle w:val="ListParagraph"/>
        <w:numPr>
          <w:ilvl w:val="0"/>
          <w:numId w:val="1"/>
        </w:numPr>
        <w:tabs>
          <w:tab w:val="left" w:pos="1080"/>
        </w:tabs>
        <w:ind w:left="0" w:firstLine="720"/>
        <w:jc w:val="both"/>
        <w:rPr>
          <w:rFonts w:eastAsia="Times New Roman"/>
          <w:i/>
        </w:rPr>
      </w:pPr>
      <w:r w:rsidRPr="00276C7E">
        <w:rPr>
          <w:rFonts w:eastAsia="Times New Roman"/>
        </w:rPr>
        <w:t xml:space="preserve">Në rastin konkret, </w:t>
      </w:r>
      <w:r w:rsidR="00CF28DE">
        <w:rPr>
          <w:rFonts w:eastAsia="Times New Roman"/>
        </w:rPr>
        <w:t xml:space="preserve">Kolegji vëren se </w:t>
      </w:r>
      <w:r w:rsidRPr="00276C7E">
        <w:rPr>
          <w:rFonts w:eastAsia="Times New Roman"/>
        </w:rPr>
        <w:t xml:space="preserve">për kufizimin e </w:t>
      </w:r>
      <w:r w:rsidR="00DC550A">
        <w:rPr>
          <w:rFonts w:eastAsia="Times New Roman"/>
        </w:rPr>
        <w:t>s</w:t>
      </w:r>
      <w:r w:rsidRPr="00276C7E">
        <w:rPr>
          <w:rFonts w:eastAsia="Times New Roman"/>
        </w:rPr>
        <w:t xml:space="preserve">ë drejtës së kërkuesit për liri personale </w:t>
      </w:r>
      <w:r w:rsidR="00E065A0">
        <w:rPr>
          <w:rFonts w:eastAsia="Times New Roman"/>
        </w:rPr>
        <w:t>Gjykata</w:t>
      </w:r>
      <w:r w:rsidR="00E065A0" w:rsidRPr="00E065A0">
        <w:rPr>
          <w:rFonts w:eastAsia="Times New Roman"/>
        </w:rPr>
        <w:t xml:space="preserve"> </w:t>
      </w:r>
      <w:r w:rsidR="00E065A0">
        <w:rPr>
          <w:rFonts w:eastAsia="Times New Roman"/>
        </w:rPr>
        <w:t>e</w:t>
      </w:r>
      <w:r w:rsidR="00E065A0" w:rsidRPr="00E065A0">
        <w:rPr>
          <w:rFonts w:eastAsia="Times New Roman"/>
        </w:rPr>
        <w:t xml:space="preserve"> Posaçme </w:t>
      </w:r>
      <w:r w:rsidR="00E065A0">
        <w:rPr>
          <w:rFonts w:eastAsia="Times New Roman"/>
        </w:rPr>
        <w:t>e</w:t>
      </w:r>
      <w:r w:rsidR="00E065A0" w:rsidRPr="00E065A0">
        <w:rPr>
          <w:rFonts w:eastAsia="Times New Roman"/>
        </w:rPr>
        <w:t xml:space="preserve"> Shkallës së Parë</w:t>
      </w:r>
      <w:r w:rsidR="00E065A0">
        <w:rPr>
          <w:rFonts w:eastAsia="Times New Roman"/>
        </w:rPr>
        <w:t xml:space="preserve"> ka</w:t>
      </w:r>
      <w:r w:rsidRPr="00276C7E">
        <w:rPr>
          <w:rFonts w:eastAsia="Times New Roman"/>
        </w:rPr>
        <w:t xml:space="preserve"> arsyetuar: </w:t>
      </w:r>
      <w:r w:rsidRPr="00276C7E">
        <w:rPr>
          <w:rFonts w:eastAsia="Times New Roman"/>
          <w:i/>
        </w:rPr>
        <w:t xml:space="preserve">“Veprat penale për të cilat dyshohen të hetuarit kanë cenuar marrëdhëniet juridike të vendosura për të siguruar veprimtarinë e rregullt, autoritetin dhe besimin e publikut ndaj veprimtarisë së </w:t>
      </w:r>
      <w:r w:rsidR="00276C7E" w:rsidRPr="00276C7E">
        <w:rPr>
          <w:rFonts w:eastAsia="Times New Roman"/>
          <w:i/>
        </w:rPr>
        <w:t>personave që ushtrojnë funksione publike. Këto elementë njoftojnë një rrezikshmëri të veprave, por edhe të personave që i konsumojnë ato.” (shih vendimin nr. 79, datë 07.10.2021 të Gjykatës së Posaçme të Shkallës së Parë, faqja 19, paragrafi i dytë)</w:t>
      </w:r>
      <w:r w:rsidR="00276C7E" w:rsidRPr="00276C7E">
        <w:rPr>
          <w:rFonts w:eastAsia="Times New Roman"/>
        </w:rPr>
        <w:t xml:space="preserve">. Po kështu, </w:t>
      </w:r>
      <w:r w:rsidR="00047E8C">
        <w:rPr>
          <w:rFonts w:eastAsia="Times New Roman"/>
        </w:rPr>
        <w:t>sipas Gjykatës</w:t>
      </w:r>
      <w:r w:rsidR="00276C7E" w:rsidRPr="00276C7E">
        <w:rPr>
          <w:rFonts w:eastAsia="Times New Roman"/>
        </w:rPr>
        <w:t xml:space="preserve"> </w:t>
      </w:r>
      <w:r w:rsidR="00047E8C">
        <w:rPr>
          <w:rFonts w:eastAsia="Times New Roman"/>
        </w:rPr>
        <w:t>së</w:t>
      </w:r>
      <w:r w:rsidR="00276C7E" w:rsidRPr="00276C7E">
        <w:rPr>
          <w:rFonts w:eastAsia="Times New Roman"/>
        </w:rPr>
        <w:t xml:space="preserve"> Posaçme </w:t>
      </w:r>
      <w:r w:rsidR="00047E8C">
        <w:rPr>
          <w:rFonts w:eastAsia="Times New Roman"/>
        </w:rPr>
        <w:t>të</w:t>
      </w:r>
      <w:r w:rsidR="00276C7E" w:rsidRPr="00276C7E">
        <w:rPr>
          <w:rFonts w:eastAsia="Times New Roman"/>
        </w:rPr>
        <w:t xml:space="preserve"> Apelit</w:t>
      </w:r>
      <w:r w:rsidR="00047E8C">
        <w:rPr>
          <w:rFonts w:eastAsia="Times New Roman"/>
        </w:rPr>
        <w:t>,</w:t>
      </w:r>
      <w:r w:rsidR="00276C7E" w:rsidRPr="00276C7E">
        <w:rPr>
          <w:rFonts w:eastAsia="Times New Roman"/>
        </w:rPr>
        <w:t xml:space="preserve"> </w:t>
      </w:r>
      <w:r w:rsidR="00276C7E">
        <w:rPr>
          <w:rFonts w:eastAsia="Times New Roman"/>
        </w:rPr>
        <w:t xml:space="preserve">sanksioni penal për </w:t>
      </w:r>
      <w:r w:rsidR="00276C7E" w:rsidRPr="00276C7E">
        <w:rPr>
          <w:rFonts w:eastAsia="Times New Roman"/>
        </w:rPr>
        <w:t>veprë</w:t>
      </w:r>
      <w:r w:rsidR="00276C7E">
        <w:rPr>
          <w:rFonts w:eastAsia="Times New Roman"/>
        </w:rPr>
        <w:t>n</w:t>
      </w:r>
      <w:r w:rsidR="00276C7E" w:rsidRPr="00276C7E">
        <w:rPr>
          <w:rFonts w:eastAsia="Times New Roman"/>
        </w:rPr>
        <w:t xml:space="preserve"> </w:t>
      </w:r>
      <w:r w:rsidR="00276C7E">
        <w:rPr>
          <w:rFonts w:eastAsia="Times New Roman"/>
        </w:rPr>
        <w:t>që dyshohet se ka kryer shoqërohet edhe me sanksionin e dënimit të parashikuar nga neni 35, paragrafi i parë, i KP-së</w:t>
      </w:r>
      <w:r w:rsidR="00DF4878">
        <w:rPr>
          <w:rFonts w:eastAsia="Times New Roman"/>
        </w:rPr>
        <w:t xml:space="preserve"> “Heqja e së drejtës për të ushtruar funksione publike”</w:t>
      </w:r>
      <w:r w:rsidR="00276C7E">
        <w:rPr>
          <w:rFonts w:eastAsia="Times New Roman"/>
        </w:rPr>
        <w:t xml:space="preserve"> </w:t>
      </w:r>
      <w:r w:rsidR="00276C7E">
        <w:rPr>
          <w:rFonts w:eastAsia="Times New Roman"/>
          <w:i/>
        </w:rPr>
        <w:t>(shih vendimin nr. 40, datë 30.10.2021 të Gjykatës së Posaçme të Apelit, faqja 21, paragrafi i dytë)</w:t>
      </w:r>
      <w:r w:rsidR="006D74F0">
        <w:rPr>
          <w:rFonts w:eastAsia="Times New Roman"/>
        </w:rPr>
        <w:t xml:space="preserve">, ndërsa Gjykata e Lartë ka vlerësuar se gjykatat e posaçme i kanë dhënë përgjigje </w:t>
      </w:r>
      <w:r w:rsidR="00047E8C">
        <w:rPr>
          <w:rFonts w:eastAsia="Times New Roman"/>
        </w:rPr>
        <w:t xml:space="preserve">të argumentuar </w:t>
      </w:r>
      <w:r w:rsidR="006D74F0">
        <w:rPr>
          <w:rFonts w:eastAsia="Times New Roman"/>
        </w:rPr>
        <w:t xml:space="preserve">pretendimeve të kërkuesit, duke i vlerësuar ato në raport me rrethanat dhe provat e paraqitura </w:t>
      </w:r>
      <w:r w:rsidR="006D74F0">
        <w:rPr>
          <w:i/>
          <w:spacing w:val="2"/>
        </w:rPr>
        <w:t xml:space="preserve">(shih vendimin nr. 00-2022-184, datë 27.01.2022 të </w:t>
      </w:r>
      <w:r w:rsidR="00CF28DE">
        <w:rPr>
          <w:i/>
          <w:spacing w:val="2"/>
        </w:rPr>
        <w:t xml:space="preserve">Kolegjit Penal të </w:t>
      </w:r>
      <w:r w:rsidR="006D74F0">
        <w:rPr>
          <w:i/>
          <w:spacing w:val="2"/>
        </w:rPr>
        <w:t>Gjykatës së Lartë, faqja 14)</w:t>
      </w:r>
      <w:r w:rsidR="006D74F0">
        <w:rPr>
          <w:spacing w:val="2"/>
        </w:rPr>
        <w:t>.</w:t>
      </w:r>
    </w:p>
    <w:p w:rsidR="00375080" w:rsidRPr="004D7400" w:rsidRDefault="00375080" w:rsidP="00276C7E">
      <w:pPr>
        <w:pStyle w:val="ListParagraph"/>
        <w:numPr>
          <w:ilvl w:val="0"/>
          <w:numId w:val="1"/>
        </w:numPr>
        <w:tabs>
          <w:tab w:val="left" w:pos="1080"/>
        </w:tabs>
        <w:ind w:left="0" w:firstLine="720"/>
        <w:jc w:val="both"/>
        <w:rPr>
          <w:rFonts w:eastAsia="Times New Roman"/>
          <w:i/>
        </w:rPr>
      </w:pPr>
      <w:r>
        <w:rPr>
          <w:rFonts w:eastAsia="Times New Roman"/>
        </w:rPr>
        <w:t xml:space="preserve">Për sa më lart, </w:t>
      </w:r>
      <w:r w:rsidR="00CF28DE">
        <w:rPr>
          <w:rFonts w:eastAsia="Times New Roman"/>
        </w:rPr>
        <w:t>Kolegji vlerëson</w:t>
      </w:r>
      <w:r>
        <w:rPr>
          <w:rFonts w:eastAsia="Times New Roman"/>
        </w:rPr>
        <w:t xml:space="preserve"> se </w:t>
      </w:r>
      <w:r w:rsidR="00032F24">
        <w:rPr>
          <w:rFonts w:eastAsia="Times New Roman"/>
        </w:rPr>
        <w:t xml:space="preserve">edhe </w:t>
      </w:r>
      <w:r>
        <w:rPr>
          <w:rFonts w:eastAsia="Times New Roman"/>
        </w:rPr>
        <w:t xml:space="preserve">pretendimi i kërkuesit për cenimin e </w:t>
      </w:r>
      <w:r w:rsidR="00824B1C">
        <w:rPr>
          <w:rFonts w:eastAsia="Times New Roman"/>
        </w:rPr>
        <w:t>s</w:t>
      </w:r>
      <w:r>
        <w:rPr>
          <w:rFonts w:eastAsia="Times New Roman"/>
        </w:rPr>
        <w:t>ë drejtës për jetë private është haptazi i pabazuar.</w:t>
      </w:r>
    </w:p>
    <w:p w:rsidR="004D7400" w:rsidRPr="00276C7E" w:rsidRDefault="004D7400" w:rsidP="002E76B0">
      <w:pPr>
        <w:pStyle w:val="ListParagraph"/>
        <w:numPr>
          <w:ilvl w:val="0"/>
          <w:numId w:val="1"/>
        </w:numPr>
        <w:tabs>
          <w:tab w:val="left" w:pos="1080"/>
        </w:tabs>
        <w:ind w:left="0" w:firstLine="720"/>
        <w:jc w:val="both"/>
        <w:rPr>
          <w:rFonts w:eastAsia="Times New Roman"/>
        </w:rPr>
      </w:pPr>
      <w:r w:rsidRPr="00276C7E">
        <w:rPr>
          <w:spacing w:val="2"/>
        </w:rPr>
        <w:lastRenderedPageBreak/>
        <w:t xml:space="preserve">Në përfundim, </w:t>
      </w:r>
      <w:r w:rsidR="00CF28DE">
        <w:t>Kolegji çmon</w:t>
      </w:r>
      <w:r w:rsidRPr="00560526">
        <w:t xml:space="preserve"> se kërkesa </w:t>
      </w:r>
      <w:r w:rsidRPr="00276C7E">
        <w:rPr>
          <w:color w:val="000000"/>
        </w:rPr>
        <w:t>e paraqitur nuk i plotëson kriteret ligjore për pranimin e saj për shqyrtim në seancë plenare</w:t>
      </w:r>
      <w:r w:rsidRPr="00276C7E">
        <w:rPr>
          <w:rFonts w:eastAsia="Times New Roman"/>
        </w:rPr>
        <w:t>.</w:t>
      </w:r>
    </w:p>
    <w:p w:rsidR="003B2FC8" w:rsidRDefault="003B2FC8" w:rsidP="0084482E">
      <w:pPr>
        <w:pStyle w:val="Heading1"/>
        <w:tabs>
          <w:tab w:val="left" w:pos="1080"/>
        </w:tabs>
        <w:rPr>
          <w:spacing w:val="2"/>
        </w:rPr>
      </w:pPr>
    </w:p>
    <w:p w:rsidR="00047E8C" w:rsidRPr="00047E8C" w:rsidRDefault="00047E8C" w:rsidP="00047E8C">
      <w:pPr>
        <w:pStyle w:val="BodyTextIndent2"/>
        <w:ind w:firstLine="720"/>
        <w:rPr>
          <w:spacing w:val="2"/>
        </w:rPr>
      </w:pPr>
      <w:r w:rsidRPr="00047E8C">
        <w:rPr>
          <w:spacing w:val="2"/>
        </w:rPr>
        <w:t>PËR KËTO ARSYE,</w:t>
      </w:r>
    </w:p>
    <w:p w:rsidR="0084482E" w:rsidRDefault="00047E8C" w:rsidP="00047E8C">
      <w:pPr>
        <w:pStyle w:val="BodyTextIndent2"/>
        <w:ind w:left="0" w:firstLine="720"/>
        <w:rPr>
          <w:b w:val="0"/>
        </w:rPr>
      </w:pPr>
      <w:r w:rsidRPr="00047E8C">
        <w:rPr>
          <w:b w:val="0"/>
        </w:rPr>
        <w:t>Kolegji i Gjykatës Kushtetuese të Republikës së Shqipërisë</w:t>
      </w:r>
      <w:r w:rsidR="0084482E" w:rsidRPr="00C35E60">
        <w:rPr>
          <w:b w:val="0"/>
        </w:rPr>
        <w:t xml:space="preserve">, </w:t>
      </w:r>
      <w:r w:rsidR="00717360" w:rsidRPr="00717360">
        <w:rPr>
          <w:b w:val="0"/>
        </w:rPr>
        <w:t>në bazë të neneve 31 dhe 3</w:t>
      </w:r>
      <w:r w:rsidR="006350FC">
        <w:rPr>
          <w:b w:val="0"/>
        </w:rPr>
        <w:t>1/a, pika 2, shkronja “e”,</w:t>
      </w:r>
      <w:r w:rsidR="00717360" w:rsidRPr="00717360">
        <w:rPr>
          <w:b w:val="0"/>
        </w:rPr>
        <w:t xml:space="preserve"> të ligjit nr. 8577, datë 10.02.2000 “Për organizimin dhe funksionimin e Gjykatës Kushtetuese të Republikës së Shqipërisë”, të ndryshuar, </w:t>
      </w:r>
    </w:p>
    <w:p w:rsidR="00047E8C" w:rsidRDefault="00047E8C" w:rsidP="00047E8C">
      <w:pPr>
        <w:pStyle w:val="BodyTextIndent2"/>
        <w:ind w:left="0" w:firstLine="0"/>
        <w:rPr>
          <w:b w:val="0"/>
        </w:rPr>
      </w:pPr>
    </w:p>
    <w:p w:rsidR="00047E8C" w:rsidRPr="00E95C5C" w:rsidRDefault="00047E8C" w:rsidP="00047E8C">
      <w:pPr>
        <w:tabs>
          <w:tab w:val="left" w:pos="1080"/>
        </w:tabs>
        <w:contextualSpacing/>
        <w:jc w:val="center"/>
        <w:rPr>
          <w:rFonts w:eastAsia="Times New Roman"/>
          <w:b/>
          <w:u w:val="single"/>
        </w:rPr>
      </w:pPr>
      <w:r w:rsidRPr="00E95C5C">
        <w:rPr>
          <w:rFonts w:eastAsia="Times New Roman"/>
          <w:b/>
        </w:rPr>
        <w:t>V E N D O S I:</w:t>
      </w:r>
    </w:p>
    <w:p w:rsidR="00047E8C" w:rsidRDefault="00047E8C" w:rsidP="00047E8C">
      <w:pPr>
        <w:tabs>
          <w:tab w:val="left" w:pos="720"/>
        </w:tabs>
        <w:contextualSpacing/>
        <w:jc w:val="both"/>
        <w:rPr>
          <w:rFonts w:eastAsia="Times New Roman"/>
        </w:rPr>
      </w:pPr>
      <w:r w:rsidRPr="00E95C5C">
        <w:rPr>
          <w:rFonts w:eastAsia="Times New Roman"/>
        </w:rPr>
        <w:tab/>
      </w:r>
      <w:proofErr w:type="spellStart"/>
      <w:r w:rsidRPr="00E95C5C">
        <w:rPr>
          <w:rFonts w:eastAsia="Times New Roman"/>
        </w:rPr>
        <w:t>Moskalimin</w:t>
      </w:r>
      <w:proofErr w:type="spellEnd"/>
      <w:r w:rsidRPr="00E95C5C">
        <w:rPr>
          <w:rFonts w:eastAsia="Times New Roman"/>
        </w:rPr>
        <w:t xml:space="preserve"> e çështjes për shqyrtim në seancë plenare.</w:t>
      </w:r>
    </w:p>
    <w:p w:rsidR="00047E8C" w:rsidRPr="0084482E" w:rsidRDefault="00047E8C" w:rsidP="00047E8C">
      <w:pPr>
        <w:pStyle w:val="BodyTextIndent2"/>
        <w:ind w:left="0" w:firstLine="0"/>
        <w:rPr>
          <w:spacing w:val="2"/>
        </w:rPr>
      </w:pPr>
      <w:bookmarkStart w:id="2" w:name="_GoBack"/>
      <w:bookmarkEnd w:id="2"/>
    </w:p>
    <w:sectPr w:rsidR="00047E8C" w:rsidRPr="0084482E" w:rsidSect="00776B35">
      <w:footerReference w:type="default" r:id="rId8"/>
      <w:pgSz w:w="11906" w:h="16838"/>
      <w:pgMar w:top="1440" w:right="1440" w:bottom="1170" w:left="144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22" w:rsidRDefault="00856822" w:rsidP="00542027">
      <w:pPr>
        <w:spacing w:line="240" w:lineRule="auto"/>
      </w:pPr>
      <w:r>
        <w:separator/>
      </w:r>
    </w:p>
  </w:endnote>
  <w:endnote w:type="continuationSeparator" w:id="0">
    <w:p w:rsidR="00856822" w:rsidRDefault="00856822" w:rsidP="0054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02" w:rsidRPr="004A7502" w:rsidRDefault="004A7502" w:rsidP="004A7502">
    <w:pPr>
      <w:pBdr>
        <w:top w:val="thinThickSmallGap" w:sz="24" w:space="0" w:color="622423"/>
      </w:pBdr>
      <w:tabs>
        <w:tab w:val="center" w:pos="4513"/>
        <w:tab w:val="right" w:pos="9026"/>
        <w:tab w:val="right" w:pos="9360"/>
      </w:tabs>
      <w:spacing w:line="240" w:lineRule="auto"/>
      <w:rPr>
        <w:rFonts w:eastAsia="Calibri"/>
      </w:rPr>
    </w:pPr>
    <w:r w:rsidRPr="004A7502">
      <w:rPr>
        <w:rFonts w:eastAsia="Calibri"/>
      </w:rPr>
      <w:t>Vendim i Kolegjit</w:t>
    </w:r>
    <w:r w:rsidRPr="004A7502">
      <w:rPr>
        <w:rFonts w:eastAsia="Calibri"/>
      </w:rPr>
      <w:tab/>
    </w:r>
    <w:r w:rsidRPr="004A7502">
      <w:rPr>
        <w:rFonts w:eastAsia="Calibri"/>
      </w:rPr>
      <w:tab/>
      <w:t xml:space="preserve">Faqe </w:t>
    </w:r>
    <w:r w:rsidRPr="004A7502">
      <w:rPr>
        <w:rFonts w:eastAsia="Calibri"/>
      </w:rPr>
      <w:fldChar w:fldCharType="begin"/>
    </w:r>
    <w:r w:rsidRPr="004A7502">
      <w:rPr>
        <w:rFonts w:eastAsia="Calibri"/>
      </w:rPr>
      <w:instrText xml:space="preserve"> PAGE   \* MERGEFORMAT </w:instrText>
    </w:r>
    <w:r w:rsidRPr="004A7502">
      <w:rPr>
        <w:rFonts w:eastAsia="Calibri"/>
      </w:rPr>
      <w:fldChar w:fldCharType="separate"/>
    </w:r>
    <w:r w:rsidR="00946BF6" w:rsidRPr="00946BF6">
      <w:rPr>
        <w:rFonts w:ascii="Calibri" w:eastAsia="Calibri" w:hAnsi="Calibri"/>
        <w:noProof/>
        <w:sz w:val="22"/>
        <w:szCs w:val="22"/>
        <w:lang w:val="en-US"/>
      </w:rPr>
      <w:t>19</w:t>
    </w:r>
    <w:r w:rsidRPr="004A7502">
      <w:rPr>
        <w:rFonts w:eastAsia="Calibri"/>
      </w:rPr>
      <w:fldChar w:fldCharType="end"/>
    </w:r>
  </w:p>
  <w:p w:rsidR="004D7400" w:rsidRDefault="004A7502" w:rsidP="00950A07">
    <w:pPr>
      <w:pBdr>
        <w:top w:val="thinThickSmallGap" w:sz="24" w:space="0" w:color="622423"/>
      </w:pBdr>
      <w:tabs>
        <w:tab w:val="center" w:pos="4513"/>
        <w:tab w:val="right" w:pos="9026"/>
        <w:tab w:val="right" w:pos="9360"/>
      </w:tabs>
      <w:spacing w:line="240" w:lineRule="auto"/>
    </w:pPr>
    <w:r w:rsidRPr="004A7502">
      <w:rPr>
        <w:rFonts w:eastAsia="Calibri"/>
      </w:rPr>
      <w:t xml:space="preserve">Kërkues: </w:t>
    </w:r>
    <w:proofErr w:type="spellStart"/>
    <w:r>
      <w:rPr>
        <w:rFonts w:eastAsia="Calibri"/>
      </w:rPr>
      <w:t>Thoma</w:t>
    </w:r>
    <w:proofErr w:type="spellEnd"/>
    <w:r>
      <w:rPr>
        <w:rFonts w:eastAsia="Calibri"/>
      </w:rPr>
      <w:t xml:space="preserve"> </w:t>
    </w:r>
    <w:proofErr w:type="spellStart"/>
    <w:r>
      <w:rPr>
        <w:rFonts w:eastAsia="Calibri"/>
      </w:rPr>
      <w:t>Gëllçi</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22" w:rsidRDefault="00856822" w:rsidP="00542027">
      <w:pPr>
        <w:spacing w:line="240" w:lineRule="auto"/>
      </w:pPr>
      <w:r>
        <w:separator/>
      </w:r>
    </w:p>
  </w:footnote>
  <w:footnote w:type="continuationSeparator" w:id="0">
    <w:p w:rsidR="00856822" w:rsidRDefault="00856822" w:rsidP="005420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824"/>
    <w:multiLevelType w:val="hybridMultilevel"/>
    <w:tmpl w:val="A9E0AB64"/>
    <w:lvl w:ilvl="0" w:tplc="493851EE">
      <w:start w:val="1"/>
      <w:numFmt w:val="decimal"/>
      <w:lvlText w:val="8.1.%1."/>
      <w:lvlJc w:val="left"/>
      <w:pPr>
        <w:ind w:left="1950" w:hanging="360"/>
      </w:pPr>
      <w:rPr>
        <w:rFonts w:hint="default"/>
        <w:i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15:restartNumberingAfterBreak="0">
    <w:nsid w:val="21EF0A7F"/>
    <w:multiLevelType w:val="hybridMultilevel"/>
    <w:tmpl w:val="DE96C402"/>
    <w:lvl w:ilvl="0" w:tplc="67B61C30">
      <w:start w:val="1"/>
      <w:numFmt w:val="decimal"/>
      <w:lvlText w:val="1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3D1048"/>
    <w:multiLevelType w:val="hybridMultilevel"/>
    <w:tmpl w:val="D226AE24"/>
    <w:lvl w:ilvl="0" w:tplc="0EEE2BF8">
      <w:start w:val="1"/>
      <w:numFmt w:val="decimal"/>
      <w:lvlText w:val="%1."/>
      <w:lvlJc w:val="left"/>
      <w:pPr>
        <w:ind w:left="720" w:hanging="360"/>
      </w:pPr>
      <w:rPr>
        <w:i w:val="0"/>
      </w:rPr>
    </w:lvl>
    <w:lvl w:ilvl="1" w:tplc="804C5678">
      <w:start w:val="1"/>
      <w:numFmt w:val="decimal"/>
      <w:lvlText w:val="10.%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2386D"/>
    <w:multiLevelType w:val="hybridMultilevel"/>
    <w:tmpl w:val="767ABFBE"/>
    <w:lvl w:ilvl="0" w:tplc="BBEE0CC6">
      <w:start w:val="1"/>
      <w:numFmt w:val="decimal"/>
      <w:lvlText w:val="9.1.%1."/>
      <w:lvlJc w:val="left"/>
      <w:pPr>
        <w:ind w:left="2160" w:hanging="360"/>
      </w:pPr>
      <w:rPr>
        <w:rFonts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2A611DE"/>
    <w:multiLevelType w:val="hybridMultilevel"/>
    <w:tmpl w:val="48EE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B7900"/>
    <w:multiLevelType w:val="hybridMultilevel"/>
    <w:tmpl w:val="66DEDC16"/>
    <w:lvl w:ilvl="0" w:tplc="98D0E504">
      <w:start w:val="1"/>
      <w:numFmt w:val="decimal"/>
      <w:lvlText w:val="9.1.%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8411885"/>
    <w:multiLevelType w:val="hybridMultilevel"/>
    <w:tmpl w:val="048E152C"/>
    <w:lvl w:ilvl="0" w:tplc="471C6FF8">
      <w:start w:val="1"/>
      <w:numFmt w:val="decimal"/>
      <w:lvlText w:val="15.1.%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6524B4F"/>
    <w:multiLevelType w:val="hybridMultilevel"/>
    <w:tmpl w:val="0A8E3324"/>
    <w:lvl w:ilvl="0" w:tplc="5E2C437A">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070F31"/>
    <w:multiLevelType w:val="hybridMultilevel"/>
    <w:tmpl w:val="AA5AE76C"/>
    <w:lvl w:ilvl="0" w:tplc="C7DAAB06">
      <w:start w:val="1"/>
      <w:numFmt w:val="decimal"/>
      <w:lvlText w:val="15.2.%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455A14"/>
    <w:multiLevelType w:val="hybridMultilevel"/>
    <w:tmpl w:val="D226AE24"/>
    <w:lvl w:ilvl="0" w:tplc="0EEE2BF8">
      <w:start w:val="1"/>
      <w:numFmt w:val="decimal"/>
      <w:lvlText w:val="%1."/>
      <w:lvlJc w:val="left"/>
      <w:pPr>
        <w:ind w:left="720" w:hanging="360"/>
      </w:pPr>
      <w:rPr>
        <w:i w:val="0"/>
      </w:rPr>
    </w:lvl>
    <w:lvl w:ilvl="1" w:tplc="804C5678">
      <w:start w:val="1"/>
      <w:numFmt w:val="decimal"/>
      <w:lvlText w:val="10.%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B01AD"/>
    <w:multiLevelType w:val="hybridMultilevel"/>
    <w:tmpl w:val="04B4DFAA"/>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4"/>
  </w:num>
  <w:num w:numId="6">
    <w:abstractNumId w:val="1"/>
  </w:num>
  <w:num w:numId="7">
    <w:abstractNumId w:val="3"/>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27"/>
    <w:rsid w:val="00003A8C"/>
    <w:rsid w:val="00004B3F"/>
    <w:rsid w:val="0000656B"/>
    <w:rsid w:val="00012CDB"/>
    <w:rsid w:val="00012FED"/>
    <w:rsid w:val="00020D1F"/>
    <w:rsid w:val="000224B0"/>
    <w:rsid w:val="00024AE0"/>
    <w:rsid w:val="00032083"/>
    <w:rsid w:val="00032F24"/>
    <w:rsid w:val="0003355E"/>
    <w:rsid w:val="00035CE4"/>
    <w:rsid w:val="000415DF"/>
    <w:rsid w:val="00045381"/>
    <w:rsid w:val="00047E8C"/>
    <w:rsid w:val="00050C33"/>
    <w:rsid w:val="0005276E"/>
    <w:rsid w:val="00054D20"/>
    <w:rsid w:val="0005669E"/>
    <w:rsid w:val="000601B0"/>
    <w:rsid w:val="00060CF9"/>
    <w:rsid w:val="0006162B"/>
    <w:rsid w:val="00062FBB"/>
    <w:rsid w:val="00064388"/>
    <w:rsid w:val="0007076E"/>
    <w:rsid w:val="000727C7"/>
    <w:rsid w:val="00072AD0"/>
    <w:rsid w:val="000743DB"/>
    <w:rsid w:val="000842EC"/>
    <w:rsid w:val="0009285F"/>
    <w:rsid w:val="00092F69"/>
    <w:rsid w:val="00094633"/>
    <w:rsid w:val="000A0C64"/>
    <w:rsid w:val="000A28FC"/>
    <w:rsid w:val="000A7F76"/>
    <w:rsid w:val="000B4822"/>
    <w:rsid w:val="000B4B3E"/>
    <w:rsid w:val="000B6077"/>
    <w:rsid w:val="000C2C9C"/>
    <w:rsid w:val="000C3733"/>
    <w:rsid w:val="000C56B0"/>
    <w:rsid w:val="000D43CA"/>
    <w:rsid w:val="000D74BC"/>
    <w:rsid w:val="000E4CE6"/>
    <w:rsid w:val="000E4EAF"/>
    <w:rsid w:val="000E5BCF"/>
    <w:rsid w:val="000E6DE0"/>
    <w:rsid w:val="000F17EC"/>
    <w:rsid w:val="000F21D6"/>
    <w:rsid w:val="000F7080"/>
    <w:rsid w:val="000F7218"/>
    <w:rsid w:val="001014FF"/>
    <w:rsid w:val="00103C3B"/>
    <w:rsid w:val="001042FB"/>
    <w:rsid w:val="001047E4"/>
    <w:rsid w:val="00104A78"/>
    <w:rsid w:val="00104A85"/>
    <w:rsid w:val="00113F79"/>
    <w:rsid w:val="00114AC4"/>
    <w:rsid w:val="00114AFD"/>
    <w:rsid w:val="001178B6"/>
    <w:rsid w:val="001227E2"/>
    <w:rsid w:val="00125552"/>
    <w:rsid w:val="001341E7"/>
    <w:rsid w:val="001366AA"/>
    <w:rsid w:val="00142AD6"/>
    <w:rsid w:val="0014491B"/>
    <w:rsid w:val="001449E4"/>
    <w:rsid w:val="00146649"/>
    <w:rsid w:val="00146DEB"/>
    <w:rsid w:val="001533B7"/>
    <w:rsid w:val="00153B81"/>
    <w:rsid w:val="001552D2"/>
    <w:rsid w:val="001557B5"/>
    <w:rsid w:val="00157CA9"/>
    <w:rsid w:val="001605A8"/>
    <w:rsid w:val="00161F5C"/>
    <w:rsid w:val="0017244C"/>
    <w:rsid w:val="00173046"/>
    <w:rsid w:val="00175607"/>
    <w:rsid w:val="0018592F"/>
    <w:rsid w:val="0019002B"/>
    <w:rsid w:val="001902C4"/>
    <w:rsid w:val="00193FD0"/>
    <w:rsid w:val="001A14CB"/>
    <w:rsid w:val="001A208B"/>
    <w:rsid w:val="001A3338"/>
    <w:rsid w:val="001A7071"/>
    <w:rsid w:val="001B29D6"/>
    <w:rsid w:val="001B45F0"/>
    <w:rsid w:val="001B48F6"/>
    <w:rsid w:val="001C0FB7"/>
    <w:rsid w:val="001C1FD0"/>
    <w:rsid w:val="001C44B5"/>
    <w:rsid w:val="001C47A1"/>
    <w:rsid w:val="001C60E6"/>
    <w:rsid w:val="001D2213"/>
    <w:rsid w:val="001D34B0"/>
    <w:rsid w:val="001D5E40"/>
    <w:rsid w:val="001D70B8"/>
    <w:rsid w:val="001E0B54"/>
    <w:rsid w:val="001E4720"/>
    <w:rsid w:val="001E4E5B"/>
    <w:rsid w:val="001F0DFD"/>
    <w:rsid w:val="001F0FB5"/>
    <w:rsid w:val="001F2539"/>
    <w:rsid w:val="001F7D2E"/>
    <w:rsid w:val="0020409E"/>
    <w:rsid w:val="00204E33"/>
    <w:rsid w:val="00206075"/>
    <w:rsid w:val="00207DCA"/>
    <w:rsid w:val="00211754"/>
    <w:rsid w:val="00214328"/>
    <w:rsid w:val="00217D4E"/>
    <w:rsid w:val="00222FEB"/>
    <w:rsid w:val="002243ED"/>
    <w:rsid w:val="002325F3"/>
    <w:rsid w:val="0023337A"/>
    <w:rsid w:val="002344C8"/>
    <w:rsid w:val="00235136"/>
    <w:rsid w:val="00235777"/>
    <w:rsid w:val="00240B55"/>
    <w:rsid w:val="00240E54"/>
    <w:rsid w:val="00242039"/>
    <w:rsid w:val="00243357"/>
    <w:rsid w:val="0024362F"/>
    <w:rsid w:val="0025141B"/>
    <w:rsid w:val="00251E2B"/>
    <w:rsid w:val="00252328"/>
    <w:rsid w:val="002602F1"/>
    <w:rsid w:val="00260D8A"/>
    <w:rsid w:val="00267C61"/>
    <w:rsid w:val="00270B87"/>
    <w:rsid w:val="00271603"/>
    <w:rsid w:val="00275187"/>
    <w:rsid w:val="002751E4"/>
    <w:rsid w:val="00276C7E"/>
    <w:rsid w:val="00280397"/>
    <w:rsid w:val="00287BD5"/>
    <w:rsid w:val="0029508F"/>
    <w:rsid w:val="002A4789"/>
    <w:rsid w:val="002A482F"/>
    <w:rsid w:val="002A627A"/>
    <w:rsid w:val="002A67CA"/>
    <w:rsid w:val="002A6899"/>
    <w:rsid w:val="002A79AD"/>
    <w:rsid w:val="002B0B77"/>
    <w:rsid w:val="002B4005"/>
    <w:rsid w:val="002B595B"/>
    <w:rsid w:val="002B7C77"/>
    <w:rsid w:val="002C1FE8"/>
    <w:rsid w:val="002C4019"/>
    <w:rsid w:val="002C42FA"/>
    <w:rsid w:val="002C57EA"/>
    <w:rsid w:val="002C75B4"/>
    <w:rsid w:val="002C7F80"/>
    <w:rsid w:val="002D72AC"/>
    <w:rsid w:val="002E4E27"/>
    <w:rsid w:val="002F1CCF"/>
    <w:rsid w:val="002F6BC0"/>
    <w:rsid w:val="002F7488"/>
    <w:rsid w:val="002F7C88"/>
    <w:rsid w:val="00302E88"/>
    <w:rsid w:val="003034D3"/>
    <w:rsid w:val="0030458A"/>
    <w:rsid w:val="003054F2"/>
    <w:rsid w:val="003058A7"/>
    <w:rsid w:val="0030714B"/>
    <w:rsid w:val="00314D00"/>
    <w:rsid w:val="00323697"/>
    <w:rsid w:val="00325583"/>
    <w:rsid w:val="0032789D"/>
    <w:rsid w:val="00331600"/>
    <w:rsid w:val="00333D65"/>
    <w:rsid w:val="0033480A"/>
    <w:rsid w:val="00340426"/>
    <w:rsid w:val="00341FD4"/>
    <w:rsid w:val="00345799"/>
    <w:rsid w:val="003462F3"/>
    <w:rsid w:val="0035424D"/>
    <w:rsid w:val="00354D05"/>
    <w:rsid w:val="003561D6"/>
    <w:rsid w:val="00357FE4"/>
    <w:rsid w:val="00366ED3"/>
    <w:rsid w:val="00372EB6"/>
    <w:rsid w:val="003739E3"/>
    <w:rsid w:val="00375080"/>
    <w:rsid w:val="00382503"/>
    <w:rsid w:val="00383B7F"/>
    <w:rsid w:val="0038559C"/>
    <w:rsid w:val="00391C7E"/>
    <w:rsid w:val="00391F14"/>
    <w:rsid w:val="00391FBD"/>
    <w:rsid w:val="00392ED4"/>
    <w:rsid w:val="0039371B"/>
    <w:rsid w:val="00393B26"/>
    <w:rsid w:val="0039441F"/>
    <w:rsid w:val="0039611A"/>
    <w:rsid w:val="0039736B"/>
    <w:rsid w:val="003A3300"/>
    <w:rsid w:val="003A5B74"/>
    <w:rsid w:val="003B07E5"/>
    <w:rsid w:val="003B2FC8"/>
    <w:rsid w:val="003B3BF9"/>
    <w:rsid w:val="003B5686"/>
    <w:rsid w:val="003B6F60"/>
    <w:rsid w:val="003B7A0E"/>
    <w:rsid w:val="003C1F49"/>
    <w:rsid w:val="003C20ED"/>
    <w:rsid w:val="003C2D59"/>
    <w:rsid w:val="003C39B6"/>
    <w:rsid w:val="003C3FDD"/>
    <w:rsid w:val="003C4096"/>
    <w:rsid w:val="003D1334"/>
    <w:rsid w:val="003D6FCF"/>
    <w:rsid w:val="003E2134"/>
    <w:rsid w:val="003E72DF"/>
    <w:rsid w:val="003E7F78"/>
    <w:rsid w:val="003F359D"/>
    <w:rsid w:val="003F62A7"/>
    <w:rsid w:val="003F6384"/>
    <w:rsid w:val="003F7D92"/>
    <w:rsid w:val="00404B1A"/>
    <w:rsid w:val="004101E2"/>
    <w:rsid w:val="0041148F"/>
    <w:rsid w:val="004124C1"/>
    <w:rsid w:val="00422AD1"/>
    <w:rsid w:val="0042461A"/>
    <w:rsid w:val="00427030"/>
    <w:rsid w:val="00427AC1"/>
    <w:rsid w:val="004310B4"/>
    <w:rsid w:val="004311ED"/>
    <w:rsid w:val="00433485"/>
    <w:rsid w:val="0043491F"/>
    <w:rsid w:val="00436F9D"/>
    <w:rsid w:val="00441391"/>
    <w:rsid w:val="00442C4F"/>
    <w:rsid w:val="00443E55"/>
    <w:rsid w:val="00450D18"/>
    <w:rsid w:val="00451343"/>
    <w:rsid w:val="00455216"/>
    <w:rsid w:val="00457246"/>
    <w:rsid w:val="00461D4F"/>
    <w:rsid w:val="004666A3"/>
    <w:rsid w:val="00467570"/>
    <w:rsid w:val="00470859"/>
    <w:rsid w:val="00473C98"/>
    <w:rsid w:val="00477DBC"/>
    <w:rsid w:val="00481E8E"/>
    <w:rsid w:val="004851A8"/>
    <w:rsid w:val="00485485"/>
    <w:rsid w:val="004878A0"/>
    <w:rsid w:val="004906BC"/>
    <w:rsid w:val="00491F0C"/>
    <w:rsid w:val="00493780"/>
    <w:rsid w:val="00495A66"/>
    <w:rsid w:val="004A4CA9"/>
    <w:rsid w:val="004A6A4C"/>
    <w:rsid w:val="004A7502"/>
    <w:rsid w:val="004B2546"/>
    <w:rsid w:val="004B3413"/>
    <w:rsid w:val="004B506F"/>
    <w:rsid w:val="004B728C"/>
    <w:rsid w:val="004C3163"/>
    <w:rsid w:val="004C3A4A"/>
    <w:rsid w:val="004C40D0"/>
    <w:rsid w:val="004D3388"/>
    <w:rsid w:val="004D54B2"/>
    <w:rsid w:val="004D7400"/>
    <w:rsid w:val="004D755E"/>
    <w:rsid w:val="004E264D"/>
    <w:rsid w:val="004E2DB2"/>
    <w:rsid w:val="004E6339"/>
    <w:rsid w:val="004F1ADB"/>
    <w:rsid w:val="004F1EAC"/>
    <w:rsid w:val="004F2B96"/>
    <w:rsid w:val="004F74CB"/>
    <w:rsid w:val="00503D30"/>
    <w:rsid w:val="00503FD5"/>
    <w:rsid w:val="00510D31"/>
    <w:rsid w:val="00512099"/>
    <w:rsid w:val="00513974"/>
    <w:rsid w:val="005153BB"/>
    <w:rsid w:val="005166AF"/>
    <w:rsid w:val="005220FC"/>
    <w:rsid w:val="00525A21"/>
    <w:rsid w:val="00525FE9"/>
    <w:rsid w:val="00527E31"/>
    <w:rsid w:val="0053104D"/>
    <w:rsid w:val="00533F13"/>
    <w:rsid w:val="00534E82"/>
    <w:rsid w:val="00535F8A"/>
    <w:rsid w:val="005414AA"/>
    <w:rsid w:val="00542027"/>
    <w:rsid w:val="0054328F"/>
    <w:rsid w:val="00543CCA"/>
    <w:rsid w:val="005468A0"/>
    <w:rsid w:val="0055163E"/>
    <w:rsid w:val="00555281"/>
    <w:rsid w:val="005608F8"/>
    <w:rsid w:val="00560985"/>
    <w:rsid w:val="00561774"/>
    <w:rsid w:val="005711B5"/>
    <w:rsid w:val="00574151"/>
    <w:rsid w:val="0057544F"/>
    <w:rsid w:val="00581AAF"/>
    <w:rsid w:val="005820A8"/>
    <w:rsid w:val="005836B8"/>
    <w:rsid w:val="005863F4"/>
    <w:rsid w:val="00587DB3"/>
    <w:rsid w:val="00592DF6"/>
    <w:rsid w:val="00595DE1"/>
    <w:rsid w:val="0059705F"/>
    <w:rsid w:val="005B36A3"/>
    <w:rsid w:val="005B465B"/>
    <w:rsid w:val="005B476D"/>
    <w:rsid w:val="005B7F26"/>
    <w:rsid w:val="005C1625"/>
    <w:rsid w:val="005C38C2"/>
    <w:rsid w:val="005C6009"/>
    <w:rsid w:val="005D1A86"/>
    <w:rsid w:val="005D3EC2"/>
    <w:rsid w:val="005D45DB"/>
    <w:rsid w:val="005D4A23"/>
    <w:rsid w:val="005D7431"/>
    <w:rsid w:val="005E2D99"/>
    <w:rsid w:val="005E7F58"/>
    <w:rsid w:val="005F0961"/>
    <w:rsid w:val="005F11B2"/>
    <w:rsid w:val="005F316E"/>
    <w:rsid w:val="005F341A"/>
    <w:rsid w:val="005F5226"/>
    <w:rsid w:val="005F567D"/>
    <w:rsid w:val="005F6D0A"/>
    <w:rsid w:val="006076DE"/>
    <w:rsid w:val="00613C81"/>
    <w:rsid w:val="00615428"/>
    <w:rsid w:val="00624C3B"/>
    <w:rsid w:val="00625AD4"/>
    <w:rsid w:val="00627A89"/>
    <w:rsid w:val="00630C43"/>
    <w:rsid w:val="006350FC"/>
    <w:rsid w:val="00645F1E"/>
    <w:rsid w:val="006626D2"/>
    <w:rsid w:val="00663B3B"/>
    <w:rsid w:val="0066439C"/>
    <w:rsid w:val="00666AA0"/>
    <w:rsid w:val="00667BE5"/>
    <w:rsid w:val="00667C95"/>
    <w:rsid w:val="006709F0"/>
    <w:rsid w:val="0067688E"/>
    <w:rsid w:val="00676C34"/>
    <w:rsid w:val="00681547"/>
    <w:rsid w:val="00681727"/>
    <w:rsid w:val="006832CA"/>
    <w:rsid w:val="006837BA"/>
    <w:rsid w:val="00685C92"/>
    <w:rsid w:val="00687617"/>
    <w:rsid w:val="00694523"/>
    <w:rsid w:val="0069635C"/>
    <w:rsid w:val="006A08FC"/>
    <w:rsid w:val="006A0BDB"/>
    <w:rsid w:val="006A21DA"/>
    <w:rsid w:val="006A7DD9"/>
    <w:rsid w:val="006B1945"/>
    <w:rsid w:val="006B49D5"/>
    <w:rsid w:val="006B6A45"/>
    <w:rsid w:val="006C1028"/>
    <w:rsid w:val="006C2A76"/>
    <w:rsid w:val="006C3060"/>
    <w:rsid w:val="006C58C6"/>
    <w:rsid w:val="006C793B"/>
    <w:rsid w:val="006C7EF3"/>
    <w:rsid w:val="006D3075"/>
    <w:rsid w:val="006D74F0"/>
    <w:rsid w:val="006E04EE"/>
    <w:rsid w:val="006E0F7D"/>
    <w:rsid w:val="006E23F0"/>
    <w:rsid w:val="006E589F"/>
    <w:rsid w:val="006E635F"/>
    <w:rsid w:val="006F044B"/>
    <w:rsid w:val="006F431B"/>
    <w:rsid w:val="006F4B1F"/>
    <w:rsid w:val="006F4B94"/>
    <w:rsid w:val="006F563D"/>
    <w:rsid w:val="006F60FD"/>
    <w:rsid w:val="006F6467"/>
    <w:rsid w:val="00700575"/>
    <w:rsid w:val="007025CE"/>
    <w:rsid w:val="007032CE"/>
    <w:rsid w:val="0070337D"/>
    <w:rsid w:val="00706F7A"/>
    <w:rsid w:val="00712C60"/>
    <w:rsid w:val="007135EE"/>
    <w:rsid w:val="00717360"/>
    <w:rsid w:val="007221B3"/>
    <w:rsid w:val="007241CE"/>
    <w:rsid w:val="00724B8F"/>
    <w:rsid w:val="00725699"/>
    <w:rsid w:val="00726471"/>
    <w:rsid w:val="00727B64"/>
    <w:rsid w:val="00730C22"/>
    <w:rsid w:val="00736BA2"/>
    <w:rsid w:val="00743B09"/>
    <w:rsid w:val="00744AE4"/>
    <w:rsid w:val="00750785"/>
    <w:rsid w:val="0075096C"/>
    <w:rsid w:val="00751DBE"/>
    <w:rsid w:val="00752D01"/>
    <w:rsid w:val="007542E5"/>
    <w:rsid w:val="007544CF"/>
    <w:rsid w:val="00754E7E"/>
    <w:rsid w:val="00754FDB"/>
    <w:rsid w:val="007554C4"/>
    <w:rsid w:val="007562EB"/>
    <w:rsid w:val="007579D3"/>
    <w:rsid w:val="00762941"/>
    <w:rsid w:val="00770984"/>
    <w:rsid w:val="00771E88"/>
    <w:rsid w:val="0077222F"/>
    <w:rsid w:val="007763D3"/>
    <w:rsid w:val="00776B35"/>
    <w:rsid w:val="00780A89"/>
    <w:rsid w:val="00784097"/>
    <w:rsid w:val="00784CFD"/>
    <w:rsid w:val="007957A6"/>
    <w:rsid w:val="007963CB"/>
    <w:rsid w:val="00797723"/>
    <w:rsid w:val="007A3EAB"/>
    <w:rsid w:val="007A559C"/>
    <w:rsid w:val="007A6771"/>
    <w:rsid w:val="007A7EE1"/>
    <w:rsid w:val="007B11C4"/>
    <w:rsid w:val="007B1EAC"/>
    <w:rsid w:val="007B6AE9"/>
    <w:rsid w:val="007C4155"/>
    <w:rsid w:val="007D3210"/>
    <w:rsid w:val="007D3501"/>
    <w:rsid w:val="007D350C"/>
    <w:rsid w:val="007D5789"/>
    <w:rsid w:val="007D5A38"/>
    <w:rsid w:val="007E4992"/>
    <w:rsid w:val="007F1698"/>
    <w:rsid w:val="007F1C27"/>
    <w:rsid w:val="007F3B86"/>
    <w:rsid w:val="008001B2"/>
    <w:rsid w:val="008016CD"/>
    <w:rsid w:val="00802FBC"/>
    <w:rsid w:val="008071DC"/>
    <w:rsid w:val="00807B4A"/>
    <w:rsid w:val="00810F60"/>
    <w:rsid w:val="008128AB"/>
    <w:rsid w:val="008140FA"/>
    <w:rsid w:val="0081509C"/>
    <w:rsid w:val="008201B3"/>
    <w:rsid w:val="00824B1C"/>
    <w:rsid w:val="00830ED8"/>
    <w:rsid w:val="0083274B"/>
    <w:rsid w:val="00834E57"/>
    <w:rsid w:val="00841FCC"/>
    <w:rsid w:val="008422D9"/>
    <w:rsid w:val="0084482E"/>
    <w:rsid w:val="00855A62"/>
    <w:rsid w:val="00856822"/>
    <w:rsid w:val="00856C7A"/>
    <w:rsid w:val="00860034"/>
    <w:rsid w:val="00860360"/>
    <w:rsid w:val="00864F6E"/>
    <w:rsid w:val="00866144"/>
    <w:rsid w:val="00871765"/>
    <w:rsid w:val="00871876"/>
    <w:rsid w:val="00873788"/>
    <w:rsid w:val="00875218"/>
    <w:rsid w:val="00876A62"/>
    <w:rsid w:val="00877283"/>
    <w:rsid w:val="00880868"/>
    <w:rsid w:val="00885522"/>
    <w:rsid w:val="008867A8"/>
    <w:rsid w:val="00886C42"/>
    <w:rsid w:val="00886F5F"/>
    <w:rsid w:val="00890D68"/>
    <w:rsid w:val="00895006"/>
    <w:rsid w:val="008960DF"/>
    <w:rsid w:val="008A24B8"/>
    <w:rsid w:val="008A4C5A"/>
    <w:rsid w:val="008A4C7A"/>
    <w:rsid w:val="008A7355"/>
    <w:rsid w:val="008B5255"/>
    <w:rsid w:val="008B5892"/>
    <w:rsid w:val="008B751A"/>
    <w:rsid w:val="008C1889"/>
    <w:rsid w:val="008C1B76"/>
    <w:rsid w:val="008C3737"/>
    <w:rsid w:val="008C3C3D"/>
    <w:rsid w:val="008C3EA8"/>
    <w:rsid w:val="008D1130"/>
    <w:rsid w:val="008D67A3"/>
    <w:rsid w:val="008E4BE4"/>
    <w:rsid w:val="008E6565"/>
    <w:rsid w:val="008E69E9"/>
    <w:rsid w:val="008E7082"/>
    <w:rsid w:val="008E76AF"/>
    <w:rsid w:val="008F0C47"/>
    <w:rsid w:val="008F40D4"/>
    <w:rsid w:val="008F547B"/>
    <w:rsid w:val="008F5F33"/>
    <w:rsid w:val="00900DB9"/>
    <w:rsid w:val="00901958"/>
    <w:rsid w:val="009069F9"/>
    <w:rsid w:val="00907614"/>
    <w:rsid w:val="009137E6"/>
    <w:rsid w:val="009156CD"/>
    <w:rsid w:val="009164EB"/>
    <w:rsid w:val="00916ED9"/>
    <w:rsid w:val="00917BCA"/>
    <w:rsid w:val="00917E14"/>
    <w:rsid w:val="009231F7"/>
    <w:rsid w:val="00923D29"/>
    <w:rsid w:val="00925AD2"/>
    <w:rsid w:val="00927159"/>
    <w:rsid w:val="009271E7"/>
    <w:rsid w:val="009305EC"/>
    <w:rsid w:val="00933834"/>
    <w:rsid w:val="00933A99"/>
    <w:rsid w:val="00934E91"/>
    <w:rsid w:val="00935D6E"/>
    <w:rsid w:val="00941A20"/>
    <w:rsid w:val="00945211"/>
    <w:rsid w:val="00946BF6"/>
    <w:rsid w:val="00950A07"/>
    <w:rsid w:val="009621BF"/>
    <w:rsid w:val="00962397"/>
    <w:rsid w:val="00963197"/>
    <w:rsid w:val="009639A7"/>
    <w:rsid w:val="00965C57"/>
    <w:rsid w:val="00967205"/>
    <w:rsid w:val="009747BF"/>
    <w:rsid w:val="00976786"/>
    <w:rsid w:val="00980790"/>
    <w:rsid w:val="00980E52"/>
    <w:rsid w:val="0099027F"/>
    <w:rsid w:val="0099291C"/>
    <w:rsid w:val="00992C1F"/>
    <w:rsid w:val="009935FF"/>
    <w:rsid w:val="00994DA2"/>
    <w:rsid w:val="009A21D7"/>
    <w:rsid w:val="009A2BCE"/>
    <w:rsid w:val="009A43A1"/>
    <w:rsid w:val="009A5845"/>
    <w:rsid w:val="009B070D"/>
    <w:rsid w:val="009B07B1"/>
    <w:rsid w:val="009B1058"/>
    <w:rsid w:val="009C26CE"/>
    <w:rsid w:val="009C75C0"/>
    <w:rsid w:val="009D4C0B"/>
    <w:rsid w:val="009D7F77"/>
    <w:rsid w:val="009E7457"/>
    <w:rsid w:val="009F155B"/>
    <w:rsid w:val="009F15E2"/>
    <w:rsid w:val="009F2A5C"/>
    <w:rsid w:val="009F4482"/>
    <w:rsid w:val="009F560D"/>
    <w:rsid w:val="00A00FBE"/>
    <w:rsid w:val="00A01727"/>
    <w:rsid w:val="00A04493"/>
    <w:rsid w:val="00A0589F"/>
    <w:rsid w:val="00A12397"/>
    <w:rsid w:val="00A13A62"/>
    <w:rsid w:val="00A2006B"/>
    <w:rsid w:val="00A206F4"/>
    <w:rsid w:val="00A23725"/>
    <w:rsid w:val="00A33244"/>
    <w:rsid w:val="00A33C5A"/>
    <w:rsid w:val="00A367CE"/>
    <w:rsid w:val="00A375FC"/>
    <w:rsid w:val="00A379F3"/>
    <w:rsid w:val="00A435B2"/>
    <w:rsid w:val="00A462E4"/>
    <w:rsid w:val="00A472E2"/>
    <w:rsid w:val="00A54D5A"/>
    <w:rsid w:val="00A617D3"/>
    <w:rsid w:val="00A627B0"/>
    <w:rsid w:val="00A65D86"/>
    <w:rsid w:val="00A72044"/>
    <w:rsid w:val="00A7371E"/>
    <w:rsid w:val="00A74CDA"/>
    <w:rsid w:val="00A8584F"/>
    <w:rsid w:val="00A85985"/>
    <w:rsid w:val="00A8600E"/>
    <w:rsid w:val="00A8795D"/>
    <w:rsid w:val="00A87DC0"/>
    <w:rsid w:val="00A93BB1"/>
    <w:rsid w:val="00A9507C"/>
    <w:rsid w:val="00AA2EE0"/>
    <w:rsid w:val="00AA50DE"/>
    <w:rsid w:val="00AA66F3"/>
    <w:rsid w:val="00AB4F06"/>
    <w:rsid w:val="00AC1C10"/>
    <w:rsid w:val="00AC4642"/>
    <w:rsid w:val="00AD1016"/>
    <w:rsid w:val="00AE179D"/>
    <w:rsid w:val="00AE26ED"/>
    <w:rsid w:val="00AE3439"/>
    <w:rsid w:val="00AE510D"/>
    <w:rsid w:val="00AF0491"/>
    <w:rsid w:val="00AF0DC9"/>
    <w:rsid w:val="00AF1636"/>
    <w:rsid w:val="00AF1750"/>
    <w:rsid w:val="00AF2248"/>
    <w:rsid w:val="00AF2ED0"/>
    <w:rsid w:val="00AF3B26"/>
    <w:rsid w:val="00AF6AFE"/>
    <w:rsid w:val="00B00D65"/>
    <w:rsid w:val="00B011F0"/>
    <w:rsid w:val="00B04F12"/>
    <w:rsid w:val="00B0745F"/>
    <w:rsid w:val="00B07C24"/>
    <w:rsid w:val="00B11C53"/>
    <w:rsid w:val="00B12253"/>
    <w:rsid w:val="00B17E0D"/>
    <w:rsid w:val="00B17FB9"/>
    <w:rsid w:val="00B23154"/>
    <w:rsid w:val="00B25762"/>
    <w:rsid w:val="00B31BFD"/>
    <w:rsid w:val="00B327FB"/>
    <w:rsid w:val="00B35113"/>
    <w:rsid w:val="00B470F9"/>
    <w:rsid w:val="00B47177"/>
    <w:rsid w:val="00B474C9"/>
    <w:rsid w:val="00B539EB"/>
    <w:rsid w:val="00B55301"/>
    <w:rsid w:val="00B56DD0"/>
    <w:rsid w:val="00B57D99"/>
    <w:rsid w:val="00B63118"/>
    <w:rsid w:val="00B6386E"/>
    <w:rsid w:val="00B70AB7"/>
    <w:rsid w:val="00B72236"/>
    <w:rsid w:val="00B722F8"/>
    <w:rsid w:val="00B74BDB"/>
    <w:rsid w:val="00B757B5"/>
    <w:rsid w:val="00B872E7"/>
    <w:rsid w:val="00B938D3"/>
    <w:rsid w:val="00BA4E7D"/>
    <w:rsid w:val="00BB2ABC"/>
    <w:rsid w:val="00BB712F"/>
    <w:rsid w:val="00BC13E9"/>
    <w:rsid w:val="00BC1F95"/>
    <w:rsid w:val="00BC39D5"/>
    <w:rsid w:val="00BC3E6E"/>
    <w:rsid w:val="00BC45FA"/>
    <w:rsid w:val="00BD2A5A"/>
    <w:rsid w:val="00BD7161"/>
    <w:rsid w:val="00BE1E17"/>
    <w:rsid w:val="00BE68CC"/>
    <w:rsid w:val="00BF71BE"/>
    <w:rsid w:val="00C004DC"/>
    <w:rsid w:val="00C0133A"/>
    <w:rsid w:val="00C04EFE"/>
    <w:rsid w:val="00C1347F"/>
    <w:rsid w:val="00C142B5"/>
    <w:rsid w:val="00C1726B"/>
    <w:rsid w:val="00C211D4"/>
    <w:rsid w:val="00C24805"/>
    <w:rsid w:val="00C25179"/>
    <w:rsid w:val="00C33397"/>
    <w:rsid w:val="00C36959"/>
    <w:rsid w:val="00C4607D"/>
    <w:rsid w:val="00C460D1"/>
    <w:rsid w:val="00C500CC"/>
    <w:rsid w:val="00C51577"/>
    <w:rsid w:val="00C54050"/>
    <w:rsid w:val="00C54B89"/>
    <w:rsid w:val="00C5651E"/>
    <w:rsid w:val="00C610BC"/>
    <w:rsid w:val="00C625BF"/>
    <w:rsid w:val="00C63BDE"/>
    <w:rsid w:val="00C71F2B"/>
    <w:rsid w:val="00C83DF6"/>
    <w:rsid w:val="00C84539"/>
    <w:rsid w:val="00C8719F"/>
    <w:rsid w:val="00C90568"/>
    <w:rsid w:val="00C91E8F"/>
    <w:rsid w:val="00C9214D"/>
    <w:rsid w:val="00C93E1C"/>
    <w:rsid w:val="00C962F3"/>
    <w:rsid w:val="00C96D07"/>
    <w:rsid w:val="00CA6FAB"/>
    <w:rsid w:val="00CA700D"/>
    <w:rsid w:val="00CB01BB"/>
    <w:rsid w:val="00CB1C01"/>
    <w:rsid w:val="00CB22AB"/>
    <w:rsid w:val="00CB38C9"/>
    <w:rsid w:val="00CB5824"/>
    <w:rsid w:val="00CB7535"/>
    <w:rsid w:val="00CC06DC"/>
    <w:rsid w:val="00CC226B"/>
    <w:rsid w:val="00CC506E"/>
    <w:rsid w:val="00CC64F3"/>
    <w:rsid w:val="00CD3ACF"/>
    <w:rsid w:val="00CE5418"/>
    <w:rsid w:val="00CE618F"/>
    <w:rsid w:val="00CF28DE"/>
    <w:rsid w:val="00D01AD6"/>
    <w:rsid w:val="00D01EC9"/>
    <w:rsid w:val="00D0261E"/>
    <w:rsid w:val="00D035C2"/>
    <w:rsid w:val="00D05F3D"/>
    <w:rsid w:val="00D10532"/>
    <w:rsid w:val="00D10A05"/>
    <w:rsid w:val="00D10B93"/>
    <w:rsid w:val="00D12F2C"/>
    <w:rsid w:val="00D239BC"/>
    <w:rsid w:val="00D2518B"/>
    <w:rsid w:val="00D2558B"/>
    <w:rsid w:val="00D27E72"/>
    <w:rsid w:val="00D27EC2"/>
    <w:rsid w:val="00D304D8"/>
    <w:rsid w:val="00D3229A"/>
    <w:rsid w:val="00D32F46"/>
    <w:rsid w:val="00D36630"/>
    <w:rsid w:val="00D37918"/>
    <w:rsid w:val="00D40719"/>
    <w:rsid w:val="00D44151"/>
    <w:rsid w:val="00D4513D"/>
    <w:rsid w:val="00D45340"/>
    <w:rsid w:val="00D50E1A"/>
    <w:rsid w:val="00D52425"/>
    <w:rsid w:val="00D54EEB"/>
    <w:rsid w:val="00D567EC"/>
    <w:rsid w:val="00D60652"/>
    <w:rsid w:val="00D71EA0"/>
    <w:rsid w:val="00D7332E"/>
    <w:rsid w:val="00D73C18"/>
    <w:rsid w:val="00D758F7"/>
    <w:rsid w:val="00D77D63"/>
    <w:rsid w:val="00D77EBC"/>
    <w:rsid w:val="00D81518"/>
    <w:rsid w:val="00D82B28"/>
    <w:rsid w:val="00D83176"/>
    <w:rsid w:val="00D85B9A"/>
    <w:rsid w:val="00D91197"/>
    <w:rsid w:val="00D92606"/>
    <w:rsid w:val="00DA188C"/>
    <w:rsid w:val="00DA5B23"/>
    <w:rsid w:val="00DB2067"/>
    <w:rsid w:val="00DB5174"/>
    <w:rsid w:val="00DC550A"/>
    <w:rsid w:val="00DC6251"/>
    <w:rsid w:val="00DC79A5"/>
    <w:rsid w:val="00DC7EE2"/>
    <w:rsid w:val="00DD1363"/>
    <w:rsid w:val="00DD2303"/>
    <w:rsid w:val="00DD2986"/>
    <w:rsid w:val="00DD2E8A"/>
    <w:rsid w:val="00DD31E0"/>
    <w:rsid w:val="00DE5CC3"/>
    <w:rsid w:val="00DF2D2C"/>
    <w:rsid w:val="00DF4146"/>
    <w:rsid w:val="00DF4878"/>
    <w:rsid w:val="00DF7E35"/>
    <w:rsid w:val="00E02DB6"/>
    <w:rsid w:val="00E065A0"/>
    <w:rsid w:val="00E06F18"/>
    <w:rsid w:val="00E13800"/>
    <w:rsid w:val="00E14213"/>
    <w:rsid w:val="00E162BC"/>
    <w:rsid w:val="00E16BCD"/>
    <w:rsid w:val="00E234FA"/>
    <w:rsid w:val="00E319C9"/>
    <w:rsid w:val="00E331E8"/>
    <w:rsid w:val="00E34573"/>
    <w:rsid w:val="00E36E76"/>
    <w:rsid w:val="00E432C8"/>
    <w:rsid w:val="00E467D5"/>
    <w:rsid w:val="00E53FB8"/>
    <w:rsid w:val="00E56BE1"/>
    <w:rsid w:val="00E57DAA"/>
    <w:rsid w:val="00E6380C"/>
    <w:rsid w:val="00E6437E"/>
    <w:rsid w:val="00E701CF"/>
    <w:rsid w:val="00E73488"/>
    <w:rsid w:val="00E7516D"/>
    <w:rsid w:val="00E758C1"/>
    <w:rsid w:val="00E80799"/>
    <w:rsid w:val="00E814E6"/>
    <w:rsid w:val="00E81BEF"/>
    <w:rsid w:val="00E833EB"/>
    <w:rsid w:val="00E836DA"/>
    <w:rsid w:val="00E91356"/>
    <w:rsid w:val="00E9283F"/>
    <w:rsid w:val="00E95DE1"/>
    <w:rsid w:val="00E95F48"/>
    <w:rsid w:val="00EA2C9B"/>
    <w:rsid w:val="00EA3740"/>
    <w:rsid w:val="00EA40BC"/>
    <w:rsid w:val="00EA79B3"/>
    <w:rsid w:val="00EB1B81"/>
    <w:rsid w:val="00EB1FDA"/>
    <w:rsid w:val="00EB397A"/>
    <w:rsid w:val="00EB483A"/>
    <w:rsid w:val="00EB535A"/>
    <w:rsid w:val="00EC05A2"/>
    <w:rsid w:val="00EC351D"/>
    <w:rsid w:val="00EC6679"/>
    <w:rsid w:val="00ED1D63"/>
    <w:rsid w:val="00ED53FF"/>
    <w:rsid w:val="00EE3BE4"/>
    <w:rsid w:val="00EE521F"/>
    <w:rsid w:val="00EF09BE"/>
    <w:rsid w:val="00F01461"/>
    <w:rsid w:val="00F0158C"/>
    <w:rsid w:val="00F04575"/>
    <w:rsid w:val="00F04D09"/>
    <w:rsid w:val="00F060DE"/>
    <w:rsid w:val="00F10E82"/>
    <w:rsid w:val="00F11130"/>
    <w:rsid w:val="00F1185F"/>
    <w:rsid w:val="00F11A17"/>
    <w:rsid w:val="00F11F6D"/>
    <w:rsid w:val="00F16F86"/>
    <w:rsid w:val="00F22795"/>
    <w:rsid w:val="00F253C3"/>
    <w:rsid w:val="00F256D1"/>
    <w:rsid w:val="00F2592D"/>
    <w:rsid w:val="00F25DFD"/>
    <w:rsid w:val="00F33845"/>
    <w:rsid w:val="00F3584C"/>
    <w:rsid w:val="00F35AD2"/>
    <w:rsid w:val="00F3695C"/>
    <w:rsid w:val="00F36A47"/>
    <w:rsid w:val="00F416CF"/>
    <w:rsid w:val="00F42361"/>
    <w:rsid w:val="00F44014"/>
    <w:rsid w:val="00F44D7B"/>
    <w:rsid w:val="00F456C0"/>
    <w:rsid w:val="00F467BE"/>
    <w:rsid w:val="00F47D30"/>
    <w:rsid w:val="00F5370F"/>
    <w:rsid w:val="00F539B0"/>
    <w:rsid w:val="00F563B5"/>
    <w:rsid w:val="00F56855"/>
    <w:rsid w:val="00F6007F"/>
    <w:rsid w:val="00F60863"/>
    <w:rsid w:val="00F6595C"/>
    <w:rsid w:val="00F66E18"/>
    <w:rsid w:val="00F676F4"/>
    <w:rsid w:val="00F729EB"/>
    <w:rsid w:val="00F73545"/>
    <w:rsid w:val="00F801D1"/>
    <w:rsid w:val="00F81EA9"/>
    <w:rsid w:val="00F878FB"/>
    <w:rsid w:val="00F93ACB"/>
    <w:rsid w:val="00F949A1"/>
    <w:rsid w:val="00F95588"/>
    <w:rsid w:val="00FA0C0D"/>
    <w:rsid w:val="00FA14E0"/>
    <w:rsid w:val="00FA42BE"/>
    <w:rsid w:val="00FB27FF"/>
    <w:rsid w:val="00FB6774"/>
    <w:rsid w:val="00FC3BF3"/>
    <w:rsid w:val="00FC6281"/>
    <w:rsid w:val="00FD2A72"/>
    <w:rsid w:val="00FF1568"/>
    <w:rsid w:val="00FF3B90"/>
    <w:rsid w:val="00FF718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D519"/>
  <w15:chartTrackingRefBased/>
  <w15:docId w15:val="{D96E9FFA-DA87-43CE-A006-190B9648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27"/>
  </w:style>
  <w:style w:type="paragraph" w:styleId="Heading1">
    <w:name w:val="heading 1"/>
    <w:basedOn w:val="Normal"/>
    <w:next w:val="Normal"/>
    <w:link w:val="Heading1Char"/>
    <w:uiPriority w:val="9"/>
    <w:qFormat/>
    <w:rsid w:val="00E234FA"/>
    <w:pPr>
      <w:keepNext/>
      <w:jc w:val="center"/>
      <w:outlineLvl w:val="0"/>
    </w:pPr>
    <w:rPr>
      <w:b/>
    </w:rPr>
  </w:style>
  <w:style w:type="paragraph" w:styleId="Heading2">
    <w:name w:val="heading 2"/>
    <w:basedOn w:val="Normal"/>
    <w:next w:val="Normal"/>
    <w:link w:val="Heading2Char"/>
    <w:uiPriority w:val="9"/>
    <w:unhideWhenUsed/>
    <w:qFormat/>
    <w:rsid w:val="00856C7A"/>
    <w:pPr>
      <w:keepNext/>
      <w:tabs>
        <w:tab w:val="left" w:pos="720"/>
      </w:tabs>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60DF"/>
    <w:pPr>
      <w:spacing w:line="240" w:lineRule="auto"/>
    </w:pPr>
    <w:rPr>
      <w:sz w:val="20"/>
    </w:rPr>
  </w:style>
  <w:style w:type="character" w:customStyle="1" w:styleId="FootnoteTextChar">
    <w:name w:val="Footnote Text Char"/>
    <w:basedOn w:val="DefaultParagraphFont"/>
    <w:link w:val="FootnoteText"/>
    <w:uiPriority w:val="99"/>
    <w:semiHidden/>
    <w:rsid w:val="008960DF"/>
    <w:rPr>
      <w:sz w:val="20"/>
    </w:rPr>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99"/>
    <w:qFormat/>
    <w:rsid w:val="00E234FA"/>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99"/>
    <w:qFormat/>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character" w:customStyle="1" w:styleId="Heading2Char">
    <w:name w:val="Heading 2 Char"/>
    <w:basedOn w:val="DefaultParagraphFont"/>
    <w:link w:val="Heading2"/>
    <w:uiPriority w:val="9"/>
    <w:rsid w:val="00856C7A"/>
    <w:rPr>
      <w:i/>
    </w:rPr>
  </w:style>
  <w:style w:type="paragraph" w:styleId="BodyText">
    <w:name w:val="Body Text"/>
    <w:basedOn w:val="Normal"/>
    <w:link w:val="BodyTextChar"/>
    <w:uiPriority w:val="99"/>
    <w:unhideWhenUsed/>
    <w:rsid w:val="004C3163"/>
    <w:pPr>
      <w:spacing w:after="120"/>
    </w:pPr>
  </w:style>
  <w:style w:type="character" w:customStyle="1" w:styleId="BodyTextChar">
    <w:name w:val="Body Text Char"/>
    <w:basedOn w:val="DefaultParagraphFont"/>
    <w:link w:val="BodyText"/>
    <w:uiPriority w:val="99"/>
    <w:rsid w:val="004C3163"/>
  </w:style>
  <w:style w:type="character" w:customStyle="1" w:styleId="hps">
    <w:name w:val="hps"/>
    <w:rsid w:val="003D6FCF"/>
  </w:style>
  <w:style w:type="character" w:customStyle="1" w:styleId="s68f5eaef">
    <w:name w:val="s68f5eaef"/>
    <w:basedOn w:val="DefaultParagraphFont"/>
    <w:rsid w:val="00B474C9"/>
  </w:style>
  <w:style w:type="character" w:customStyle="1" w:styleId="sa2b98c15">
    <w:name w:val="sa2b98c15"/>
    <w:basedOn w:val="DefaultParagraphFont"/>
    <w:rsid w:val="00BC13E9"/>
  </w:style>
  <w:style w:type="paragraph" w:styleId="BalloonText">
    <w:name w:val="Balloon Text"/>
    <w:basedOn w:val="Normal"/>
    <w:link w:val="BalloonTextChar"/>
    <w:uiPriority w:val="99"/>
    <w:semiHidden/>
    <w:unhideWhenUsed/>
    <w:rsid w:val="00BB71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2F"/>
    <w:rPr>
      <w:rFonts w:ascii="Segoe UI" w:hAnsi="Segoe UI" w:cs="Segoe UI"/>
      <w:sz w:val="18"/>
      <w:szCs w:val="18"/>
    </w:rPr>
  </w:style>
  <w:style w:type="paragraph" w:styleId="BodyText2">
    <w:name w:val="Body Text 2"/>
    <w:basedOn w:val="Normal"/>
    <w:link w:val="BodyText2Char"/>
    <w:uiPriority w:val="99"/>
    <w:unhideWhenUsed/>
    <w:rsid w:val="00F539B0"/>
    <w:pPr>
      <w:jc w:val="both"/>
    </w:pPr>
    <w:rPr>
      <w:bCs/>
      <w:spacing w:val="2"/>
    </w:rPr>
  </w:style>
  <w:style w:type="character" w:customStyle="1" w:styleId="BodyText2Char">
    <w:name w:val="Body Text 2 Char"/>
    <w:basedOn w:val="DefaultParagraphFont"/>
    <w:link w:val="BodyText2"/>
    <w:uiPriority w:val="99"/>
    <w:rsid w:val="00F539B0"/>
    <w:rPr>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DD0D-8867-4CBF-8F90-8A6F3366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THOMA GËLLÇI</vt:lpstr>
    </vt:vector>
  </TitlesOfParts>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 GËLLÇI</dc:title>
  <dc:subject>Dt. 09.11.2022</dc:subject>
  <dc:creator>Elsa TOSKA</dc:creator>
  <cp:keywords>Brunilda BARA</cp:keywords>
  <dc:description/>
  <cp:lastModifiedBy>user</cp:lastModifiedBy>
  <cp:revision>2</cp:revision>
  <cp:lastPrinted>2022-11-11T09:54:00Z</cp:lastPrinted>
  <dcterms:created xsi:type="dcterms:W3CDTF">2022-12-02T16:21:00Z</dcterms:created>
  <dcterms:modified xsi:type="dcterms:W3CDTF">2022-12-02T16:21:00Z</dcterms:modified>
</cp:coreProperties>
</file>