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CB" w:rsidRDefault="006374CB" w:rsidP="006374CB">
      <w:pPr>
        <w:pStyle w:val="NoSpacing"/>
        <w:jc w:val="center"/>
        <w:rPr>
          <w:rFonts w:ascii="Times New Roman" w:hAnsi="Times New Roman"/>
          <w:sz w:val="24"/>
          <w:szCs w:val="24"/>
        </w:rPr>
      </w:pPr>
      <w:bookmarkStart w:id="0" w:name="_GoBack"/>
      <w:bookmarkEnd w:id="0"/>
    </w:p>
    <w:p w:rsidR="006374CB"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r w:rsidRPr="003069A7">
        <w:rPr>
          <w:rFonts w:ascii="Times New Roman" w:hAnsi="Times New Roman"/>
          <w:sz w:val="24"/>
          <w:szCs w:val="24"/>
        </w:rPr>
        <w:t>GJYKATA EUROPIANE E T</w:t>
      </w:r>
      <w:r>
        <w:rPr>
          <w:rFonts w:ascii="Times New Roman" w:hAnsi="Times New Roman"/>
          <w:sz w:val="24"/>
          <w:szCs w:val="24"/>
        </w:rPr>
        <w:t>Ë</w:t>
      </w:r>
      <w:r w:rsidRPr="003069A7">
        <w:rPr>
          <w:rFonts w:ascii="Times New Roman" w:hAnsi="Times New Roman"/>
          <w:sz w:val="24"/>
          <w:szCs w:val="24"/>
        </w:rPr>
        <w:t xml:space="preserve"> DREJTAVE T</w:t>
      </w:r>
      <w:r>
        <w:rPr>
          <w:rFonts w:ascii="Times New Roman" w:hAnsi="Times New Roman"/>
          <w:sz w:val="24"/>
          <w:szCs w:val="24"/>
        </w:rPr>
        <w:t>Ë</w:t>
      </w:r>
      <w:r w:rsidRPr="003069A7">
        <w:rPr>
          <w:rFonts w:ascii="Times New Roman" w:hAnsi="Times New Roman"/>
          <w:sz w:val="24"/>
          <w:szCs w:val="24"/>
        </w:rPr>
        <w:t xml:space="preserve"> NJERIUT</w:t>
      </w:r>
    </w:p>
    <w:p w:rsidR="006374CB" w:rsidRPr="003069A7"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r w:rsidRPr="003069A7">
        <w:rPr>
          <w:rFonts w:ascii="Times New Roman" w:hAnsi="Times New Roman"/>
          <w:sz w:val="24"/>
          <w:szCs w:val="24"/>
        </w:rPr>
        <w:t>SEKSIONI I KAT</w:t>
      </w:r>
      <w:r>
        <w:rPr>
          <w:rFonts w:ascii="Times New Roman" w:hAnsi="Times New Roman"/>
          <w:sz w:val="24"/>
          <w:szCs w:val="24"/>
        </w:rPr>
        <w:t>Ë</w:t>
      </w:r>
      <w:r w:rsidRPr="003069A7">
        <w:rPr>
          <w:rFonts w:ascii="Times New Roman" w:hAnsi="Times New Roman"/>
          <w:sz w:val="24"/>
          <w:szCs w:val="24"/>
        </w:rPr>
        <w:t>RT</w:t>
      </w:r>
    </w:p>
    <w:p w:rsidR="006374CB" w:rsidRPr="003069A7"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Pr="000A500D" w:rsidRDefault="006374CB" w:rsidP="006374CB">
      <w:pPr>
        <w:pStyle w:val="NoSpacing"/>
        <w:jc w:val="center"/>
        <w:rPr>
          <w:rFonts w:ascii="Times New Roman" w:hAnsi="Times New Roman"/>
          <w:b/>
          <w:sz w:val="24"/>
          <w:szCs w:val="24"/>
        </w:rPr>
      </w:pPr>
      <w:r w:rsidRPr="000A500D">
        <w:rPr>
          <w:rFonts w:ascii="Times New Roman" w:hAnsi="Times New Roman"/>
          <w:b/>
          <w:sz w:val="24"/>
          <w:szCs w:val="24"/>
        </w:rPr>
        <w:t>ÇËSHTJA</w:t>
      </w:r>
      <w:r>
        <w:rPr>
          <w:rFonts w:ascii="Times New Roman" w:hAnsi="Times New Roman"/>
          <w:b/>
          <w:sz w:val="24"/>
          <w:szCs w:val="24"/>
        </w:rPr>
        <w:t xml:space="preserve"> THEMELI</w:t>
      </w:r>
      <w:r w:rsidRPr="000A500D">
        <w:rPr>
          <w:rFonts w:ascii="Times New Roman" w:hAnsi="Times New Roman"/>
          <w:b/>
          <w:sz w:val="24"/>
          <w:szCs w:val="24"/>
        </w:rPr>
        <w:t xml:space="preserve"> KUNDËR SHQIPËRISË</w:t>
      </w:r>
    </w:p>
    <w:p w:rsidR="006374CB"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r w:rsidRPr="003069A7">
        <w:rPr>
          <w:rFonts w:ascii="Times New Roman" w:hAnsi="Times New Roman"/>
          <w:sz w:val="24"/>
          <w:szCs w:val="24"/>
        </w:rPr>
        <w:t>(Aplikimi nr. 63756/09)</w:t>
      </w:r>
    </w:p>
    <w:p w:rsidR="006374CB" w:rsidRPr="003069A7"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r w:rsidRPr="003069A7">
        <w:rPr>
          <w:rFonts w:ascii="Times New Roman" w:hAnsi="Times New Roman"/>
          <w:sz w:val="24"/>
          <w:szCs w:val="24"/>
        </w:rPr>
        <w:t>VENDIM</w:t>
      </w: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r w:rsidRPr="003069A7">
        <w:rPr>
          <w:rFonts w:ascii="Times New Roman" w:hAnsi="Times New Roman"/>
          <w:sz w:val="24"/>
          <w:szCs w:val="24"/>
        </w:rPr>
        <w:t>STRASBURG</w:t>
      </w: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Pr="003069A7" w:rsidRDefault="006374CB" w:rsidP="006374CB">
      <w:pPr>
        <w:pStyle w:val="NoSpacing"/>
        <w:jc w:val="center"/>
        <w:rPr>
          <w:rFonts w:ascii="Times New Roman" w:hAnsi="Times New Roman"/>
          <w:sz w:val="24"/>
          <w:szCs w:val="24"/>
        </w:rPr>
      </w:pPr>
      <w:proofErr w:type="gramStart"/>
      <w:r>
        <w:rPr>
          <w:rFonts w:ascii="Times New Roman" w:hAnsi="Times New Roman"/>
          <w:sz w:val="24"/>
          <w:szCs w:val="24"/>
        </w:rPr>
        <w:t>15</w:t>
      </w:r>
      <w:proofErr w:type="gramEnd"/>
      <w:r>
        <w:rPr>
          <w:rFonts w:ascii="Times New Roman" w:hAnsi="Times New Roman"/>
          <w:sz w:val="24"/>
          <w:szCs w:val="24"/>
        </w:rPr>
        <w:t xml:space="preserve"> Janar</w:t>
      </w:r>
      <w:r w:rsidRPr="003069A7">
        <w:rPr>
          <w:rFonts w:ascii="Times New Roman" w:hAnsi="Times New Roman"/>
          <w:sz w:val="24"/>
          <w:szCs w:val="24"/>
        </w:rPr>
        <w:t xml:space="preserve"> 2013</w:t>
      </w:r>
    </w:p>
    <w:p w:rsidR="006374CB" w:rsidRPr="003069A7"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Default="006374CB" w:rsidP="006374CB">
      <w:pPr>
        <w:pStyle w:val="NoSpacing"/>
        <w:jc w:val="center"/>
        <w:rPr>
          <w:rFonts w:ascii="Times New Roman" w:hAnsi="Times New Roman"/>
          <w:sz w:val="24"/>
          <w:szCs w:val="24"/>
        </w:rPr>
      </w:pPr>
    </w:p>
    <w:p w:rsidR="006374CB" w:rsidRPr="001B21BA" w:rsidRDefault="006374CB" w:rsidP="006374CB">
      <w:pPr>
        <w:pStyle w:val="NoSpacing"/>
        <w:jc w:val="center"/>
        <w:rPr>
          <w:rFonts w:ascii="Times New Roman" w:hAnsi="Times New Roman"/>
          <w:i/>
          <w:sz w:val="24"/>
          <w:szCs w:val="24"/>
        </w:rPr>
      </w:pPr>
      <w:proofErr w:type="gramStart"/>
      <w:r w:rsidRPr="001B21BA">
        <w:rPr>
          <w:rFonts w:ascii="Times New Roman" w:hAnsi="Times New Roman"/>
          <w:i/>
          <w:sz w:val="24"/>
          <w:szCs w:val="24"/>
        </w:rPr>
        <w:t>Ky</w:t>
      </w:r>
      <w:proofErr w:type="gramEnd"/>
      <w:r w:rsidRPr="001B21BA">
        <w:rPr>
          <w:rFonts w:ascii="Times New Roman" w:hAnsi="Times New Roman"/>
          <w:i/>
          <w:sz w:val="24"/>
          <w:szCs w:val="24"/>
        </w:rPr>
        <w:t xml:space="preserve"> është vendimi përfundimtar, por ai mund të bëhet subjekt i redaktimeve.</w:t>
      </w:r>
    </w:p>
    <w:p w:rsidR="006374CB" w:rsidRPr="003069A7" w:rsidRDefault="006374CB" w:rsidP="006374CB">
      <w:pPr>
        <w:pStyle w:val="NoSpacing"/>
        <w:rPr>
          <w:rFonts w:ascii="Times New Roman" w:hAnsi="Times New Roman"/>
          <w:sz w:val="24"/>
          <w:szCs w:val="24"/>
        </w:rPr>
      </w:pPr>
    </w:p>
    <w:p w:rsidR="006374CB" w:rsidRDefault="006374CB" w:rsidP="006374CB">
      <w:pPr>
        <w:pStyle w:val="NoSpacing"/>
        <w:jc w:val="center"/>
        <w:rPr>
          <w:rFonts w:ascii="Times New Roman" w:hAnsi="Times New Roman"/>
          <w:sz w:val="18"/>
          <w:szCs w:val="18"/>
        </w:rPr>
      </w:pPr>
      <w:r>
        <w:rPr>
          <w:rFonts w:ascii="Times New Roman" w:hAnsi="Times New Roman"/>
          <w:sz w:val="18"/>
          <w:szCs w:val="18"/>
        </w:rPr>
        <w:lastRenderedPageBreak/>
        <w:t>VENDIMI THEMELI KUNDËR SHQIPËRISË</w:t>
      </w:r>
    </w:p>
    <w:p w:rsidR="006374CB" w:rsidRPr="006374CB" w:rsidRDefault="006374CB" w:rsidP="006374CB">
      <w:pPr>
        <w:pStyle w:val="NoSpacing"/>
        <w:jc w:val="center"/>
        <w:rPr>
          <w:rFonts w:ascii="Times New Roman" w:hAnsi="Times New Roman"/>
          <w:sz w:val="18"/>
          <w:szCs w:val="18"/>
        </w:rPr>
      </w:pPr>
    </w:p>
    <w:p w:rsidR="006374CB" w:rsidRPr="003069A7" w:rsidRDefault="006374CB" w:rsidP="006374CB">
      <w:pPr>
        <w:pStyle w:val="NoSpacing"/>
        <w:rPr>
          <w:rFonts w:ascii="Times New Roman" w:hAnsi="Times New Roman"/>
          <w:sz w:val="24"/>
          <w:szCs w:val="24"/>
        </w:rPr>
      </w:pPr>
      <w:r w:rsidRPr="003069A7">
        <w:rPr>
          <w:rFonts w:ascii="Times New Roman" w:hAnsi="Times New Roman"/>
          <w:b/>
          <w:sz w:val="24"/>
          <w:szCs w:val="24"/>
        </w:rPr>
        <w:t>N</w:t>
      </w:r>
      <w:r>
        <w:rPr>
          <w:rFonts w:ascii="Times New Roman" w:hAnsi="Times New Roman"/>
          <w:b/>
          <w:sz w:val="24"/>
          <w:szCs w:val="24"/>
        </w:rPr>
        <w:t>ë</w:t>
      </w:r>
      <w:r w:rsidRPr="003069A7">
        <w:rPr>
          <w:rFonts w:ascii="Times New Roman" w:hAnsi="Times New Roman"/>
          <w:b/>
          <w:sz w:val="24"/>
          <w:szCs w:val="24"/>
        </w:rPr>
        <w:t xml:space="preserve"> ç</w:t>
      </w:r>
      <w:r>
        <w:rPr>
          <w:rFonts w:ascii="Times New Roman" w:hAnsi="Times New Roman"/>
          <w:b/>
          <w:sz w:val="24"/>
          <w:szCs w:val="24"/>
        </w:rPr>
        <w:t>ë</w:t>
      </w:r>
      <w:r w:rsidRPr="003069A7">
        <w:rPr>
          <w:rFonts w:ascii="Times New Roman" w:hAnsi="Times New Roman"/>
          <w:b/>
          <w:sz w:val="24"/>
          <w:szCs w:val="24"/>
        </w:rPr>
        <w:t>shtjen Themeli kund</w:t>
      </w:r>
      <w:r>
        <w:rPr>
          <w:rFonts w:ascii="Times New Roman" w:hAnsi="Times New Roman"/>
          <w:b/>
          <w:sz w:val="24"/>
          <w:szCs w:val="24"/>
        </w:rPr>
        <w:t>ë</w:t>
      </w:r>
      <w:r w:rsidRPr="003069A7">
        <w:rPr>
          <w:rFonts w:ascii="Times New Roman" w:hAnsi="Times New Roman"/>
          <w:b/>
          <w:sz w:val="24"/>
          <w:szCs w:val="24"/>
        </w:rPr>
        <w:t>r Shqip</w:t>
      </w:r>
      <w:r>
        <w:rPr>
          <w:rFonts w:ascii="Times New Roman" w:hAnsi="Times New Roman"/>
          <w:b/>
          <w:sz w:val="24"/>
          <w:szCs w:val="24"/>
        </w:rPr>
        <w:t>ë</w:t>
      </w:r>
      <w:r w:rsidRPr="003069A7">
        <w:rPr>
          <w:rFonts w:ascii="Times New Roman" w:hAnsi="Times New Roman"/>
          <w:b/>
          <w:sz w:val="24"/>
          <w:szCs w:val="24"/>
        </w:rPr>
        <w:t>ris</w:t>
      </w:r>
      <w:r>
        <w:rPr>
          <w:rFonts w:ascii="Times New Roman" w:hAnsi="Times New Roman"/>
          <w:b/>
          <w:sz w:val="24"/>
          <w:szCs w:val="24"/>
        </w:rPr>
        <w:t>ë</w:t>
      </w:r>
      <w:r w:rsidRPr="003069A7">
        <w:rPr>
          <w:rFonts w:ascii="Times New Roman" w:hAnsi="Times New Roman"/>
          <w:b/>
          <w:sz w:val="24"/>
          <w:szCs w:val="24"/>
        </w:rPr>
        <w:t xml:space="preserve">, </w:t>
      </w:r>
    </w:p>
    <w:p w:rsidR="006374CB" w:rsidRPr="003069A7" w:rsidRDefault="006374CB" w:rsidP="006374CB">
      <w:pPr>
        <w:pStyle w:val="NoSpacing"/>
        <w:rPr>
          <w:rFonts w:ascii="Times New Roman" w:hAnsi="Times New Roman"/>
          <w:sz w:val="24"/>
          <w:szCs w:val="24"/>
        </w:rPr>
      </w:pPr>
      <w:r>
        <w:rPr>
          <w:rFonts w:ascii="Times New Roman" w:hAnsi="Times New Roman"/>
          <w:sz w:val="24"/>
          <w:szCs w:val="24"/>
        </w:rPr>
        <w:t>Gj</w:t>
      </w:r>
      <w:r w:rsidRPr="003069A7">
        <w:rPr>
          <w:rFonts w:ascii="Times New Roman" w:hAnsi="Times New Roman"/>
          <w:sz w:val="24"/>
          <w:szCs w:val="24"/>
        </w:rPr>
        <w:t>ykata Europiane e t</w:t>
      </w:r>
      <w:r>
        <w:rPr>
          <w:rFonts w:ascii="Times New Roman" w:hAnsi="Times New Roman"/>
          <w:sz w:val="24"/>
          <w:szCs w:val="24"/>
        </w:rPr>
        <w:t>ë</w:t>
      </w:r>
      <w:r w:rsidRPr="003069A7">
        <w:rPr>
          <w:rFonts w:ascii="Times New Roman" w:hAnsi="Times New Roman"/>
          <w:sz w:val="24"/>
          <w:szCs w:val="24"/>
        </w:rPr>
        <w:t xml:space="preserve"> Drejtave t</w:t>
      </w:r>
      <w:r>
        <w:rPr>
          <w:rFonts w:ascii="Times New Roman" w:hAnsi="Times New Roman"/>
          <w:sz w:val="24"/>
          <w:szCs w:val="24"/>
        </w:rPr>
        <w:t>ë</w:t>
      </w:r>
      <w:r w:rsidRPr="003069A7">
        <w:rPr>
          <w:rFonts w:ascii="Times New Roman" w:hAnsi="Times New Roman"/>
          <w:sz w:val="24"/>
          <w:szCs w:val="24"/>
        </w:rPr>
        <w:t xml:space="preserve"> Njeriut (Seksioni i Kat</w:t>
      </w:r>
      <w:r>
        <w:rPr>
          <w:rFonts w:ascii="Times New Roman" w:hAnsi="Times New Roman"/>
          <w:sz w:val="24"/>
          <w:szCs w:val="24"/>
        </w:rPr>
        <w:t>ë</w:t>
      </w:r>
      <w:r w:rsidRPr="003069A7">
        <w:rPr>
          <w:rFonts w:ascii="Times New Roman" w:hAnsi="Times New Roman"/>
          <w:sz w:val="24"/>
          <w:szCs w:val="24"/>
        </w:rPr>
        <w:t>rt), e mbledhur n</w:t>
      </w:r>
      <w:r>
        <w:rPr>
          <w:rFonts w:ascii="Times New Roman" w:hAnsi="Times New Roman"/>
          <w:sz w:val="24"/>
          <w:szCs w:val="24"/>
        </w:rPr>
        <w:t>ë</w:t>
      </w:r>
      <w:r w:rsidRPr="003069A7">
        <w:rPr>
          <w:rFonts w:ascii="Times New Roman" w:hAnsi="Times New Roman"/>
          <w:sz w:val="24"/>
          <w:szCs w:val="24"/>
        </w:rPr>
        <w:t xml:space="preserve"> nj</w:t>
      </w:r>
      <w:r>
        <w:rPr>
          <w:rFonts w:ascii="Times New Roman" w:hAnsi="Times New Roman"/>
          <w:sz w:val="24"/>
          <w:szCs w:val="24"/>
        </w:rPr>
        <w:t>ë</w:t>
      </w:r>
      <w:r w:rsidRPr="003069A7">
        <w:rPr>
          <w:rFonts w:ascii="Times New Roman" w:hAnsi="Times New Roman"/>
          <w:sz w:val="24"/>
          <w:szCs w:val="24"/>
        </w:rPr>
        <w:t xml:space="preserve"> Komitet t</w:t>
      </w:r>
      <w:r>
        <w:rPr>
          <w:rFonts w:ascii="Times New Roman" w:hAnsi="Times New Roman"/>
          <w:sz w:val="24"/>
          <w:szCs w:val="24"/>
        </w:rPr>
        <w:t>ë</w:t>
      </w:r>
      <w:r w:rsidRPr="003069A7">
        <w:rPr>
          <w:rFonts w:ascii="Times New Roman" w:hAnsi="Times New Roman"/>
          <w:sz w:val="24"/>
          <w:szCs w:val="24"/>
        </w:rPr>
        <w:t xml:space="preserve"> p</w:t>
      </w:r>
      <w:r>
        <w:rPr>
          <w:rFonts w:ascii="Times New Roman" w:hAnsi="Times New Roman"/>
          <w:sz w:val="24"/>
          <w:szCs w:val="24"/>
        </w:rPr>
        <w:t>ë</w:t>
      </w:r>
      <w:r w:rsidRPr="003069A7">
        <w:rPr>
          <w:rFonts w:ascii="Times New Roman" w:hAnsi="Times New Roman"/>
          <w:sz w:val="24"/>
          <w:szCs w:val="24"/>
        </w:rPr>
        <w:t>rb</w:t>
      </w:r>
      <w:r>
        <w:rPr>
          <w:rFonts w:ascii="Times New Roman" w:hAnsi="Times New Roman"/>
          <w:sz w:val="24"/>
          <w:szCs w:val="24"/>
        </w:rPr>
        <w:t>ë</w:t>
      </w:r>
      <w:r w:rsidRPr="003069A7">
        <w:rPr>
          <w:rFonts w:ascii="Times New Roman" w:hAnsi="Times New Roman"/>
          <w:sz w:val="24"/>
          <w:szCs w:val="24"/>
        </w:rPr>
        <w:t>r</w:t>
      </w:r>
      <w:r>
        <w:rPr>
          <w:rFonts w:ascii="Times New Roman" w:hAnsi="Times New Roman"/>
          <w:sz w:val="24"/>
          <w:szCs w:val="24"/>
        </w:rPr>
        <w:t>ë</w:t>
      </w:r>
      <w:r w:rsidRPr="003069A7">
        <w:rPr>
          <w:rFonts w:ascii="Times New Roman" w:hAnsi="Times New Roman"/>
          <w:sz w:val="24"/>
          <w:szCs w:val="24"/>
        </w:rPr>
        <w:t xml:space="preserve"> nga: </w:t>
      </w:r>
    </w:p>
    <w:p w:rsidR="006374CB" w:rsidRDefault="006374CB" w:rsidP="006374CB">
      <w:pPr>
        <w:pStyle w:val="NoSpacing"/>
        <w:rPr>
          <w:rFonts w:ascii="Times New Roman" w:hAnsi="Times New Roman"/>
          <w:i/>
          <w:sz w:val="24"/>
          <w:szCs w:val="24"/>
        </w:rPr>
      </w:pPr>
      <w:r>
        <w:rPr>
          <w:rFonts w:ascii="Times New Roman" w:hAnsi="Times New Roman"/>
          <w:sz w:val="24"/>
          <w:szCs w:val="24"/>
        </w:rPr>
        <w:t xml:space="preserve">George Nicolaou, </w:t>
      </w:r>
      <w:r>
        <w:rPr>
          <w:rFonts w:ascii="Times New Roman" w:hAnsi="Times New Roman"/>
          <w:i/>
          <w:sz w:val="24"/>
          <w:szCs w:val="24"/>
        </w:rPr>
        <w:t>President</w:t>
      </w:r>
    </w:p>
    <w:p w:rsidR="006374CB" w:rsidRDefault="006374CB" w:rsidP="006374CB">
      <w:pPr>
        <w:pStyle w:val="NoSpacing"/>
        <w:rPr>
          <w:rFonts w:ascii="Times New Roman" w:hAnsi="Times New Roman"/>
          <w:sz w:val="24"/>
          <w:szCs w:val="24"/>
        </w:rPr>
      </w:pPr>
      <w:r>
        <w:rPr>
          <w:rFonts w:ascii="Times New Roman" w:hAnsi="Times New Roman"/>
          <w:sz w:val="24"/>
          <w:szCs w:val="24"/>
        </w:rPr>
        <w:t xml:space="preserve">Zdravka Kalaydjieva, </w:t>
      </w:r>
    </w:p>
    <w:p w:rsidR="006374CB" w:rsidRDefault="006374CB" w:rsidP="006374CB">
      <w:pPr>
        <w:pStyle w:val="NoSpacing"/>
        <w:rPr>
          <w:rFonts w:ascii="Times New Roman" w:hAnsi="Times New Roman"/>
          <w:i/>
          <w:sz w:val="24"/>
          <w:szCs w:val="24"/>
        </w:rPr>
      </w:pPr>
      <w:r>
        <w:rPr>
          <w:rFonts w:ascii="Times New Roman" w:hAnsi="Times New Roman"/>
          <w:sz w:val="24"/>
          <w:szCs w:val="24"/>
        </w:rPr>
        <w:t>Faris Vehabovi</w:t>
      </w:r>
      <w:r>
        <w:rPr>
          <w:rFonts w:cs="Calibri"/>
          <w:sz w:val="24"/>
          <w:szCs w:val="24"/>
        </w:rPr>
        <w:t>ć</w:t>
      </w:r>
      <w:r>
        <w:rPr>
          <w:rFonts w:ascii="Times New Roman" w:hAnsi="Times New Roman"/>
          <w:sz w:val="24"/>
          <w:szCs w:val="24"/>
        </w:rPr>
        <w:t xml:space="preserve">, </w:t>
      </w:r>
      <w:r>
        <w:rPr>
          <w:rFonts w:ascii="Times New Roman" w:hAnsi="Times New Roman"/>
          <w:i/>
          <w:sz w:val="24"/>
          <w:szCs w:val="24"/>
        </w:rPr>
        <w:t xml:space="preserve">gjyqtarë, </w:t>
      </w:r>
    </w:p>
    <w:p w:rsidR="006374CB" w:rsidRDefault="006374CB" w:rsidP="006374CB">
      <w:pPr>
        <w:pStyle w:val="NoSpacing"/>
        <w:rPr>
          <w:rFonts w:ascii="Times New Roman" w:hAnsi="Times New Roman"/>
          <w:i/>
          <w:sz w:val="24"/>
          <w:szCs w:val="24"/>
        </w:rPr>
      </w:pPr>
      <w:proofErr w:type="gramStart"/>
      <w:r>
        <w:rPr>
          <w:rFonts w:ascii="Times New Roman" w:hAnsi="Times New Roman"/>
          <w:sz w:val="24"/>
          <w:szCs w:val="24"/>
        </w:rPr>
        <w:t>dhe</w:t>
      </w:r>
      <w:proofErr w:type="gramEnd"/>
      <w:r>
        <w:rPr>
          <w:rFonts w:ascii="Times New Roman" w:hAnsi="Times New Roman"/>
          <w:sz w:val="24"/>
          <w:szCs w:val="24"/>
        </w:rPr>
        <w:t xml:space="preserve"> Fatoş Aracɪ, </w:t>
      </w:r>
      <w:r>
        <w:rPr>
          <w:rFonts w:ascii="Times New Roman" w:hAnsi="Times New Roman"/>
          <w:i/>
          <w:sz w:val="24"/>
          <w:szCs w:val="24"/>
        </w:rPr>
        <w:t>Zëvendës Sekretar i Seksionit</w:t>
      </w:r>
    </w:p>
    <w:p w:rsidR="006374CB" w:rsidRPr="00AD0715" w:rsidRDefault="006374CB" w:rsidP="006374CB">
      <w:pPr>
        <w:pStyle w:val="NoSpacing"/>
        <w:jc w:val="both"/>
        <w:rPr>
          <w:rFonts w:ascii="Times New Roman" w:hAnsi="Times New Roman"/>
          <w:sz w:val="24"/>
          <w:szCs w:val="24"/>
        </w:rPr>
      </w:pPr>
      <w:r w:rsidRPr="00AD0715">
        <w:rPr>
          <w:rFonts w:ascii="Times New Roman" w:hAnsi="Times New Roman"/>
          <w:sz w:val="24"/>
          <w:szCs w:val="24"/>
        </w:rPr>
        <w:t>Pasi ka diskutuar me dyer t</w:t>
      </w:r>
      <w:r>
        <w:rPr>
          <w:rFonts w:ascii="Times New Roman" w:hAnsi="Times New Roman"/>
          <w:sz w:val="24"/>
          <w:szCs w:val="24"/>
        </w:rPr>
        <w:t>ë</w:t>
      </w:r>
      <w:r w:rsidRPr="00AD0715">
        <w:rPr>
          <w:rFonts w:ascii="Times New Roman" w:hAnsi="Times New Roman"/>
          <w:sz w:val="24"/>
          <w:szCs w:val="24"/>
        </w:rPr>
        <w:t xml:space="preserve"> mbyllura m</w:t>
      </w:r>
      <w:r>
        <w:rPr>
          <w:rFonts w:ascii="Times New Roman" w:hAnsi="Times New Roman"/>
          <w:sz w:val="24"/>
          <w:szCs w:val="24"/>
        </w:rPr>
        <w:t>ë</w:t>
      </w:r>
      <w:r w:rsidRPr="00AD0715">
        <w:rPr>
          <w:rFonts w:ascii="Times New Roman" w:hAnsi="Times New Roman"/>
          <w:sz w:val="24"/>
          <w:szCs w:val="24"/>
        </w:rPr>
        <w:t xml:space="preserve"> </w:t>
      </w:r>
      <w:r>
        <w:rPr>
          <w:rFonts w:ascii="Times New Roman" w:hAnsi="Times New Roman"/>
          <w:sz w:val="24"/>
          <w:szCs w:val="24"/>
        </w:rPr>
        <w:t>11 Dhjetor</w:t>
      </w:r>
      <w:r w:rsidRPr="00AD0715">
        <w:rPr>
          <w:rFonts w:ascii="Times New Roman" w:hAnsi="Times New Roman"/>
          <w:sz w:val="24"/>
          <w:szCs w:val="24"/>
        </w:rPr>
        <w:t xml:space="preserve"> 2012, </w:t>
      </w:r>
    </w:p>
    <w:p w:rsidR="006374CB" w:rsidRDefault="006374CB" w:rsidP="006374CB">
      <w:pPr>
        <w:pStyle w:val="NoSpacing"/>
        <w:jc w:val="both"/>
        <w:rPr>
          <w:rFonts w:ascii="Times New Roman" w:hAnsi="Times New Roman"/>
          <w:sz w:val="24"/>
          <w:szCs w:val="24"/>
        </w:rPr>
      </w:pPr>
      <w:r w:rsidRPr="00AD0715">
        <w:rPr>
          <w:rFonts w:ascii="Times New Roman" w:hAnsi="Times New Roman"/>
          <w:sz w:val="24"/>
          <w:szCs w:val="24"/>
        </w:rPr>
        <w:t>L</w:t>
      </w:r>
      <w:r>
        <w:rPr>
          <w:rFonts w:ascii="Times New Roman" w:hAnsi="Times New Roman"/>
          <w:sz w:val="24"/>
          <w:szCs w:val="24"/>
        </w:rPr>
        <w:t>ë</w:t>
      </w:r>
      <w:r w:rsidRPr="00AD0715">
        <w:rPr>
          <w:rFonts w:ascii="Times New Roman" w:hAnsi="Times New Roman"/>
          <w:sz w:val="24"/>
          <w:szCs w:val="24"/>
        </w:rPr>
        <w:t>shon vendimin e m</w:t>
      </w:r>
      <w:r>
        <w:rPr>
          <w:rFonts w:ascii="Times New Roman" w:hAnsi="Times New Roman"/>
          <w:sz w:val="24"/>
          <w:szCs w:val="24"/>
        </w:rPr>
        <w:t>ë</w:t>
      </w:r>
      <w:r w:rsidRPr="00AD0715">
        <w:rPr>
          <w:rFonts w:ascii="Times New Roman" w:hAnsi="Times New Roman"/>
          <w:sz w:val="24"/>
          <w:szCs w:val="24"/>
        </w:rPr>
        <w:t>posht</w:t>
      </w:r>
      <w:r>
        <w:rPr>
          <w:rFonts w:ascii="Times New Roman" w:hAnsi="Times New Roman"/>
          <w:sz w:val="24"/>
          <w:szCs w:val="24"/>
        </w:rPr>
        <w:t>ë</w:t>
      </w:r>
      <w:r w:rsidRPr="00AD0715">
        <w:rPr>
          <w:rFonts w:ascii="Times New Roman" w:hAnsi="Times New Roman"/>
          <w:sz w:val="24"/>
          <w:szCs w:val="24"/>
        </w:rPr>
        <w:t>m, i cili u miratua n</w:t>
      </w:r>
      <w:r>
        <w:rPr>
          <w:rFonts w:ascii="Times New Roman" w:hAnsi="Times New Roman"/>
          <w:sz w:val="24"/>
          <w:szCs w:val="24"/>
        </w:rPr>
        <w:t>ë</w:t>
      </w:r>
      <w:r w:rsidRPr="00AD0715">
        <w:rPr>
          <w:rFonts w:ascii="Times New Roman" w:hAnsi="Times New Roman"/>
          <w:sz w:val="24"/>
          <w:szCs w:val="24"/>
        </w:rPr>
        <w:t xml:space="preserve"> po at</w:t>
      </w:r>
      <w:r>
        <w:rPr>
          <w:rFonts w:ascii="Times New Roman" w:hAnsi="Times New Roman"/>
          <w:sz w:val="24"/>
          <w:szCs w:val="24"/>
        </w:rPr>
        <w:t>ë</w:t>
      </w:r>
      <w:r w:rsidRPr="00AD0715">
        <w:rPr>
          <w:rFonts w:ascii="Times New Roman" w:hAnsi="Times New Roman"/>
          <w:sz w:val="24"/>
          <w:szCs w:val="24"/>
        </w:rPr>
        <w:t xml:space="preserve"> dit</w:t>
      </w:r>
      <w:r>
        <w:rPr>
          <w:rFonts w:ascii="Times New Roman" w:hAnsi="Times New Roman"/>
          <w:sz w:val="24"/>
          <w:szCs w:val="24"/>
        </w:rPr>
        <w:t>ë</w:t>
      </w:r>
      <w:r w:rsidRPr="00AD0715">
        <w:rPr>
          <w:rFonts w:ascii="Times New Roman" w:hAnsi="Times New Roman"/>
          <w:sz w:val="24"/>
          <w:szCs w:val="24"/>
        </w:rPr>
        <w:t>:</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jc w:val="both"/>
        <w:rPr>
          <w:rFonts w:ascii="Times New Roman" w:hAnsi="Times New Roman"/>
          <w:sz w:val="24"/>
          <w:szCs w:val="24"/>
        </w:rPr>
      </w:pPr>
      <w:r>
        <w:rPr>
          <w:rFonts w:ascii="Times New Roman" w:hAnsi="Times New Roman"/>
          <w:sz w:val="24"/>
          <w:szCs w:val="24"/>
        </w:rPr>
        <w:t>PROCEDURA</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Çështja filloi me një aplikim (nr. 63756/09) kundër Republikës së Shqipërisë paraqitur në Gjykatë sipas Nenit 34 të Konventës për Mbrojtjen e të Drejtave të Njeriut dhe Lirive Themelore (“Konventa”) nga një shtetas shqipëtar, z. Jorgji Themeli (“ankuesi”), më 5 Nëntor 2009.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përfaqësohej nga Znj. E. Kokona, avokate, e cila e ushtron aktivitetin e saj në Tiranë. Qeveria shqiptare (“Qeveria”) përfaqësohej nga Agjenti i saj, Znj. L. Mandia e Zyrës së Avokatit të Shtetit.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11 Korrik 2011, aplikimi </w:t>
      </w:r>
      <w:proofErr w:type="gramStart"/>
      <w:r>
        <w:rPr>
          <w:rFonts w:ascii="Times New Roman" w:hAnsi="Times New Roman"/>
          <w:sz w:val="24"/>
          <w:szCs w:val="24"/>
        </w:rPr>
        <w:t>iu</w:t>
      </w:r>
      <w:proofErr w:type="gramEnd"/>
      <w:r>
        <w:rPr>
          <w:rFonts w:ascii="Times New Roman" w:hAnsi="Times New Roman"/>
          <w:sz w:val="24"/>
          <w:szCs w:val="24"/>
        </w:rPr>
        <w:t xml:space="preserve"> komunikua Qeverisë.</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jc w:val="both"/>
        <w:rPr>
          <w:rFonts w:ascii="Times New Roman" w:hAnsi="Times New Roman"/>
          <w:sz w:val="24"/>
          <w:szCs w:val="24"/>
        </w:rPr>
      </w:pPr>
      <w:r>
        <w:rPr>
          <w:rFonts w:ascii="Times New Roman" w:hAnsi="Times New Roman"/>
          <w:sz w:val="24"/>
          <w:szCs w:val="24"/>
        </w:rPr>
        <w:t>FAKTET</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1"/>
        </w:numPr>
        <w:jc w:val="both"/>
        <w:rPr>
          <w:rFonts w:ascii="Times New Roman" w:hAnsi="Times New Roman"/>
          <w:sz w:val="24"/>
          <w:szCs w:val="24"/>
        </w:rPr>
      </w:pPr>
      <w:r>
        <w:rPr>
          <w:rFonts w:ascii="Times New Roman" w:hAnsi="Times New Roman"/>
          <w:sz w:val="24"/>
          <w:szCs w:val="24"/>
        </w:rPr>
        <w:t>RRETHANAT E ÇËSHTJES</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ka lindur në vitin 1942 dhe jeton në Tiranë.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Pas pushimit të ankuesit nga puna në vitin 2003, më 19 Janar 2004, Gjykata e Rrethit Tiranë urdhëroi punëdhënësin e tij, Ministrinë e Ekonomisë, Tregtisë dhe Energjitikës (“Ministria”), të paguante rrogën e tij për të gjithë periudhën gjatë së cilës ai mbeti i papunë. </w:t>
      </w:r>
      <w:proofErr w:type="gramStart"/>
      <w:r>
        <w:rPr>
          <w:rFonts w:ascii="Times New Roman" w:hAnsi="Times New Roman"/>
          <w:sz w:val="24"/>
          <w:szCs w:val="24"/>
        </w:rPr>
        <w:t>Ky</w:t>
      </w:r>
      <w:proofErr w:type="gramEnd"/>
      <w:r>
        <w:rPr>
          <w:rFonts w:ascii="Times New Roman" w:hAnsi="Times New Roman"/>
          <w:sz w:val="24"/>
          <w:szCs w:val="24"/>
        </w:rPr>
        <w:t xml:space="preserve"> vendim u bë i formës së prerë më 2 Shkurt 2007, pas refuzimit që Gjykata e Lartë i bëri apelimit të punëdhënësit.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10 Shkurt 2005, u lëshua urdhri për zbatim.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Nga 1 Janari 2006 deri më 31 Janar 2007, ankuesit </w:t>
      </w:r>
      <w:proofErr w:type="gramStart"/>
      <w:r>
        <w:rPr>
          <w:rFonts w:ascii="Times New Roman" w:hAnsi="Times New Roman"/>
          <w:sz w:val="24"/>
          <w:szCs w:val="24"/>
        </w:rPr>
        <w:t>iu</w:t>
      </w:r>
      <w:proofErr w:type="gramEnd"/>
      <w:r>
        <w:rPr>
          <w:rFonts w:ascii="Times New Roman" w:hAnsi="Times New Roman"/>
          <w:sz w:val="24"/>
          <w:szCs w:val="24"/>
        </w:rPr>
        <w:t xml:space="preserve"> paguan rregullisht pagat mujore si rezultat i përfshirjes së emrit të tij në listën e pritjes së punëdhënësit, duke qenë se nuk iu pagua asnjë rrogë për periudhën midis viteve 2003 dhe 2006.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Më 2 Shkurt 2009, përmbaruesi vendosi të ndërpriste zbatimin me argumentin se shuma e prapambetur ishte paguar. Ankuesi e kundërshtoi vendimin e përmbaruesit.</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30 Prill 2010, Gjykata e Rrethit Tiranë mori vendim në favor të ankuesit dhe urdhëroi përmbaruesin të vazhdonte me procedurat e zbatimit të vendimit. Ajo vendosi se punëdhënsi i kishte paguar ankuesit shumën prej 2,065,101 lekë shqiptarë (“Të gjitha”) nga një total prej 2,887,500 i gjithi, i përcaktuar për të për periudhën midis 2003 dhe 2006.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30 Qershor 2011, pas apelimit të përmbaruesit, Gjykata e Apelit e mbështeti atë vendim. </w:t>
      </w:r>
    </w:p>
    <w:p w:rsidR="006374CB" w:rsidRDefault="006374CB" w:rsidP="006374CB">
      <w:pPr>
        <w:pStyle w:val="NoSpacing"/>
        <w:ind w:left="720"/>
        <w:rPr>
          <w:rFonts w:ascii="Times New Roman" w:hAnsi="Times New Roman"/>
          <w:sz w:val="18"/>
          <w:szCs w:val="18"/>
        </w:rPr>
      </w:pPr>
    </w:p>
    <w:p w:rsidR="006374CB" w:rsidRDefault="006374CB" w:rsidP="006374CB">
      <w:pPr>
        <w:pStyle w:val="NoSpacing"/>
        <w:ind w:left="720"/>
        <w:jc w:val="center"/>
        <w:rPr>
          <w:rFonts w:ascii="Times New Roman" w:hAnsi="Times New Roman"/>
          <w:sz w:val="18"/>
          <w:szCs w:val="18"/>
        </w:rPr>
      </w:pPr>
      <w:r>
        <w:rPr>
          <w:rFonts w:ascii="Times New Roman" w:hAnsi="Times New Roman"/>
          <w:sz w:val="18"/>
          <w:szCs w:val="18"/>
        </w:rPr>
        <w:lastRenderedPageBreak/>
        <w:t>VENDIMI THEMELI KUNDËR SHQIPËRISË</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18 Janar 2012, Ministria urdhëroi pagesën e shumës së mbetur.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Më 8 Mars 2012, vendimi për borxhin e ankuesit u zbatua plotësisht. </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1"/>
        </w:numPr>
        <w:jc w:val="both"/>
        <w:rPr>
          <w:rFonts w:ascii="Times New Roman" w:hAnsi="Times New Roman"/>
          <w:sz w:val="24"/>
          <w:szCs w:val="24"/>
        </w:rPr>
      </w:pPr>
      <w:r>
        <w:rPr>
          <w:rFonts w:ascii="Times New Roman" w:hAnsi="Times New Roman"/>
          <w:sz w:val="24"/>
          <w:szCs w:val="24"/>
        </w:rPr>
        <w:t>LIGJI VENDAS DHE PRAKTIKA PËRKATËSE</w:t>
      </w:r>
    </w:p>
    <w:p w:rsidR="006374CB" w:rsidRDefault="006374CB" w:rsidP="006374CB">
      <w:pPr>
        <w:pStyle w:val="NoSpacing"/>
        <w:jc w:val="both"/>
        <w:rPr>
          <w:rFonts w:ascii="Times New Roman" w:hAnsi="Times New Roman"/>
          <w:sz w:val="24"/>
          <w:szCs w:val="24"/>
        </w:rPr>
      </w:pPr>
    </w:p>
    <w:p w:rsidR="006374CB" w:rsidRDefault="00C83F0D"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 </w:t>
      </w:r>
      <w:r w:rsidR="006374CB">
        <w:rPr>
          <w:rFonts w:ascii="Times New Roman" w:hAnsi="Times New Roman"/>
          <w:sz w:val="24"/>
          <w:szCs w:val="24"/>
        </w:rPr>
        <w:t xml:space="preserve">Ligji respektiv </w:t>
      </w:r>
      <w:proofErr w:type="gramStart"/>
      <w:r w:rsidR="006374CB">
        <w:rPr>
          <w:rFonts w:ascii="Times New Roman" w:hAnsi="Times New Roman"/>
          <w:sz w:val="24"/>
          <w:szCs w:val="24"/>
        </w:rPr>
        <w:t>vendas</w:t>
      </w:r>
      <w:proofErr w:type="gramEnd"/>
      <w:r w:rsidR="006374CB">
        <w:rPr>
          <w:rFonts w:ascii="Times New Roman" w:hAnsi="Times New Roman"/>
          <w:sz w:val="24"/>
          <w:szCs w:val="24"/>
        </w:rPr>
        <w:t xml:space="preserve"> dhe praktika janë përshkruar në çështjet e </w:t>
      </w:r>
      <w:r w:rsidR="006374CB">
        <w:rPr>
          <w:rFonts w:ascii="Times New Roman" w:hAnsi="Times New Roman"/>
          <w:i/>
          <w:sz w:val="24"/>
          <w:szCs w:val="24"/>
        </w:rPr>
        <w:t>Qufaj Co. Sh.p.k. kundër Shqipërisë</w:t>
      </w:r>
      <w:r w:rsidR="006374CB">
        <w:rPr>
          <w:rFonts w:ascii="Times New Roman" w:hAnsi="Times New Roman"/>
          <w:sz w:val="24"/>
          <w:szCs w:val="24"/>
        </w:rPr>
        <w:t xml:space="preserve"> (nr. 54268/00, §§ 21-26, 18 Nëntor 2004) dhe </w:t>
      </w:r>
      <w:r w:rsidR="006374CB">
        <w:rPr>
          <w:rFonts w:ascii="Times New Roman" w:hAnsi="Times New Roman"/>
          <w:i/>
          <w:sz w:val="24"/>
          <w:szCs w:val="24"/>
        </w:rPr>
        <w:t xml:space="preserve">Gjyli kundër Shqipërisë </w:t>
      </w:r>
      <w:r w:rsidR="006374CB">
        <w:rPr>
          <w:rFonts w:ascii="Times New Roman" w:hAnsi="Times New Roman"/>
          <w:sz w:val="24"/>
          <w:szCs w:val="24"/>
        </w:rPr>
        <w:t xml:space="preserve">(nr. 32907/07, §§ 19-28, 29 Shtator 2009). </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jc w:val="both"/>
        <w:rPr>
          <w:rFonts w:ascii="Times New Roman" w:hAnsi="Times New Roman"/>
          <w:sz w:val="24"/>
          <w:szCs w:val="24"/>
        </w:rPr>
      </w:pPr>
    </w:p>
    <w:p w:rsidR="006374CB" w:rsidRDefault="006374CB" w:rsidP="006374CB">
      <w:pPr>
        <w:pStyle w:val="NoSpacing"/>
        <w:jc w:val="both"/>
        <w:rPr>
          <w:rFonts w:ascii="Times New Roman" w:hAnsi="Times New Roman"/>
          <w:sz w:val="24"/>
          <w:szCs w:val="24"/>
        </w:rPr>
      </w:pPr>
      <w:r>
        <w:rPr>
          <w:rFonts w:ascii="Times New Roman" w:hAnsi="Times New Roman"/>
          <w:sz w:val="24"/>
          <w:szCs w:val="24"/>
        </w:rPr>
        <w:t>LIGJI</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parashtroi se moszbatimi i vendimit të Gjykatës së Rrethit Tiranë, i datës 19 Janar 2004, siç mbështetet edhe nga vendimi i Gjykatës së Lartë, i datës 2 Shkurt 2007, ka shkelur të drejtat e tij sipas Neneve 6§1 dhe 13 të Konventës, ashtu si edhe në përputhje me Nenin 1 të Protokollit të Konventës, të cilët pohojnë si më poshtë: </w:t>
      </w:r>
    </w:p>
    <w:p w:rsidR="006374CB" w:rsidRDefault="006374CB" w:rsidP="006374CB">
      <w:pPr>
        <w:pStyle w:val="NoSpacing"/>
        <w:jc w:val="both"/>
        <w:rPr>
          <w:rFonts w:ascii="Times New Roman" w:hAnsi="Times New Roman"/>
          <w:sz w:val="24"/>
          <w:szCs w:val="24"/>
        </w:rPr>
      </w:pPr>
    </w:p>
    <w:p w:rsidR="006374CB" w:rsidRPr="00A322B0" w:rsidRDefault="006374CB" w:rsidP="006374CB">
      <w:pPr>
        <w:pStyle w:val="NoSpacing"/>
        <w:jc w:val="center"/>
        <w:rPr>
          <w:rFonts w:ascii="Times New Roman" w:hAnsi="Times New Roman"/>
          <w:b/>
          <w:sz w:val="20"/>
          <w:szCs w:val="20"/>
        </w:rPr>
      </w:pPr>
      <w:r w:rsidRPr="00A322B0">
        <w:rPr>
          <w:rFonts w:ascii="Times New Roman" w:hAnsi="Times New Roman"/>
          <w:b/>
          <w:sz w:val="20"/>
          <w:szCs w:val="20"/>
        </w:rPr>
        <w:t>Neni 6 § 1</w:t>
      </w:r>
    </w:p>
    <w:p w:rsidR="006374CB" w:rsidRPr="00A322B0" w:rsidRDefault="006374CB" w:rsidP="006374CB">
      <w:pPr>
        <w:pStyle w:val="NoSpacing"/>
        <w:jc w:val="both"/>
        <w:rPr>
          <w:rFonts w:ascii="Times New Roman" w:hAnsi="Times New Roman"/>
          <w:sz w:val="20"/>
          <w:szCs w:val="20"/>
        </w:rPr>
      </w:pPr>
    </w:p>
    <w:p w:rsidR="006374CB" w:rsidRPr="00A322B0" w:rsidRDefault="006374CB" w:rsidP="006374CB">
      <w:pPr>
        <w:pStyle w:val="NoSpacing"/>
        <w:jc w:val="both"/>
        <w:rPr>
          <w:rFonts w:ascii="Times New Roman" w:hAnsi="Times New Roman"/>
          <w:sz w:val="20"/>
          <w:szCs w:val="20"/>
        </w:rPr>
      </w:pPr>
      <w:r w:rsidRPr="00A322B0">
        <w:rPr>
          <w:rFonts w:ascii="Times New Roman" w:hAnsi="Times New Roman"/>
          <w:sz w:val="20"/>
          <w:szCs w:val="20"/>
        </w:rPr>
        <w:t>“N</w:t>
      </w:r>
      <w:r>
        <w:rPr>
          <w:rFonts w:ascii="Times New Roman" w:hAnsi="Times New Roman"/>
          <w:sz w:val="20"/>
          <w:szCs w:val="20"/>
        </w:rPr>
        <w:t>ë</w:t>
      </w:r>
      <w:r w:rsidRPr="00A322B0">
        <w:rPr>
          <w:rFonts w:ascii="Times New Roman" w:hAnsi="Times New Roman"/>
          <w:sz w:val="20"/>
          <w:szCs w:val="20"/>
        </w:rPr>
        <w:t xml:space="preserve"> p</w:t>
      </w:r>
      <w:r>
        <w:rPr>
          <w:rFonts w:ascii="Times New Roman" w:hAnsi="Times New Roman"/>
          <w:sz w:val="20"/>
          <w:szCs w:val="20"/>
        </w:rPr>
        <w:t>ë</w:t>
      </w:r>
      <w:r w:rsidRPr="00A322B0">
        <w:rPr>
          <w:rFonts w:ascii="Times New Roman" w:hAnsi="Times New Roman"/>
          <w:sz w:val="20"/>
          <w:szCs w:val="20"/>
        </w:rPr>
        <w:t>rcaktimin e t</w:t>
      </w:r>
      <w:r>
        <w:rPr>
          <w:rFonts w:ascii="Times New Roman" w:hAnsi="Times New Roman"/>
          <w:sz w:val="20"/>
          <w:szCs w:val="20"/>
        </w:rPr>
        <w:t>ë</w:t>
      </w:r>
      <w:r w:rsidRPr="00A322B0">
        <w:rPr>
          <w:rFonts w:ascii="Times New Roman" w:hAnsi="Times New Roman"/>
          <w:sz w:val="20"/>
          <w:szCs w:val="20"/>
        </w:rPr>
        <w:t xml:space="preserve"> drejtave dhe detyrimeve t</w:t>
      </w:r>
      <w:r>
        <w:rPr>
          <w:rFonts w:ascii="Times New Roman" w:hAnsi="Times New Roman"/>
          <w:sz w:val="20"/>
          <w:szCs w:val="20"/>
        </w:rPr>
        <w:t>ë</w:t>
      </w:r>
      <w:r w:rsidRPr="00A322B0">
        <w:rPr>
          <w:rFonts w:ascii="Times New Roman" w:hAnsi="Times New Roman"/>
          <w:sz w:val="20"/>
          <w:szCs w:val="20"/>
        </w:rPr>
        <w:t xml:space="preserve"> tij civile … çdonj</w:t>
      </w:r>
      <w:r>
        <w:rPr>
          <w:rFonts w:ascii="Times New Roman" w:hAnsi="Times New Roman"/>
          <w:sz w:val="20"/>
          <w:szCs w:val="20"/>
        </w:rPr>
        <w:t>ë</w:t>
      </w:r>
      <w:r w:rsidRPr="00A322B0">
        <w:rPr>
          <w:rFonts w:ascii="Times New Roman" w:hAnsi="Times New Roman"/>
          <w:sz w:val="20"/>
          <w:szCs w:val="20"/>
        </w:rPr>
        <w:t>rit i jepet e drejta p</w:t>
      </w:r>
      <w:r>
        <w:rPr>
          <w:rFonts w:ascii="Times New Roman" w:hAnsi="Times New Roman"/>
          <w:sz w:val="20"/>
          <w:szCs w:val="20"/>
        </w:rPr>
        <w:t>ë</w:t>
      </w:r>
      <w:r w:rsidRPr="00A322B0">
        <w:rPr>
          <w:rFonts w:ascii="Times New Roman" w:hAnsi="Times New Roman"/>
          <w:sz w:val="20"/>
          <w:szCs w:val="20"/>
        </w:rPr>
        <w:t>r t’u d</w:t>
      </w:r>
      <w:r>
        <w:rPr>
          <w:rFonts w:ascii="Times New Roman" w:hAnsi="Times New Roman"/>
          <w:sz w:val="20"/>
          <w:szCs w:val="20"/>
        </w:rPr>
        <w:t>ë</w:t>
      </w:r>
      <w:r w:rsidRPr="00A322B0">
        <w:rPr>
          <w:rFonts w:ascii="Times New Roman" w:hAnsi="Times New Roman"/>
          <w:sz w:val="20"/>
          <w:szCs w:val="20"/>
        </w:rPr>
        <w:t>gjuar … n</w:t>
      </w:r>
      <w:r>
        <w:rPr>
          <w:rFonts w:ascii="Times New Roman" w:hAnsi="Times New Roman"/>
          <w:sz w:val="20"/>
          <w:szCs w:val="20"/>
        </w:rPr>
        <w:t>ë</w:t>
      </w:r>
      <w:r w:rsidRPr="00A322B0">
        <w:rPr>
          <w:rFonts w:ascii="Times New Roman" w:hAnsi="Times New Roman"/>
          <w:sz w:val="20"/>
          <w:szCs w:val="20"/>
        </w:rPr>
        <w:t xml:space="preserve"> m</w:t>
      </w:r>
      <w:r>
        <w:rPr>
          <w:rFonts w:ascii="Times New Roman" w:hAnsi="Times New Roman"/>
          <w:sz w:val="20"/>
          <w:szCs w:val="20"/>
        </w:rPr>
        <w:t>ë</w:t>
      </w:r>
      <w:r w:rsidRPr="00A322B0">
        <w:rPr>
          <w:rFonts w:ascii="Times New Roman" w:hAnsi="Times New Roman"/>
          <w:sz w:val="20"/>
          <w:szCs w:val="20"/>
        </w:rPr>
        <w:t>nyr</w:t>
      </w:r>
      <w:r>
        <w:rPr>
          <w:rFonts w:ascii="Times New Roman" w:hAnsi="Times New Roman"/>
          <w:sz w:val="20"/>
          <w:szCs w:val="20"/>
        </w:rPr>
        <w:t>ë</w:t>
      </w:r>
      <w:r w:rsidRPr="00A322B0">
        <w:rPr>
          <w:rFonts w:ascii="Times New Roman" w:hAnsi="Times New Roman"/>
          <w:sz w:val="20"/>
          <w:szCs w:val="20"/>
        </w:rPr>
        <w:t xml:space="preserve"> t</w:t>
      </w:r>
      <w:r>
        <w:rPr>
          <w:rFonts w:ascii="Times New Roman" w:hAnsi="Times New Roman"/>
          <w:sz w:val="20"/>
          <w:szCs w:val="20"/>
        </w:rPr>
        <w:t>ë</w:t>
      </w:r>
      <w:r w:rsidRPr="00A322B0">
        <w:rPr>
          <w:rFonts w:ascii="Times New Roman" w:hAnsi="Times New Roman"/>
          <w:sz w:val="20"/>
          <w:szCs w:val="20"/>
        </w:rPr>
        <w:t xml:space="preserve"> drejt</w:t>
      </w:r>
      <w:r>
        <w:rPr>
          <w:rFonts w:ascii="Times New Roman" w:hAnsi="Times New Roman"/>
          <w:sz w:val="20"/>
          <w:szCs w:val="20"/>
        </w:rPr>
        <w:t>ë</w:t>
      </w:r>
      <w:r w:rsidRPr="00A322B0">
        <w:rPr>
          <w:rFonts w:ascii="Times New Roman" w:hAnsi="Times New Roman"/>
          <w:sz w:val="20"/>
          <w:szCs w:val="20"/>
        </w:rPr>
        <w:t xml:space="preserve"> … nga nj</w:t>
      </w:r>
      <w:r>
        <w:rPr>
          <w:rFonts w:ascii="Times New Roman" w:hAnsi="Times New Roman"/>
          <w:sz w:val="20"/>
          <w:szCs w:val="20"/>
        </w:rPr>
        <w:t>ë</w:t>
      </w:r>
      <w:r w:rsidRPr="00A322B0">
        <w:rPr>
          <w:rFonts w:ascii="Times New Roman" w:hAnsi="Times New Roman"/>
          <w:sz w:val="20"/>
          <w:szCs w:val="20"/>
        </w:rPr>
        <w:t xml:space="preserve"> … gjykat</w:t>
      </w:r>
      <w:r>
        <w:rPr>
          <w:rFonts w:ascii="Times New Roman" w:hAnsi="Times New Roman"/>
          <w:sz w:val="20"/>
          <w:szCs w:val="20"/>
        </w:rPr>
        <w:t>ë</w:t>
      </w:r>
      <w:r w:rsidRPr="00A322B0">
        <w:rPr>
          <w:rFonts w:ascii="Times New Roman" w:hAnsi="Times New Roman"/>
          <w:sz w:val="20"/>
          <w:szCs w:val="20"/>
        </w:rPr>
        <w:t>”</w:t>
      </w:r>
    </w:p>
    <w:p w:rsidR="006374CB" w:rsidRDefault="006374CB" w:rsidP="006374CB">
      <w:pPr>
        <w:pStyle w:val="NoSpacing"/>
        <w:rPr>
          <w:rFonts w:ascii="Times New Roman" w:hAnsi="Times New Roman"/>
          <w:sz w:val="20"/>
          <w:szCs w:val="20"/>
        </w:rPr>
      </w:pPr>
    </w:p>
    <w:p w:rsidR="006374CB" w:rsidRDefault="006374CB" w:rsidP="006374CB">
      <w:pPr>
        <w:pStyle w:val="NoSpacing"/>
        <w:jc w:val="center"/>
        <w:rPr>
          <w:rFonts w:ascii="Times New Roman" w:hAnsi="Times New Roman"/>
          <w:b/>
          <w:sz w:val="20"/>
          <w:szCs w:val="20"/>
        </w:rPr>
      </w:pPr>
      <w:r>
        <w:rPr>
          <w:rFonts w:ascii="Times New Roman" w:hAnsi="Times New Roman"/>
          <w:b/>
          <w:sz w:val="20"/>
          <w:szCs w:val="20"/>
        </w:rPr>
        <w:t>Neni 13</w:t>
      </w:r>
    </w:p>
    <w:p w:rsidR="006374CB" w:rsidRDefault="006374CB" w:rsidP="006374CB">
      <w:pPr>
        <w:pStyle w:val="NoSpacing"/>
        <w:jc w:val="center"/>
        <w:rPr>
          <w:rFonts w:ascii="Times New Roman" w:hAnsi="Times New Roman"/>
          <w:b/>
          <w:sz w:val="20"/>
          <w:szCs w:val="20"/>
        </w:rPr>
      </w:pPr>
    </w:p>
    <w:p w:rsidR="006374CB" w:rsidRDefault="006374CB" w:rsidP="006374CB">
      <w:pPr>
        <w:pStyle w:val="NoSpacing"/>
        <w:jc w:val="both"/>
        <w:rPr>
          <w:rFonts w:ascii="Times New Roman" w:hAnsi="Times New Roman"/>
          <w:sz w:val="20"/>
          <w:szCs w:val="20"/>
        </w:rPr>
      </w:pPr>
      <w:r>
        <w:rPr>
          <w:rFonts w:ascii="Times New Roman" w:hAnsi="Times New Roman"/>
          <w:sz w:val="20"/>
          <w:szCs w:val="20"/>
        </w:rPr>
        <w:t>“Çdonjëri, të drejtat dhe liritë e të cilit, siç parashtrohen në Konventë, dhunohen, do të marrë një kompensim përpara një autoriteti kombëtar, pavarësisht faktit se dhunimi mund të jetë bërë nga persona të cilët veprojnë nën një kompetencë zyrtare.”</w:t>
      </w:r>
    </w:p>
    <w:p w:rsidR="006374CB" w:rsidRDefault="006374CB" w:rsidP="006374CB">
      <w:pPr>
        <w:pStyle w:val="NoSpacing"/>
        <w:jc w:val="both"/>
        <w:rPr>
          <w:rFonts w:ascii="Times New Roman" w:hAnsi="Times New Roman"/>
          <w:sz w:val="20"/>
          <w:szCs w:val="20"/>
        </w:rPr>
      </w:pPr>
    </w:p>
    <w:p w:rsidR="006374CB" w:rsidRDefault="006374CB" w:rsidP="006374CB">
      <w:pPr>
        <w:pStyle w:val="NoSpacing"/>
        <w:jc w:val="center"/>
        <w:rPr>
          <w:rFonts w:ascii="Times New Roman" w:hAnsi="Times New Roman"/>
          <w:b/>
          <w:sz w:val="20"/>
          <w:szCs w:val="20"/>
        </w:rPr>
      </w:pPr>
      <w:r>
        <w:rPr>
          <w:rFonts w:ascii="Times New Roman" w:hAnsi="Times New Roman"/>
          <w:b/>
          <w:sz w:val="20"/>
          <w:szCs w:val="20"/>
        </w:rPr>
        <w:t>Neni 1 i Protokollit Nr.1</w:t>
      </w:r>
    </w:p>
    <w:p w:rsidR="006374CB" w:rsidRDefault="006374CB" w:rsidP="006374CB">
      <w:pPr>
        <w:pStyle w:val="NoSpacing"/>
        <w:jc w:val="center"/>
        <w:rPr>
          <w:rFonts w:ascii="Times New Roman" w:hAnsi="Times New Roman"/>
          <w:b/>
          <w:sz w:val="20"/>
          <w:szCs w:val="20"/>
        </w:rPr>
      </w:pPr>
    </w:p>
    <w:p w:rsidR="006374CB" w:rsidRDefault="006374CB" w:rsidP="006374CB">
      <w:pPr>
        <w:pStyle w:val="NoSpacing"/>
        <w:jc w:val="both"/>
        <w:rPr>
          <w:rFonts w:ascii="Times New Roman" w:hAnsi="Times New Roman"/>
          <w:sz w:val="20"/>
          <w:szCs w:val="20"/>
        </w:rPr>
      </w:pPr>
      <w:r>
        <w:rPr>
          <w:rFonts w:ascii="Times New Roman" w:hAnsi="Times New Roman"/>
          <w:sz w:val="20"/>
          <w:szCs w:val="20"/>
        </w:rPr>
        <w:t xml:space="preserve">“Çdo individ human apo ligjor ka të drejtën të gëzojë pronat e tij. Asnjë nuk privohet nga pronat e tij përveçse kur ato janë në interesa publike dhe subjekte të kushteve të parashikuara nga ligji dhe nga parimet e përgjithshme të ligjit ndërkombëtar. </w:t>
      </w:r>
    </w:p>
    <w:p w:rsidR="006374CB" w:rsidRDefault="006374CB" w:rsidP="006374CB">
      <w:pPr>
        <w:pStyle w:val="NoSpacing"/>
        <w:jc w:val="both"/>
        <w:rPr>
          <w:rFonts w:ascii="Times New Roman" w:hAnsi="Times New Roman"/>
          <w:sz w:val="20"/>
          <w:szCs w:val="20"/>
        </w:rPr>
      </w:pPr>
    </w:p>
    <w:p w:rsidR="006374CB" w:rsidRDefault="006374CB" w:rsidP="006374CB">
      <w:pPr>
        <w:pStyle w:val="NoSpacing"/>
        <w:jc w:val="both"/>
        <w:rPr>
          <w:rFonts w:ascii="Times New Roman" w:hAnsi="Times New Roman"/>
          <w:sz w:val="20"/>
          <w:szCs w:val="20"/>
        </w:rPr>
      </w:pPr>
      <w:r>
        <w:rPr>
          <w:rFonts w:ascii="Times New Roman" w:hAnsi="Times New Roman"/>
          <w:sz w:val="20"/>
          <w:szCs w:val="20"/>
        </w:rPr>
        <w:t xml:space="preserve">Megjithatë, parashikimet e mëparshme nuk do të zvogëlojnë të drejtën e një Shteti t’i zbatojë këto ligje për aq kohë </w:t>
      </w:r>
      <w:proofErr w:type="gramStart"/>
      <w:r>
        <w:rPr>
          <w:rFonts w:ascii="Times New Roman" w:hAnsi="Times New Roman"/>
          <w:sz w:val="20"/>
          <w:szCs w:val="20"/>
        </w:rPr>
        <w:t>sa</w:t>
      </w:r>
      <w:proofErr w:type="gramEnd"/>
      <w:r>
        <w:rPr>
          <w:rFonts w:ascii="Times New Roman" w:hAnsi="Times New Roman"/>
          <w:sz w:val="20"/>
          <w:szCs w:val="20"/>
        </w:rPr>
        <w:t xml:space="preserve"> është i nevojshëm kontrolli mbi pronën në përputhje me interesin e përgjithshëm, apo edhe pagesa e taksave, kontributeve apo penaliteteve të tjera.”</w:t>
      </w:r>
    </w:p>
    <w:p w:rsidR="006374CB" w:rsidRDefault="006374CB" w:rsidP="006374CB">
      <w:pPr>
        <w:pStyle w:val="NoSpacing"/>
        <w:jc w:val="both"/>
        <w:rPr>
          <w:rFonts w:ascii="Times New Roman" w:hAnsi="Times New Roman"/>
          <w:sz w:val="20"/>
          <w:szCs w:val="20"/>
        </w:rPr>
      </w:pPr>
    </w:p>
    <w:p w:rsidR="006374CB" w:rsidRDefault="006374CB" w:rsidP="006374CB">
      <w:pPr>
        <w:pStyle w:val="NoSpacing"/>
        <w:numPr>
          <w:ilvl w:val="0"/>
          <w:numId w:val="12"/>
        </w:numPr>
        <w:jc w:val="both"/>
        <w:rPr>
          <w:rFonts w:ascii="Times New Roman" w:hAnsi="Times New Roman"/>
          <w:sz w:val="24"/>
          <w:szCs w:val="24"/>
        </w:rPr>
      </w:pPr>
      <w:r>
        <w:rPr>
          <w:rFonts w:ascii="Times New Roman" w:hAnsi="Times New Roman"/>
          <w:sz w:val="24"/>
          <w:szCs w:val="24"/>
        </w:rPr>
        <w:t>KËRKESA E QEVERISË PËR TA ANULLUAR ÇËSHTJEN E APLIKIMIT SIPAS NENIT 37 TË KONVENTËS</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Me anë të një letre të datës 18 Janar 2012, Qeveria paraqiti një deklaratë të njëanshme me synimin për të zgjidhur çështjen e ngritur nga aplikimi.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Ankuesi i kërkoi Gjykatës të kundërshtonte kushtet e paqarta të të deklaratës së njëanshme të Qeverisë.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Pasi studioi kushtet e deklaratës së njëanshme të Qeverisë, Gjykata mendon se nën rrethanat specifike të çështjes së ankuesit, ajo nuk ka baza të mjaftueshme për të konkluduar se respekton të drejtat e njeriut, siç përcaktohet në Konventë dhe në </w:t>
      </w:r>
    </w:p>
    <w:p w:rsidR="006374CB" w:rsidRDefault="006374CB" w:rsidP="006374CB">
      <w:pPr>
        <w:pStyle w:val="NoSpacing"/>
        <w:ind w:left="720"/>
        <w:jc w:val="center"/>
        <w:rPr>
          <w:rFonts w:ascii="Times New Roman" w:hAnsi="Times New Roman"/>
          <w:sz w:val="18"/>
          <w:szCs w:val="18"/>
        </w:rPr>
      </w:pPr>
      <w:r>
        <w:rPr>
          <w:rFonts w:ascii="Times New Roman" w:hAnsi="Times New Roman"/>
          <w:sz w:val="18"/>
          <w:szCs w:val="18"/>
        </w:rPr>
        <w:lastRenderedPageBreak/>
        <w:t>VENDIMI THEMELI KUNDËR SHQIPËRISË</w:t>
      </w:r>
    </w:p>
    <w:p w:rsidR="006374CB" w:rsidRDefault="006374CB" w:rsidP="006374CB">
      <w:pPr>
        <w:pStyle w:val="NoSpacing"/>
        <w:ind w:left="720"/>
        <w:jc w:val="both"/>
        <w:rPr>
          <w:rFonts w:ascii="Times New Roman" w:hAnsi="Times New Roman"/>
          <w:sz w:val="24"/>
          <w:szCs w:val="24"/>
        </w:rPr>
      </w:pPr>
    </w:p>
    <w:p w:rsidR="006374CB" w:rsidRPr="006374CB" w:rsidRDefault="006374CB" w:rsidP="006374CB">
      <w:pPr>
        <w:pStyle w:val="NoSpacing"/>
        <w:ind w:left="720"/>
        <w:jc w:val="both"/>
        <w:rPr>
          <w:rFonts w:ascii="Times New Roman" w:hAnsi="Times New Roman"/>
          <w:sz w:val="24"/>
          <w:szCs w:val="24"/>
        </w:rPr>
      </w:pPr>
      <w:r w:rsidRPr="006374CB">
        <w:rPr>
          <w:rFonts w:ascii="Times New Roman" w:hAnsi="Times New Roman"/>
          <w:sz w:val="24"/>
          <w:szCs w:val="24"/>
        </w:rPr>
        <w:t xml:space="preserve">Protokollet e saj, dhe nuk i kërkon asaj që të vazhdojë ekzaminimin e çështjes (shiko, midis të tjerëve, </w:t>
      </w:r>
      <w:r w:rsidRPr="006374CB">
        <w:rPr>
          <w:rFonts w:ascii="Times New Roman" w:hAnsi="Times New Roman"/>
          <w:i/>
          <w:sz w:val="24"/>
          <w:szCs w:val="24"/>
        </w:rPr>
        <w:t>Choumakov kundër Polonisë</w:t>
      </w:r>
      <w:r w:rsidRPr="006374CB">
        <w:rPr>
          <w:rFonts w:ascii="Times New Roman" w:hAnsi="Times New Roman"/>
          <w:sz w:val="24"/>
          <w:szCs w:val="24"/>
        </w:rPr>
        <w:t xml:space="preserve">, (nr.2), nr. 55/777/08, §§ 37-40, 1 Shkurt 2012, dhe </w:t>
      </w:r>
      <w:r w:rsidRPr="006374CB">
        <w:rPr>
          <w:rFonts w:ascii="Times New Roman" w:hAnsi="Times New Roman"/>
          <w:i/>
          <w:sz w:val="24"/>
          <w:szCs w:val="24"/>
        </w:rPr>
        <w:t>Ruprecht kundër Polonisë</w:t>
      </w:r>
      <w:r w:rsidRPr="006374CB">
        <w:rPr>
          <w:rFonts w:ascii="Times New Roman" w:hAnsi="Times New Roman"/>
          <w:sz w:val="24"/>
          <w:szCs w:val="24"/>
        </w:rPr>
        <w:t xml:space="preserve">, nr. 39912/06, §§ 25-27, 21 Shkurt 2012).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Kështu, Gjykata e kundërshton kërkesën e Qeverisë për të anulluar aplikimin sipas Nenit 37 të Konventës dhe do të ndjek sipas rastit ekzaminimin e tij të pranueshmërisë dhe të drejtave ligjore të çështjes. </w:t>
      </w:r>
    </w:p>
    <w:p w:rsidR="006374CB" w:rsidRDefault="006374CB" w:rsidP="006374CB">
      <w:pPr>
        <w:pStyle w:val="NoSpacing"/>
        <w:ind w:left="720"/>
        <w:jc w:val="both"/>
        <w:rPr>
          <w:rFonts w:ascii="Times New Roman" w:hAnsi="Times New Roman"/>
          <w:sz w:val="24"/>
          <w:szCs w:val="24"/>
        </w:rPr>
      </w:pPr>
    </w:p>
    <w:p w:rsidR="006374CB" w:rsidRPr="00792070" w:rsidRDefault="006374CB" w:rsidP="006374CB">
      <w:pPr>
        <w:pStyle w:val="NoSpacing"/>
        <w:numPr>
          <w:ilvl w:val="0"/>
          <w:numId w:val="12"/>
        </w:numPr>
        <w:jc w:val="both"/>
        <w:rPr>
          <w:rFonts w:ascii="Times New Roman" w:hAnsi="Times New Roman"/>
          <w:sz w:val="24"/>
          <w:szCs w:val="24"/>
        </w:rPr>
      </w:pPr>
      <w:r w:rsidRPr="00792070">
        <w:rPr>
          <w:rFonts w:ascii="Times New Roman" w:hAnsi="Times New Roman"/>
          <w:sz w:val="24"/>
          <w:szCs w:val="24"/>
        </w:rPr>
        <w:t>PRETENDIMI P</w:t>
      </w:r>
      <w:r>
        <w:rPr>
          <w:rFonts w:ascii="Times New Roman" w:hAnsi="Times New Roman"/>
          <w:sz w:val="24"/>
          <w:szCs w:val="24"/>
        </w:rPr>
        <w:t>Ë</w:t>
      </w:r>
      <w:r w:rsidRPr="00792070">
        <w:rPr>
          <w:rFonts w:ascii="Times New Roman" w:hAnsi="Times New Roman"/>
          <w:sz w:val="24"/>
          <w:szCs w:val="24"/>
        </w:rPr>
        <w:t>R DHUNIM T</w:t>
      </w:r>
      <w:r>
        <w:rPr>
          <w:rFonts w:ascii="Times New Roman" w:hAnsi="Times New Roman"/>
          <w:sz w:val="24"/>
          <w:szCs w:val="24"/>
        </w:rPr>
        <w:t>Ë</w:t>
      </w:r>
      <w:r w:rsidRPr="00792070">
        <w:rPr>
          <w:rFonts w:ascii="Times New Roman" w:hAnsi="Times New Roman"/>
          <w:sz w:val="24"/>
          <w:szCs w:val="24"/>
        </w:rPr>
        <w:t xml:space="preserve"> NENEVE 6 §</w:t>
      </w:r>
      <w:r>
        <w:rPr>
          <w:rFonts w:ascii="Times New Roman" w:hAnsi="Times New Roman"/>
          <w:sz w:val="24"/>
          <w:szCs w:val="24"/>
        </w:rPr>
        <w:t xml:space="preserve"> </w:t>
      </w:r>
      <w:proofErr w:type="gramStart"/>
      <w:r>
        <w:rPr>
          <w:rFonts w:ascii="Times New Roman" w:hAnsi="Times New Roman"/>
          <w:sz w:val="24"/>
          <w:szCs w:val="24"/>
        </w:rPr>
        <w:t>1</w:t>
      </w:r>
      <w:proofErr w:type="gramEnd"/>
      <w:r>
        <w:rPr>
          <w:rFonts w:ascii="Times New Roman" w:hAnsi="Times New Roman"/>
          <w:sz w:val="24"/>
          <w:szCs w:val="24"/>
        </w:rPr>
        <w:t xml:space="preserve"> DHE 13 TË KONVENTËS DHE </w:t>
      </w:r>
      <w:r w:rsidRPr="00792070">
        <w:rPr>
          <w:rFonts w:ascii="Times New Roman" w:hAnsi="Times New Roman"/>
          <w:sz w:val="24"/>
          <w:szCs w:val="24"/>
        </w:rPr>
        <w:t>NENIT 1 T</w:t>
      </w:r>
      <w:r>
        <w:rPr>
          <w:rFonts w:ascii="Times New Roman" w:hAnsi="Times New Roman"/>
          <w:sz w:val="24"/>
          <w:szCs w:val="24"/>
        </w:rPr>
        <w:t>Ë</w:t>
      </w:r>
      <w:r w:rsidRPr="00792070">
        <w:rPr>
          <w:rFonts w:ascii="Times New Roman" w:hAnsi="Times New Roman"/>
          <w:sz w:val="24"/>
          <w:szCs w:val="24"/>
        </w:rPr>
        <w:t xml:space="preserve"> PROTOKOLLIT NR. 1 T</w:t>
      </w:r>
      <w:r>
        <w:rPr>
          <w:rFonts w:ascii="Times New Roman" w:hAnsi="Times New Roman"/>
          <w:sz w:val="24"/>
          <w:szCs w:val="24"/>
        </w:rPr>
        <w:t>Ë</w:t>
      </w:r>
      <w:r w:rsidRPr="00792070">
        <w:rPr>
          <w:rFonts w:ascii="Times New Roman" w:hAnsi="Times New Roman"/>
          <w:sz w:val="24"/>
          <w:szCs w:val="24"/>
        </w:rPr>
        <w:t xml:space="preserve"> KONVENT</w:t>
      </w:r>
      <w:r>
        <w:rPr>
          <w:rFonts w:ascii="Times New Roman" w:hAnsi="Times New Roman"/>
          <w:sz w:val="24"/>
          <w:szCs w:val="24"/>
        </w:rPr>
        <w:t>Ë</w:t>
      </w:r>
      <w:r w:rsidRPr="00792070">
        <w:rPr>
          <w:rFonts w:ascii="Times New Roman" w:hAnsi="Times New Roman"/>
          <w:sz w:val="24"/>
          <w:szCs w:val="24"/>
        </w:rPr>
        <w:t xml:space="preserve">S </w:t>
      </w:r>
    </w:p>
    <w:p w:rsidR="006374CB" w:rsidRDefault="006374CB" w:rsidP="006374CB">
      <w:pPr>
        <w:pStyle w:val="NoSpacing"/>
        <w:jc w:val="both"/>
        <w:rPr>
          <w:rFonts w:ascii="Times New Roman" w:hAnsi="Times New Roman"/>
          <w:sz w:val="24"/>
          <w:szCs w:val="24"/>
        </w:rPr>
      </w:pPr>
    </w:p>
    <w:p w:rsidR="006374CB" w:rsidRPr="00BB01AF" w:rsidRDefault="006374CB" w:rsidP="006374CB">
      <w:pPr>
        <w:pStyle w:val="NoSpacing"/>
        <w:numPr>
          <w:ilvl w:val="0"/>
          <w:numId w:val="13"/>
        </w:numPr>
        <w:jc w:val="both"/>
        <w:rPr>
          <w:rFonts w:ascii="Times New Roman" w:hAnsi="Times New Roman"/>
          <w:b/>
          <w:sz w:val="24"/>
          <w:szCs w:val="24"/>
        </w:rPr>
      </w:pPr>
      <w:r>
        <w:rPr>
          <w:rFonts w:ascii="Times New Roman" w:hAnsi="Times New Roman"/>
          <w:b/>
          <w:sz w:val="24"/>
          <w:szCs w:val="24"/>
        </w:rPr>
        <w:t xml:space="preserve">Pranueshmëria </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Sipas asaj ç’ka thuhet në Nenin 35 § </w:t>
      </w:r>
      <w:proofErr w:type="gramStart"/>
      <w:r>
        <w:rPr>
          <w:rFonts w:ascii="Times New Roman" w:hAnsi="Times New Roman"/>
          <w:sz w:val="24"/>
          <w:szCs w:val="24"/>
        </w:rPr>
        <w:t>3</w:t>
      </w:r>
      <w:proofErr w:type="gramEnd"/>
      <w:r>
        <w:rPr>
          <w:rFonts w:ascii="Times New Roman" w:hAnsi="Times New Roman"/>
          <w:sz w:val="24"/>
          <w:szCs w:val="24"/>
        </w:rPr>
        <w:t xml:space="preserve"> të Konventës, Gjykata vëren se këto ankesa nuk janë të pabaza. Më tej ajo vëren se ato nuk janë të papranueshme në ndonjë pikë të caktuar. Për këtë arsye ato duhet të deklarohen të pranueshme. </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3"/>
        </w:numPr>
        <w:jc w:val="both"/>
        <w:rPr>
          <w:rFonts w:ascii="Times New Roman" w:hAnsi="Times New Roman"/>
          <w:b/>
          <w:sz w:val="24"/>
          <w:szCs w:val="24"/>
        </w:rPr>
      </w:pPr>
      <w:r>
        <w:rPr>
          <w:rFonts w:ascii="Times New Roman" w:hAnsi="Times New Roman"/>
          <w:b/>
          <w:sz w:val="24"/>
          <w:szCs w:val="24"/>
        </w:rPr>
        <w:t>Përmbajtja e çështjes</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Ankuesi parashtroi faktin se zbatimi i vendimit final në favor të tij është shtyrë për një kohë të gjatë, pasi vendimi u zbatua vetëm më 8 Mars 2012. Pavarësisht se ishte përfshirë në listën e pritjes së punëdhënësit, ai deklaroi se mungesa e një kompensimi efektiv dhe rrethanat e çështjes së tij “e detyruan” atë të aplikonte për një tërheqje të hershme nga puna.</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Qeveria parashtroi faktin se se vendimi u zbatua përfundimisht më 18 Janar 2012. Për më tepër, ankuesi ishte përfshirë në listën e pritjes së punëdhënësit që më 1 Janar 2006, dhe moszbatimi i vendimit i referohet një periudhe vetëm midis 10 Marsit 2003 dhe 1 Janarit 2006.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Gjykata vëren se vendimi në favor të ankuesit u zbatua përfundimisht më 8 Mars 2012, 5 vite pasi u bë i formës së prerë më 2 Shkurt 2007 (shiko </w:t>
      </w:r>
      <w:r>
        <w:rPr>
          <w:rFonts w:ascii="Times New Roman" w:hAnsi="Times New Roman"/>
          <w:i/>
          <w:sz w:val="24"/>
          <w:szCs w:val="24"/>
        </w:rPr>
        <w:t>Gjyli</w:t>
      </w:r>
      <w:r>
        <w:rPr>
          <w:rFonts w:ascii="Times New Roman" w:hAnsi="Times New Roman"/>
          <w:sz w:val="24"/>
          <w:szCs w:val="24"/>
        </w:rPr>
        <w:t xml:space="preserve">, cituar mësipër , § 33). Qeveria nuk paraqiti asnjë justifikim të çfarëdolloji për këtë zbatim vendimi të vonuar. </w:t>
      </w: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Për më tepër, Gjykata kujton se nuk ekziston asnjë kompensim </w:t>
      </w:r>
      <w:proofErr w:type="gramStart"/>
      <w:r>
        <w:rPr>
          <w:rFonts w:ascii="Times New Roman" w:hAnsi="Times New Roman"/>
          <w:sz w:val="24"/>
          <w:szCs w:val="24"/>
        </w:rPr>
        <w:t>vendas</w:t>
      </w:r>
      <w:proofErr w:type="gramEnd"/>
      <w:r>
        <w:rPr>
          <w:rFonts w:ascii="Times New Roman" w:hAnsi="Times New Roman"/>
          <w:sz w:val="24"/>
          <w:szCs w:val="24"/>
        </w:rPr>
        <w:t xml:space="preserve"> për sa ka të bëjë me zbatimin e vonuar të vendimit apo me moszbatimin e një vendimi final të gjykatës (shiko </w:t>
      </w:r>
      <w:r>
        <w:rPr>
          <w:rFonts w:ascii="Times New Roman" w:hAnsi="Times New Roman"/>
          <w:i/>
          <w:sz w:val="24"/>
          <w:szCs w:val="24"/>
        </w:rPr>
        <w:t>Pluto dhe të Tjerët kundër Shqipërisë</w:t>
      </w:r>
      <w:r>
        <w:rPr>
          <w:rFonts w:ascii="Times New Roman" w:hAnsi="Times New Roman"/>
          <w:sz w:val="24"/>
          <w:szCs w:val="24"/>
        </w:rPr>
        <w:t xml:space="preserve">, nr. 609/07, §§ 33-35, 20 Korrik 2010; dhe </w:t>
      </w:r>
      <w:r>
        <w:rPr>
          <w:rFonts w:ascii="Times New Roman" w:hAnsi="Times New Roman"/>
          <w:i/>
          <w:sz w:val="24"/>
          <w:szCs w:val="24"/>
        </w:rPr>
        <w:t>Gjyli,</w:t>
      </w:r>
      <w:r>
        <w:rPr>
          <w:rFonts w:ascii="Times New Roman" w:hAnsi="Times New Roman"/>
          <w:sz w:val="24"/>
          <w:szCs w:val="24"/>
        </w:rPr>
        <w:t xml:space="preserve"> cituar mësipër, §§ 55-60).</w:t>
      </w:r>
    </w:p>
    <w:p w:rsidR="006374CB" w:rsidRDefault="006374CB" w:rsidP="006374CB">
      <w:pPr>
        <w:pStyle w:val="NoSpacing"/>
        <w:numPr>
          <w:ilvl w:val="0"/>
          <w:numId w:val="10"/>
        </w:numPr>
        <w:jc w:val="both"/>
        <w:rPr>
          <w:rFonts w:ascii="Times New Roman" w:hAnsi="Times New Roman"/>
          <w:sz w:val="24"/>
          <w:szCs w:val="24"/>
        </w:rPr>
      </w:pPr>
      <w:proofErr w:type="gramStart"/>
      <w:r>
        <w:rPr>
          <w:rFonts w:ascii="Times New Roman" w:hAnsi="Times New Roman"/>
          <w:sz w:val="24"/>
          <w:szCs w:val="24"/>
        </w:rPr>
        <w:t>Përsa i përket çështjes së saj ligjore të mirëorganizuar mbi këtë rast (</w:t>
      </w:r>
      <w:r>
        <w:rPr>
          <w:rFonts w:ascii="Times New Roman" w:hAnsi="Times New Roman"/>
          <w:i/>
          <w:sz w:val="24"/>
          <w:szCs w:val="24"/>
        </w:rPr>
        <w:t>Qufaj Co. Sh.p.k</w:t>
      </w:r>
      <w:r>
        <w:rPr>
          <w:rFonts w:ascii="Times New Roman" w:hAnsi="Times New Roman"/>
          <w:sz w:val="24"/>
          <w:szCs w:val="24"/>
        </w:rPr>
        <w:t xml:space="preserve">, cituar mësipër; </w:t>
      </w:r>
      <w:r>
        <w:rPr>
          <w:rFonts w:ascii="Times New Roman" w:hAnsi="Times New Roman"/>
          <w:i/>
          <w:sz w:val="24"/>
          <w:szCs w:val="24"/>
        </w:rPr>
        <w:t>Gjyli</w:t>
      </w:r>
      <w:r>
        <w:rPr>
          <w:rFonts w:ascii="Times New Roman" w:hAnsi="Times New Roman"/>
          <w:sz w:val="24"/>
          <w:szCs w:val="24"/>
        </w:rPr>
        <w:t xml:space="preserve">, cituar mësipër; dhe </w:t>
      </w:r>
      <w:r>
        <w:rPr>
          <w:rFonts w:ascii="Times New Roman" w:hAnsi="Times New Roman"/>
          <w:i/>
          <w:sz w:val="24"/>
          <w:szCs w:val="24"/>
        </w:rPr>
        <w:t>Puto dhe të Tjerët</w:t>
      </w:r>
      <w:r>
        <w:rPr>
          <w:rFonts w:ascii="Times New Roman" w:hAnsi="Times New Roman"/>
          <w:sz w:val="24"/>
          <w:szCs w:val="24"/>
        </w:rPr>
        <w:t>, cituar mësipër), Gjykata konstaton se ka patur shkelje të Nenit 6 § 1 të Konventës, dhe të Nenit 1 të Protokollit No. 1, në lidhje me zbatimin e vonuar në datën 8 Mars 2012 të vendimit të Gjykatës së Lartë të datës 2 Shkurt 2007 dhe një shkelje të Nenit 13 të Konventës për arsye se ankuesit nuk iu bë një kompensim efektiv vendas për të shlyer dëmin e shkaktuar nga një zbatim i tillë i vonuar.</w:t>
      </w:r>
      <w:proofErr w:type="gramEnd"/>
      <w:r>
        <w:rPr>
          <w:rFonts w:ascii="Times New Roman" w:hAnsi="Times New Roman"/>
          <w:sz w:val="24"/>
          <w:szCs w:val="24"/>
        </w:rPr>
        <w:t xml:space="preserve"> </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2"/>
        </w:numPr>
        <w:jc w:val="both"/>
        <w:rPr>
          <w:rFonts w:ascii="Times New Roman" w:hAnsi="Times New Roman"/>
          <w:sz w:val="24"/>
          <w:szCs w:val="24"/>
        </w:rPr>
      </w:pPr>
      <w:r>
        <w:rPr>
          <w:rFonts w:ascii="Times New Roman" w:hAnsi="Times New Roman"/>
          <w:sz w:val="24"/>
          <w:szCs w:val="24"/>
        </w:rPr>
        <w:t>ZBATIMI I NENIT 41 TË KONVENTËS</w:t>
      </w:r>
    </w:p>
    <w:p w:rsidR="006374CB" w:rsidRDefault="006374CB" w:rsidP="006374CB">
      <w:pPr>
        <w:pStyle w:val="NoSpacing"/>
        <w:ind w:left="1080"/>
        <w:jc w:val="center"/>
        <w:rPr>
          <w:rFonts w:ascii="Times New Roman" w:hAnsi="Times New Roman"/>
          <w:sz w:val="18"/>
          <w:szCs w:val="18"/>
        </w:rPr>
      </w:pPr>
      <w:r>
        <w:rPr>
          <w:rFonts w:ascii="Times New Roman" w:hAnsi="Times New Roman"/>
          <w:sz w:val="18"/>
          <w:szCs w:val="18"/>
        </w:rPr>
        <w:lastRenderedPageBreak/>
        <w:t>VENDIMI THEMELI KUNDËR SHQIPËRISË</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numPr>
          <w:ilvl w:val="0"/>
          <w:numId w:val="10"/>
        </w:numPr>
        <w:jc w:val="both"/>
        <w:rPr>
          <w:rFonts w:ascii="Times New Roman" w:hAnsi="Times New Roman"/>
          <w:sz w:val="24"/>
          <w:szCs w:val="24"/>
        </w:rPr>
      </w:pPr>
      <w:r>
        <w:rPr>
          <w:rFonts w:ascii="Times New Roman" w:hAnsi="Times New Roman"/>
          <w:sz w:val="24"/>
          <w:szCs w:val="24"/>
        </w:rPr>
        <w:t xml:space="preserve">Neni 41 i Konventës parashikon: </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ind w:left="720"/>
        <w:jc w:val="both"/>
        <w:rPr>
          <w:rFonts w:ascii="Times New Roman" w:hAnsi="Times New Roman"/>
          <w:sz w:val="20"/>
          <w:szCs w:val="20"/>
        </w:rPr>
      </w:pPr>
      <w:r w:rsidRPr="007B09D3">
        <w:rPr>
          <w:rFonts w:ascii="Times New Roman" w:hAnsi="Times New Roman"/>
          <w:sz w:val="20"/>
          <w:szCs w:val="20"/>
        </w:rPr>
        <w:t>“N</w:t>
      </w:r>
      <w:r>
        <w:rPr>
          <w:rFonts w:ascii="Times New Roman" w:hAnsi="Times New Roman"/>
          <w:sz w:val="20"/>
          <w:szCs w:val="20"/>
        </w:rPr>
        <w:t>ë</w:t>
      </w:r>
      <w:r w:rsidRPr="007B09D3">
        <w:rPr>
          <w:rFonts w:ascii="Times New Roman" w:hAnsi="Times New Roman"/>
          <w:sz w:val="20"/>
          <w:szCs w:val="20"/>
        </w:rPr>
        <w:t>se Gjykata konstaton se ka patur shkelje t</w:t>
      </w:r>
      <w:r>
        <w:rPr>
          <w:rFonts w:ascii="Times New Roman" w:hAnsi="Times New Roman"/>
          <w:sz w:val="20"/>
          <w:szCs w:val="20"/>
        </w:rPr>
        <w:t>ë</w:t>
      </w:r>
      <w:r w:rsidRPr="007B09D3">
        <w:rPr>
          <w:rFonts w:ascii="Times New Roman" w:hAnsi="Times New Roman"/>
          <w:sz w:val="20"/>
          <w:szCs w:val="20"/>
        </w:rPr>
        <w:t xml:space="preserve"> Konvent</w:t>
      </w:r>
      <w:r>
        <w:rPr>
          <w:rFonts w:ascii="Times New Roman" w:hAnsi="Times New Roman"/>
          <w:sz w:val="20"/>
          <w:szCs w:val="20"/>
        </w:rPr>
        <w:t>ë</w:t>
      </w:r>
      <w:r w:rsidRPr="007B09D3">
        <w:rPr>
          <w:rFonts w:ascii="Times New Roman" w:hAnsi="Times New Roman"/>
          <w:sz w:val="20"/>
          <w:szCs w:val="20"/>
        </w:rPr>
        <w:t>s ose t</w:t>
      </w:r>
      <w:r>
        <w:rPr>
          <w:rFonts w:ascii="Times New Roman" w:hAnsi="Times New Roman"/>
          <w:sz w:val="20"/>
          <w:szCs w:val="20"/>
        </w:rPr>
        <w:t>ë</w:t>
      </w:r>
      <w:r w:rsidRPr="007B09D3">
        <w:rPr>
          <w:rFonts w:ascii="Times New Roman" w:hAnsi="Times New Roman"/>
          <w:sz w:val="20"/>
          <w:szCs w:val="20"/>
        </w:rPr>
        <w:t xml:space="preserve"> Protokolleve, dhe n</w:t>
      </w:r>
      <w:r>
        <w:rPr>
          <w:rFonts w:ascii="Times New Roman" w:hAnsi="Times New Roman"/>
          <w:sz w:val="20"/>
          <w:szCs w:val="20"/>
        </w:rPr>
        <w:t>ë</w:t>
      </w:r>
      <w:r w:rsidRPr="007B09D3">
        <w:rPr>
          <w:rFonts w:ascii="Times New Roman" w:hAnsi="Times New Roman"/>
          <w:sz w:val="20"/>
          <w:szCs w:val="20"/>
        </w:rPr>
        <w:t>se ligji i brendsh</w:t>
      </w:r>
      <w:r>
        <w:rPr>
          <w:rFonts w:ascii="Times New Roman" w:hAnsi="Times New Roman"/>
          <w:sz w:val="20"/>
          <w:szCs w:val="20"/>
        </w:rPr>
        <w:t>ë</w:t>
      </w:r>
      <w:r w:rsidRPr="007B09D3">
        <w:rPr>
          <w:rFonts w:ascii="Times New Roman" w:hAnsi="Times New Roman"/>
          <w:sz w:val="20"/>
          <w:szCs w:val="20"/>
        </w:rPr>
        <w:t>m i Pal</w:t>
      </w:r>
      <w:r>
        <w:rPr>
          <w:rFonts w:ascii="Times New Roman" w:hAnsi="Times New Roman"/>
          <w:sz w:val="20"/>
          <w:szCs w:val="20"/>
        </w:rPr>
        <w:t>ë</w:t>
      </w:r>
      <w:r w:rsidRPr="007B09D3">
        <w:rPr>
          <w:rFonts w:ascii="Times New Roman" w:hAnsi="Times New Roman"/>
          <w:sz w:val="20"/>
          <w:szCs w:val="20"/>
        </w:rPr>
        <w:t>s s</w:t>
      </w:r>
      <w:r>
        <w:rPr>
          <w:rFonts w:ascii="Times New Roman" w:hAnsi="Times New Roman"/>
          <w:sz w:val="20"/>
          <w:szCs w:val="20"/>
        </w:rPr>
        <w:t>ë</w:t>
      </w:r>
      <w:r w:rsidRPr="007B09D3">
        <w:rPr>
          <w:rFonts w:ascii="Times New Roman" w:hAnsi="Times New Roman"/>
          <w:sz w:val="20"/>
          <w:szCs w:val="20"/>
        </w:rPr>
        <w:t xml:space="preserve"> Lart</w:t>
      </w:r>
      <w:r>
        <w:rPr>
          <w:rFonts w:ascii="Times New Roman" w:hAnsi="Times New Roman"/>
          <w:sz w:val="20"/>
          <w:szCs w:val="20"/>
        </w:rPr>
        <w:t>ë</w:t>
      </w:r>
      <w:r w:rsidRPr="007B09D3">
        <w:rPr>
          <w:rFonts w:ascii="Times New Roman" w:hAnsi="Times New Roman"/>
          <w:sz w:val="20"/>
          <w:szCs w:val="20"/>
        </w:rPr>
        <w:t xml:space="preserve"> Kontraktuese, t</w:t>
      </w:r>
      <w:r>
        <w:rPr>
          <w:rFonts w:ascii="Times New Roman" w:hAnsi="Times New Roman"/>
          <w:sz w:val="20"/>
          <w:szCs w:val="20"/>
        </w:rPr>
        <w:t>ë</w:t>
      </w:r>
      <w:r w:rsidRPr="007B09D3">
        <w:rPr>
          <w:rFonts w:ascii="Times New Roman" w:hAnsi="Times New Roman"/>
          <w:sz w:val="20"/>
          <w:szCs w:val="20"/>
        </w:rPr>
        <w:t xml:space="preserve"> lidhur me ç</w:t>
      </w:r>
      <w:r>
        <w:rPr>
          <w:rFonts w:ascii="Times New Roman" w:hAnsi="Times New Roman"/>
          <w:sz w:val="20"/>
          <w:szCs w:val="20"/>
        </w:rPr>
        <w:t>ë</w:t>
      </w:r>
      <w:r w:rsidRPr="007B09D3">
        <w:rPr>
          <w:rFonts w:ascii="Times New Roman" w:hAnsi="Times New Roman"/>
          <w:sz w:val="20"/>
          <w:szCs w:val="20"/>
        </w:rPr>
        <w:t>shtjen, lejon vet</w:t>
      </w:r>
      <w:r>
        <w:rPr>
          <w:rFonts w:ascii="Times New Roman" w:hAnsi="Times New Roman"/>
          <w:sz w:val="20"/>
          <w:szCs w:val="20"/>
        </w:rPr>
        <w:t>ë</w:t>
      </w:r>
      <w:r w:rsidRPr="007B09D3">
        <w:rPr>
          <w:rFonts w:ascii="Times New Roman" w:hAnsi="Times New Roman"/>
          <w:sz w:val="20"/>
          <w:szCs w:val="20"/>
        </w:rPr>
        <w:t>m nj</w:t>
      </w:r>
      <w:r>
        <w:rPr>
          <w:rFonts w:ascii="Times New Roman" w:hAnsi="Times New Roman"/>
          <w:sz w:val="20"/>
          <w:szCs w:val="20"/>
        </w:rPr>
        <w:t>ë</w:t>
      </w:r>
      <w:r w:rsidRPr="007B09D3">
        <w:rPr>
          <w:rFonts w:ascii="Times New Roman" w:hAnsi="Times New Roman"/>
          <w:sz w:val="20"/>
          <w:szCs w:val="20"/>
        </w:rPr>
        <w:t xml:space="preserve"> </w:t>
      </w:r>
      <w:r>
        <w:rPr>
          <w:rFonts w:ascii="Times New Roman" w:hAnsi="Times New Roman"/>
          <w:sz w:val="20"/>
          <w:szCs w:val="20"/>
        </w:rPr>
        <w:t>shlyerje të pjessh</w:t>
      </w:r>
      <w:r w:rsidRPr="007B09D3">
        <w:rPr>
          <w:rFonts w:ascii="Times New Roman" w:hAnsi="Times New Roman"/>
          <w:sz w:val="20"/>
          <w:szCs w:val="20"/>
        </w:rPr>
        <w:t>m</w:t>
      </w:r>
      <w:r>
        <w:rPr>
          <w:rFonts w:ascii="Times New Roman" w:hAnsi="Times New Roman"/>
          <w:sz w:val="20"/>
          <w:szCs w:val="20"/>
        </w:rPr>
        <w:t>e</w:t>
      </w:r>
      <w:r w:rsidRPr="007B09D3">
        <w:rPr>
          <w:rFonts w:ascii="Times New Roman" w:hAnsi="Times New Roman"/>
          <w:sz w:val="20"/>
          <w:szCs w:val="20"/>
        </w:rPr>
        <w:t>, n</w:t>
      </w:r>
      <w:r>
        <w:rPr>
          <w:rFonts w:ascii="Times New Roman" w:hAnsi="Times New Roman"/>
          <w:sz w:val="20"/>
          <w:szCs w:val="20"/>
        </w:rPr>
        <w:t>ë</w:t>
      </w:r>
      <w:r w:rsidRPr="007B09D3">
        <w:rPr>
          <w:rFonts w:ascii="Times New Roman" w:hAnsi="Times New Roman"/>
          <w:sz w:val="20"/>
          <w:szCs w:val="20"/>
        </w:rPr>
        <w:t xml:space="preserve">se </w:t>
      </w:r>
      <w:r>
        <w:rPr>
          <w:rFonts w:ascii="Times New Roman" w:hAnsi="Times New Roman"/>
          <w:sz w:val="20"/>
          <w:szCs w:val="20"/>
        </w:rPr>
        <w:t>ë</w:t>
      </w:r>
      <w:r w:rsidRPr="007B09D3">
        <w:rPr>
          <w:rFonts w:ascii="Times New Roman" w:hAnsi="Times New Roman"/>
          <w:sz w:val="20"/>
          <w:szCs w:val="20"/>
        </w:rPr>
        <w:t>sht</w:t>
      </w:r>
      <w:r>
        <w:rPr>
          <w:rFonts w:ascii="Times New Roman" w:hAnsi="Times New Roman"/>
          <w:sz w:val="20"/>
          <w:szCs w:val="20"/>
        </w:rPr>
        <w:t>ë</w:t>
      </w:r>
      <w:r w:rsidRPr="007B09D3">
        <w:rPr>
          <w:rFonts w:ascii="Times New Roman" w:hAnsi="Times New Roman"/>
          <w:sz w:val="20"/>
          <w:szCs w:val="20"/>
        </w:rPr>
        <w:t xml:space="preserve"> e nevojshme, Gjykata do t</w:t>
      </w:r>
      <w:r>
        <w:rPr>
          <w:rFonts w:ascii="Times New Roman" w:hAnsi="Times New Roman"/>
          <w:sz w:val="20"/>
          <w:szCs w:val="20"/>
        </w:rPr>
        <w:t>ë</w:t>
      </w:r>
      <w:r w:rsidRPr="007B09D3">
        <w:rPr>
          <w:rFonts w:ascii="Times New Roman" w:hAnsi="Times New Roman"/>
          <w:sz w:val="20"/>
          <w:szCs w:val="20"/>
        </w:rPr>
        <w:t xml:space="preserve"> siguroj</w:t>
      </w:r>
      <w:r>
        <w:rPr>
          <w:rFonts w:ascii="Times New Roman" w:hAnsi="Times New Roman"/>
          <w:sz w:val="20"/>
          <w:szCs w:val="20"/>
        </w:rPr>
        <w:t>ë</w:t>
      </w:r>
      <w:r w:rsidRPr="007B09D3">
        <w:rPr>
          <w:rFonts w:ascii="Times New Roman" w:hAnsi="Times New Roman"/>
          <w:sz w:val="20"/>
          <w:szCs w:val="20"/>
        </w:rPr>
        <w:t xml:space="preserve"> d</w:t>
      </w:r>
      <w:r>
        <w:rPr>
          <w:rFonts w:ascii="Times New Roman" w:hAnsi="Times New Roman"/>
          <w:sz w:val="20"/>
          <w:szCs w:val="20"/>
        </w:rPr>
        <w:t>ë</w:t>
      </w:r>
      <w:r w:rsidRPr="007B09D3">
        <w:rPr>
          <w:rFonts w:ascii="Times New Roman" w:hAnsi="Times New Roman"/>
          <w:sz w:val="20"/>
          <w:szCs w:val="20"/>
        </w:rPr>
        <w:t>mshp</w:t>
      </w:r>
      <w:r>
        <w:rPr>
          <w:rFonts w:ascii="Times New Roman" w:hAnsi="Times New Roman"/>
          <w:sz w:val="20"/>
          <w:szCs w:val="20"/>
        </w:rPr>
        <w:t>ë</w:t>
      </w:r>
      <w:r w:rsidRPr="007B09D3">
        <w:rPr>
          <w:rFonts w:ascii="Times New Roman" w:hAnsi="Times New Roman"/>
          <w:sz w:val="20"/>
          <w:szCs w:val="20"/>
        </w:rPr>
        <w:t>rblim p</w:t>
      </w:r>
      <w:r>
        <w:rPr>
          <w:rFonts w:ascii="Times New Roman" w:hAnsi="Times New Roman"/>
          <w:sz w:val="20"/>
          <w:szCs w:val="20"/>
        </w:rPr>
        <w:t>ë</w:t>
      </w:r>
      <w:r w:rsidRPr="007B09D3">
        <w:rPr>
          <w:rFonts w:ascii="Times New Roman" w:hAnsi="Times New Roman"/>
          <w:sz w:val="20"/>
          <w:szCs w:val="20"/>
        </w:rPr>
        <w:t>r pal</w:t>
      </w:r>
      <w:r>
        <w:rPr>
          <w:rFonts w:ascii="Times New Roman" w:hAnsi="Times New Roman"/>
          <w:sz w:val="20"/>
          <w:szCs w:val="20"/>
        </w:rPr>
        <w:t>ë</w:t>
      </w:r>
      <w:r w:rsidRPr="007B09D3">
        <w:rPr>
          <w:rFonts w:ascii="Times New Roman" w:hAnsi="Times New Roman"/>
          <w:sz w:val="20"/>
          <w:szCs w:val="20"/>
        </w:rPr>
        <w:t>m e d</w:t>
      </w:r>
      <w:r>
        <w:rPr>
          <w:rFonts w:ascii="Times New Roman" w:hAnsi="Times New Roman"/>
          <w:sz w:val="20"/>
          <w:szCs w:val="20"/>
        </w:rPr>
        <w:t>ë</w:t>
      </w:r>
      <w:r w:rsidRPr="007B09D3">
        <w:rPr>
          <w:rFonts w:ascii="Times New Roman" w:hAnsi="Times New Roman"/>
          <w:sz w:val="20"/>
          <w:szCs w:val="20"/>
        </w:rPr>
        <w:t>mtuar.”</w:t>
      </w:r>
      <w:r w:rsidR="00C83F0D">
        <w:rPr>
          <w:rFonts w:ascii="Times New Roman" w:hAnsi="Times New Roman"/>
          <w:sz w:val="20"/>
          <w:szCs w:val="20"/>
        </w:rPr>
        <w:t xml:space="preserve"> </w:t>
      </w:r>
    </w:p>
    <w:p w:rsidR="006374CB" w:rsidRDefault="006374CB" w:rsidP="006374CB">
      <w:pPr>
        <w:pStyle w:val="NoSpacing"/>
        <w:ind w:left="720"/>
        <w:jc w:val="both"/>
        <w:rPr>
          <w:rFonts w:ascii="Times New Roman" w:hAnsi="Times New Roman"/>
          <w:sz w:val="20"/>
          <w:szCs w:val="20"/>
        </w:rPr>
      </w:pPr>
    </w:p>
    <w:p w:rsidR="006374CB" w:rsidRPr="007B09D3" w:rsidRDefault="006374CB" w:rsidP="006374CB">
      <w:pPr>
        <w:pStyle w:val="NoSpacing"/>
        <w:numPr>
          <w:ilvl w:val="0"/>
          <w:numId w:val="14"/>
        </w:numPr>
        <w:jc w:val="both"/>
        <w:rPr>
          <w:rFonts w:ascii="Times New Roman" w:hAnsi="Times New Roman"/>
          <w:sz w:val="20"/>
          <w:szCs w:val="20"/>
        </w:rPr>
      </w:pPr>
      <w:r>
        <w:rPr>
          <w:rFonts w:ascii="Times New Roman" w:hAnsi="Times New Roman"/>
          <w:b/>
          <w:sz w:val="24"/>
          <w:szCs w:val="24"/>
        </w:rPr>
        <w:t>Dëmi</w:t>
      </w:r>
    </w:p>
    <w:p w:rsidR="006374CB" w:rsidRDefault="006374CB" w:rsidP="006374CB">
      <w:pPr>
        <w:pStyle w:val="NoSpacing"/>
        <w:jc w:val="both"/>
        <w:rPr>
          <w:rFonts w:ascii="Times New Roman" w:hAnsi="Times New Roman"/>
          <w:b/>
          <w:sz w:val="24"/>
          <w:szCs w:val="24"/>
        </w:rPr>
      </w:pPr>
    </w:p>
    <w:p w:rsidR="006374CB" w:rsidRPr="000C63DB" w:rsidRDefault="006374CB" w:rsidP="006374CB">
      <w:pPr>
        <w:pStyle w:val="NoSpacing"/>
        <w:numPr>
          <w:ilvl w:val="0"/>
          <w:numId w:val="10"/>
        </w:numPr>
        <w:jc w:val="both"/>
        <w:rPr>
          <w:rFonts w:ascii="Times New Roman" w:hAnsi="Times New Roman"/>
          <w:sz w:val="20"/>
          <w:szCs w:val="20"/>
        </w:rPr>
      </w:pPr>
      <w:r>
        <w:rPr>
          <w:rFonts w:ascii="Times New Roman" w:hAnsi="Times New Roman"/>
          <w:sz w:val="24"/>
          <w:szCs w:val="24"/>
        </w:rPr>
        <w:t xml:space="preserve">Ankuesi kërkoi 13,332 euro (EUR) përsa i përket dëmit monetar, i cili ishte 7,332 euro përsa ka të bëjë me humbjen e interest të shtuar, nëse do t’i kishte vendosur paratë në një depozitë kursimesh, dhe 6,000 euro për sa ka të bëjë me humbjen e kontributit të pensionit. Më tej, ai kërkoi 9,000 euro për dëmin </w:t>
      </w:r>
      <w:proofErr w:type="gramStart"/>
      <w:r>
        <w:rPr>
          <w:rFonts w:ascii="Times New Roman" w:hAnsi="Times New Roman"/>
          <w:sz w:val="24"/>
          <w:szCs w:val="24"/>
        </w:rPr>
        <w:t>jo</w:t>
      </w:r>
      <w:proofErr w:type="gramEnd"/>
      <w:r>
        <w:rPr>
          <w:rFonts w:ascii="Times New Roman" w:hAnsi="Times New Roman"/>
          <w:sz w:val="24"/>
          <w:szCs w:val="24"/>
        </w:rPr>
        <w:t xml:space="preserve"> monetar. </w:t>
      </w:r>
    </w:p>
    <w:p w:rsidR="006374CB" w:rsidRPr="000C63DB" w:rsidRDefault="006374CB" w:rsidP="006374CB">
      <w:pPr>
        <w:pStyle w:val="NoSpacing"/>
        <w:numPr>
          <w:ilvl w:val="0"/>
          <w:numId w:val="10"/>
        </w:numPr>
        <w:jc w:val="both"/>
        <w:rPr>
          <w:rFonts w:ascii="Times New Roman" w:hAnsi="Times New Roman"/>
          <w:sz w:val="20"/>
          <w:szCs w:val="20"/>
        </w:rPr>
      </w:pPr>
      <w:r>
        <w:rPr>
          <w:rFonts w:ascii="Times New Roman" w:hAnsi="Times New Roman"/>
          <w:sz w:val="24"/>
          <w:szCs w:val="24"/>
        </w:rPr>
        <w:t xml:space="preserve">Qeveria parashtroi se ankuesi nuk dorëzoi një raport nga një ekspert në lidhje me llogaritjen e humbjeve nga interesi i shtuar dhe nga mungesa e pretenduar prej tij e të ardhurave të punës. Dëmi </w:t>
      </w:r>
      <w:proofErr w:type="gramStart"/>
      <w:r>
        <w:rPr>
          <w:rFonts w:ascii="Times New Roman" w:hAnsi="Times New Roman"/>
          <w:sz w:val="24"/>
          <w:szCs w:val="24"/>
        </w:rPr>
        <w:t>jo</w:t>
      </w:r>
      <w:proofErr w:type="gramEnd"/>
      <w:r>
        <w:rPr>
          <w:rFonts w:ascii="Times New Roman" w:hAnsi="Times New Roman"/>
          <w:sz w:val="24"/>
          <w:szCs w:val="24"/>
        </w:rPr>
        <w:t xml:space="preserve"> monetar ka të bëjë vetëm me periudhën deri më 1 Janar 2006, për arsye se ai nuk ishte më në listën e pritjes së punëdhënësit pas kësaj date.</w:t>
      </w:r>
    </w:p>
    <w:p w:rsidR="006374CB" w:rsidRPr="00F848B1" w:rsidRDefault="006374CB" w:rsidP="006374CB">
      <w:pPr>
        <w:pStyle w:val="NoSpacing"/>
        <w:numPr>
          <w:ilvl w:val="0"/>
          <w:numId w:val="10"/>
        </w:numPr>
        <w:jc w:val="both"/>
        <w:rPr>
          <w:rFonts w:ascii="Times New Roman" w:hAnsi="Times New Roman"/>
          <w:sz w:val="20"/>
          <w:szCs w:val="20"/>
        </w:rPr>
      </w:pPr>
      <w:r>
        <w:rPr>
          <w:rFonts w:ascii="Times New Roman" w:hAnsi="Times New Roman"/>
          <w:sz w:val="24"/>
          <w:szCs w:val="24"/>
        </w:rPr>
        <w:t xml:space="preserve">Gjykata vëren se ankuesi nxori disa shifra në lidhje me dëmin monetar, por verifikimi i tyre mbeti i paqartë dhe llogaritja e tyre linte vend për spekullime. Prandaj, për këtë pikë ajo nuk lëshon asnjë vendim. Sipas një vlerësimi të paanshëm, më tej Gjykata i akordon ankuesit 2,900 euro në lidhje me dëmin </w:t>
      </w:r>
      <w:proofErr w:type="gramStart"/>
      <w:r>
        <w:rPr>
          <w:rFonts w:ascii="Times New Roman" w:hAnsi="Times New Roman"/>
          <w:sz w:val="24"/>
          <w:szCs w:val="24"/>
        </w:rPr>
        <w:t>jo</w:t>
      </w:r>
      <w:proofErr w:type="gramEnd"/>
      <w:r>
        <w:rPr>
          <w:rFonts w:ascii="Times New Roman" w:hAnsi="Times New Roman"/>
          <w:sz w:val="24"/>
          <w:szCs w:val="24"/>
        </w:rPr>
        <w:t xml:space="preserve"> monetar, duke patur parasysh zbatimin e vonuar të vendimit dhe shkeljet e gjetura. </w:t>
      </w:r>
    </w:p>
    <w:p w:rsidR="006374CB" w:rsidRDefault="006374CB" w:rsidP="006374CB">
      <w:pPr>
        <w:pStyle w:val="NoSpacing"/>
        <w:ind w:left="360"/>
        <w:jc w:val="both"/>
        <w:rPr>
          <w:rFonts w:ascii="Times New Roman" w:hAnsi="Times New Roman"/>
          <w:sz w:val="24"/>
          <w:szCs w:val="24"/>
        </w:rPr>
      </w:pPr>
    </w:p>
    <w:p w:rsidR="006374CB" w:rsidRPr="00F848B1" w:rsidRDefault="006374CB" w:rsidP="006374CB">
      <w:pPr>
        <w:pStyle w:val="NoSpacing"/>
        <w:numPr>
          <w:ilvl w:val="0"/>
          <w:numId w:val="14"/>
        </w:numPr>
        <w:jc w:val="both"/>
        <w:rPr>
          <w:rFonts w:ascii="Times New Roman" w:hAnsi="Times New Roman"/>
          <w:sz w:val="20"/>
          <w:szCs w:val="20"/>
        </w:rPr>
      </w:pPr>
      <w:r>
        <w:rPr>
          <w:rFonts w:ascii="Times New Roman" w:hAnsi="Times New Roman"/>
          <w:b/>
          <w:sz w:val="24"/>
          <w:szCs w:val="24"/>
        </w:rPr>
        <w:t>Kostot dhe shpenzimet</w:t>
      </w:r>
    </w:p>
    <w:p w:rsidR="006374CB" w:rsidRDefault="006374CB" w:rsidP="006374CB">
      <w:pPr>
        <w:pStyle w:val="NoSpacing"/>
        <w:jc w:val="both"/>
        <w:rPr>
          <w:rFonts w:ascii="Times New Roman" w:hAnsi="Times New Roman"/>
          <w:sz w:val="24"/>
          <w:szCs w:val="24"/>
        </w:rPr>
      </w:pPr>
    </w:p>
    <w:p w:rsidR="006374CB" w:rsidRPr="00F848B1" w:rsidRDefault="006374CB" w:rsidP="006374CB">
      <w:pPr>
        <w:pStyle w:val="NoSpacing"/>
        <w:numPr>
          <w:ilvl w:val="0"/>
          <w:numId w:val="10"/>
        </w:numPr>
        <w:jc w:val="both"/>
        <w:rPr>
          <w:rFonts w:ascii="Times New Roman" w:hAnsi="Times New Roman"/>
          <w:sz w:val="20"/>
          <w:szCs w:val="20"/>
        </w:rPr>
      </w:pPr>
      <w:r>
        <w:rPr>
          <w:rFonts w:ascii="Times New Roman" w:hAnsi="Times New Roman"/>
          <w:sz w:val="24"/>
          <w:szCs w:val="24"/>
        </w:rPr>
        <w:t xml:space="preserve">Gjithashtu, ankuesi kërkoi </w:t>
      </w:r>
      <w:proofErr w:type="gramStart"/>
      <w:r>
        <w:rPr>
          <w:rFonts w:ascii="Times New Roman" w:hAnsi="Times New Roman"/>
          <w:sz w:val="24"/>
          <w:szCs w:val="24"/>
        </w:rPr>
        <w:t>2,000 euro</w:t>
      </w:r>
      <w:proofErr w:type="gramEnd"/>
      <w:r>
        <w:rPr>
          <w:rFonts w:ascii="Times New Roman" w:hAnsi="Times New Roman"/>
          <w:sz w:val="24"/>
          <w:szCs w:val="24"/>
        </w:rPr>
        <w:t xml:space="preserve"> për kostot dhe shpenzimet e bëra në gjykatat vendase dhe 3,200 euro për shpenzimet e bëra në këtë Gjykatë. </w:t>
      </w:r>
    </w:p>
    <w:p w:rsidR="006374CB" w:rsidRPr="0059074F" w:rsidRDefault="006374CB" w:rsidP="006374CB">
      <w:pPr>
        <w:pStyle w:val="NoSpacing"/>
        <w:numPr>
          <w:ilvl w:val="0"/>
          <w:numId w:val="10"/>
        </w:numPr>
        <w:jc w:val="both"/>
        <w:rPr>
          <w:rFonts w:ascii="Times New Roman" w:hAnsi="Times New Roman"/>
          <w:sz w:val="20"/>
          <w:szCs w:val="20"/>
        </w:rPr>
      </w:pPr>
      <w:r>
        <w:rPr>
          <w:rFonts w:ascii="Times New Roman" w:hAnsi="Times New Roman"/>
          <w:sz w:val="24"/>
          <w:szCs w:val="24"/>
        </w:rPr>
        <w:t xml:space="preserve">Qeveria parashtroi se kërkesat e ankuesit për kostot dhe shpenzimet ishin të pabaza, duke qenë se faturat që ai kishte paraqitur nuk ishin konform kërkesave ligjore vendase. </w:t>
      </w:r>
    </w:p>
    <w:p w:rsidR="006374CB" w:rsidRDefault="006374CB" w:rsidP="006374CB">
      <w:pPr>
        <w:pStyle w:val="NoSpacing"/>
        <w:numPr>
          <w:ilvl w:val="0"/>
          <w:numId w:val="10"/>
        </w:numPr>
        <w:jc w:val="both"/>
        <w:rPr>
          <w:rFonts w:ascii="Times New Roman" w:hAnsi="Times New Roman"/>
          <w:sz w:val="20"/>
          <w:szCs w:val="20"/>
        </w:rPr>
      </w:pPr>
      <w:r>
        <w:rPr>
          <w:rFonts w:ascii="Times New Roman" w:hAnsi="Times New Roman"/>
          <w:sz w:val="24"/>
          <w:szCs w:val="24"/>
        </w:rPr>
        <w:t xml:space="preserve">Duke </w:t>
      </w:r>
      <w:proofErr w:type="gramStart"/>
      <w:r>
        <w:rPr>
          <w:rFonts w:ascii="Times New Roman" w:hAnsi="Times New Roman"/>
          <w:sz w:val="24"/>
          <w:szCs w:val="24"/>
        </w:rPr>
        <w:t>patur</w:t>
      </w:r>
      <w:proofErr w:type="gramEnd"/>
      <w:r>
        <w:rPr>
          <w:rFonts w:ascii="Times New Roman" w:hAnsi="Times New Roman"/>
          <w:sz w:val="24"/>
          <w:szCs w:val="24"/>
        </w:rPr>
        <w:t xml:space="preserve"> parsysh faktin se kjo ishte një çështje ligjore e mirëorganizuar, dhe se faktet e parashtruara ishin të drejtëpërdrejta, dhe në bazë të dokumentave të paraqitura nga ankuesi, Gjykata e shikon të arsyeshme që t’i akordojë shumën prej 1,000 eurosh, duke mbuluar kostot për gjithçka. </w:t>
      </w:r>
    </w:p>
    <w:p w:rsidR="006374CB" w:rsidRDefault="006374CB" w:rsidP="006374CB">
      <w:pPr>
        <w:pStyle w:val="NoSpacing"/>
        <w:jc w:val="both"/>
        <w:rPr>
          <w:rFonts w:ascii="Times New Roman" w:hAnsi="Times New Roman"/>
          <w:sz w:val="20"/>
          <w:szCs w:val="20"/>
        </w:rPr>
      </w:pPr>
    </w:p>
    <w:p w:rsidR="006374CB" w:rsidRPr="001024B5" w:rsidRDefault="006374CB" w:rsidP="006374CB">
      <w:pPr>
        <w:pStyle w:val="NoSpacing"/>
        <w:numPr>
          <w:ilvl w:val="0"/>
          <w:numId w:val="14"/>
        </w:numPr>
        <w:jc w:val="both"/>
        <w:rPr>
          <w:rFonts w:ascii="Times New Roman" w:hAnsi="Times New Roman"/>
          <w:sz w:val="20"/>
          <w:szCs w:val="20"/>
        </w:rPr>
      </w:pPr>
      <w:r>
        <w:rPr>
          <w:rFonts w:ascii="Times New Roman" w:hAnsi="Times New Roman"/>
          <w:b/>
          <w:sz w:val="24"/>
          <w:szCs w:val="24"/>
        </w:rPr>
        <w:t>Interes i papaguar</w:t>
      </w:r>
    </w:p>
    <w:p w:rsidR="006374CB" w:rsidRDefault="006374CB" w:rsidP="006374CB">
      <w:pPr>
        <w:pStyle w:val="NoSpacing"/>
        <w:jc w:val="both"/>
        <w:rPr>
          <w:rFonts w:ascii="Times New Roman" w:hAnsi="Times New Roman"/>
          <w:b/>
          <w:sz w:val="24"/>
          <w:szCs w:val="24"/>
        </w:rPr>
      </w:pPr>
    </w:p>
    <w:p w:rsidR="006374CB" w:rsidRPr="001024B5" w:rsidRDefault="006374CB" w:rsidP="006374CB">
      <w:pPr>
        <w:pStyle w:val="NoSpacing"/>
        <w:numPr>
          <w:ilvl w:val="0"/>
          <w:numId w:val="10"/>
        </w:numPr>
        <w:jc w:val="both"/>
        <w:rPr>
          <w:rFonts w:ascii="Times New Roman" w:hAnsi="Times New Roman"/>
          <w:sz w:val="20"/>
          <w:szCs w:val="20"/>
        </w:rPr>
      </w:pPr>
      <w:r>
        <w:rPr>
          <w:rFonts w:ascii="Times New Roman" w:hAnsi="Times New Roman"/>
          <w:sz w:val="24"/>
          <w:szCs w:val="24"/>
        </w:rPr>
        <w:t xml:space="preserve">Gjykata e gjykon si të arsyeshme që </w:t>
      </w:r>
      <w:proofErr w:type="gramStart"/>
      <w:r>
        <w:rPr>
          <w:rFonts w:ascii="Times New Roman" w:hAnsi="Times New Roman"/>
          <w:sz w:val="24"/>
          <w:szCs w:val="24"/>
        </w:rPr>
        <w:t>norma</w:t>
      </w:r>
      <w:proofErr w:type="gramEnd"/>
      <w:r>
        <w:rPr>
          <w:rFonts w:ascii="Times New Roman" w:hAnsi="Times New Roman"/>
          <w:sz w:val="24"/>
          <w:szCs w:val="24"/>
        </w:rPr>
        <w:t xml:space="preserve"> e interesit të papaguar duhet të bazohet në normën marxhinale të huasë së Bankës Qendrore Europiane, dhe në fund duhet t’i shtohen pike tre përqindëshe.</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jc w:val="both"/>
        <w:rPr>
          <w:rFonts w:ascii="Times New Roman" w:hAnsi="Times New Roman"/>
          <w:sz w:val="24"/>
          <w:szCs w:val="24"/>
        </w:rPr>
      </w:pPr>
      <w:r>
        <w:rPr>
          <w:rFonts w:ascii="Times New Roman" w:hAnsi="Times New Roman"/>
          <w:sz w:val="24"/>
          <w:szCs w:val="24"/>
        </w:rPr>
        <w:t>PËR KËTO ARSYE, NË MËNYRË UNANIME GJYKATA</w:t>
      </w:r>
    </w:p>
    <w:p w:rsidR="006374CB" w:rsidRDefault="006374CB" w:rsidP="006374CB">
      <w:pPr>
        <w:pStyle w:val="NoSpacing"/>
        <w:jc w:val="both"/>
        <w:rPr>
          <w:rFonts w:ascii="Times New Roman" w:hAnsi="Times New Roman"/>
          <w:sz w:val="24"/>
          <w:szCs w:val="24"/>
        </w:rPr>
      </w:pPr>
    </w:p>
    <w:p w:rsidR="006374CB" w:rsidRPr="006374CB" w:rsidRDefault="006374CB" w:rsidP="006374CB">
      <w:pPr>
        <w:pStyle w:val="NoSpacing"/>
        <w:numPr>
          <w:ilvl w:val="0"/>
          <w:numId w:val="15"/>
        </w:numPr>
        <w:jc w:val="both"/>
        <w:rPr>
          <w:rFonts w:ascii="Times New Roman" w:hAnsi="Times New Roman"/>
          <w:sz w:val="20"/>
          <w:szCs w:val="20"/>
        </w:rPr>
      </w:pPr>
      <w:r>
        <w:rPr>
          <w:rFonts w:ascii="Times New Roman" w:hAnsi="Times New Roman"/>
          <w:i/>
          <w:sz w:val="24"/>
          <w:szCs w:val="24"/>
        </w:rPr>
        <w:t xml:space="preserve">Kundërshton </w:t>
      </w:r>
      <w:r>
        <w:rPr>
          <w:rFonts w:ascii="Times New Roman" w:hAnsi="Times New Roman"/>
          <w:sz w:val="24"/>
          <w:szCs w:val="24"/>
        </w:rPr>
        <w:t xml:space="preserve">kërkesën e Qeverisë për ta anulluar aplikimin nga lista; </w:t>
      </w:r>
    </w:p>
    <w:p w:rsidR="006374CB" w:rsidRDefault="006374CB" w:rsidP="006374CB">
      <w:pPr>
        <w:pStyle w:val="NoSpacing"/>
        <w:jc w:val="both"/>
        <w:rPr>
          <w:rFonts w:ascii="Times New Roman" w:hAnsi="Times New Roman"/>
          <w:sz w:val="20"/>
          <w:szCs w:val="20"/>
        </w:rPr>
      </w:pPr>
    </w:p>
    <w:p w:rsidR="006374CB" w:rsidRDefault="006374CB" w:rsidP="006374CB">
      <w:pPr>
        <w:pStyle w:val="NoSpacing"/>
        <w:jc w:val="center"/>
        <w:rPr>
          <w:rFonts w:ascii="Times New Roman" w:hAnsi="Times New Roman"/>
          <w:sz w:val="18"/>
          <w:szCs w:val="18"/>
        </w:rPr>
      </w:pPr>
      <w:r>
        <w:rPr>
          <w:rFonts w:ascii="Times New Roman" w:hAnsi="Times New Roman"/>
          <w:sz w:val="18"/>
          <w:szCs w:val="18"/>
        </w:rPr>
        <w:lastRenderedPageBreak/>
        <w:t>VENDIMI THEMELI KUNDËR SHQIPËRISË</w:t>
      </w:r>
    </w:p>
    <w:p w:rsidR="006374CB" w:rsidRPr="001024B5" w:rsidRDefault="006374CB" w:rsidP="006374CB">
      <w:pPr>
        <w:pStyle w:val="NoSpacing"/>
        <w:jc w:val="both"/>
        <w:rPr>
          <w:rFonts w:ascii="Times New Roman" w:hAnsi="Times New Roman"/>
          <w:sz w:val="20"/>
          <w:szCs w:val="20"/>
        </w:rPr>
      </w:pPr>
    </w:p>
    <w:p w:rsidR="006374CB" w:rsidRPr="001024B5" w:rsidRDefault="006374CB" w:rsidP="006374CB">
      <w:pPr>
        <w:pStyle w:val="NoSpacing"/>
        <w:numPr>
          <w:ilvl w:val="0"/>
          <w:numId w:val="15"/>
        </w:numPr>
        <w:jc w:val="both"/>
        <w:rPr>
          <w:rFonts w:ascii="Times New Roman" w:hAnsi="Times New Roman"/>
          <w:sz w:val="20"/>
          <w:szCs w:val="20"/>
        </w:rPr>
      </w:pPr>
      <w:r>
        <w:rPr>
          <w:rFonts w:ascii="Times New Roman" w:hAnsi="Times New Roman"/>
          <w:i/>
          <w:sz w:val="24"/>
          <w:szCs w:val="24"/>
        </w:rPr>
        <w:t xml:space="preserve">Arrin në përfundimin se </w:t>
      </w:r>
      <w:r>
        <w:rPr>
          <w:rFonts w:ascii="Times New Roman" w:hAnsi="Times New Roman"/>
          <w:sz w:val="24"/>
          <w:szCs w:val="24"/>
        </w:rPr>
        <w:t>ka patur një dhunim të Neneve 6 § 1 dhe 13 të Konventës në lidhje me zbatimin e vonuar të vendimit të Gjykatës së Lartë të datës 2 Shkurt 2007;</w:t>
      </w:r>
    </w:p>
    <w:p w:rsidR="006374CB" w:rsidRPr="001024B5" w:rsidRDefault="006374CB" w:rsidP="006374CB">
      <w:pPr>
        <w:pStyle w:val="NoSpacing"/>
        <w:numPr>
          <w:ilvl w:val="0"/>
          <w:numId w:val="15"/>
        </w:numPr>
        <w:jc w:val="both"/>
        <w:rPr>
          <w:rFonts w:ascii="Times New Roman" w:hAnsi="Times New Roman"/>
          <w:sz w:val="20"/>
          <w:szCs w:val="20"/>
        </w:rPr>
      </w:pPr>
      <w:r>
        <w:rPr>
          <w:rFonts w:ascii="Times New Roman" w:hAnsi="Times New Roman"/>
          <w:i/>
          <w:sz w:val="24"/>
          <w:szCs w:val="24"/>
        </w:rPr>
        <w:t xml:space="preserve">Arrin në përfundimin se </w:t>
      </w:r>
      <w:r>
        <w:rPr>
          <w:rFonts w:ascii="Times New Roman" w:hAnsi="Times New Roman"/>
          <w:sz w:val="24"/>
          <w:szCs w:val="24"/>
        </w:rPr>
        <w:t xml:space="preserve">ka patur shkelje të Nenit 1 të Protokollit Nr. 1 të Konventës; </w:t>
      </w:r>
    </w:p>
    <w:p w:rsidR="006374CB" w:rsidRPr="001024B5" w:rsidRDefault="006374CB" w:rsidP="006374CB">
      <w:pPr>
        <w:pStyle w:val="NoSpacing"/>
        <w:numPr>
          <w:ilvl w:val="0"/>
          <w:numId w:val="15"/>
        </w:numPr>
        <w:jc w:val="both"/>
        <w:rPr>
          <w:rFonts w:ascii="Times New Roman" w:hAnsi="Times New Roman"/>
          <w:sz w:val="20"/>
          <w:szCs w:val="20"/>
        </w:rPr>
      </w:pPr>
      <w:r>
        <w:rPr>
          <w:rFonts w:ascii="Times New Roman" w:hAnsi="Times New Roman"/>
          <w:i/>
          <w:sz w:val="24"/>
          <w:szCs w:val="24"/>
        </w:rPr>
        <w:t>Arrin në përfundimin</w:t>
      </w:r>
    </w:p>
    <w:p w:rsidR="006374CB" w:rsidRDefault="006374CB" w:rsidP="006374CB">
      <w:pPr>
        <w:pStyle w:val="NoSpacing"/>
        <w:numPr>
          <w:ilvl w:val="0"/>
          <w:numId w:val="16"/>
        </w:numPr>
        <w:jc w:val="both"/>
        <w:rPr>
          <w:rFonts w:ascii="Times New Roman" w:hAnsi="Times New Roman"/>
          <w:sz w:val="20"/>
          <w:szCs w:val="20"/>
        </w:rPr>
      </w:pPr>
      <w:r>
        <w:rPr>
          <w:rFonts w:ascii="Times New Roman" w:hAnsi="Times New Roman"/>
          <w:sz w:val="24"/>
          <w:szCs w:val="24"/>
        </w:rPr>
        <w:t>se Shteti përgjegjës duhet t’i paguajë aplikantit brenda tre muajve; shumat e mëposhtme, të cilat duhet të konvertohen në vlerën monetare të Shtetit përgjegjës në normën e aplikueshme në datën e shlyerjes:</w:t>
      </w:r>
    </w:p>
    <w:p w:rsidR="006374CB" w:rsidRPr="009A31D5" w:rsidRDefault="006374CB" w:rsidP="006374CB">
      <w:pPr>
        <w:pStyle w:val="NoSpacing"/>
        <w:numPr>
          <w:ilvl w:val="0"/>
          <w:numId w:val="18"/>
        </w:numPr>
        <w:jc w:val="both"/>
        <w:rPr>
          <w:rFonts w:ascii="Times New Roman" w:hAnsi="Times New Roman"/>
          <w:sz w:val="20"/>
          <w:szCs w:val="20"/>
        </w:rPr>
      </w:pPr>
      <w:r>
        <w:rPr>
          <w:rFonts w:ascii="Times New Roman" w:hAnsi="Times New Roman"/>
          <w:sz w:val="24"/>
          <w:szCs w:val="24"/>
        </w:rPr>
        <w:t>2,900 (dy mijë e nëntë qind euro) EUR plus taksat që mund të vihen në ngakesë, përsa ka të bëjë me dëmin jo monetar;</w:t>
      </w:r>
    </w:p>
    <w:p w:rsidR="006374CB" w:rsidRPr="009A31D5" w:rsidRDefault="006374CB" w:rsidP="006374CB">
      <w:pPr>
        <w:pStyle w:val="NoSpacing"/>
        <w:numPr>
          <w:ilvl w:val="0"/>
          <w:numId w:val="18"/>
        </w:numPr>
        <w:jc w:val="both"/>
        <w:rPr>
          <w:rFonts w:ascii="Times New Roman" w:hAnsi="Times New Roman"/>
          <w:sz w:val="20"/>
          <w:szCs w:val="20"/>
        </w:rPr>
      </w:pPr>
      <w:r>
        <w:rPr>
          <w:rFonts w:ascii="Times New Roman" w:hAnsi="Times New Roman"/>
          <w:sz w:val="24"/>
          <w:szCs w:val="24"/>
        </w:rPr>
        <w:t xml:space="preserve">1,000 euro (një mijë euro) EUR për kostot dhe shpenzimet; </w:t>
      </w:r>
    </w:p>
    <w:p w:rsidR="006374CB" w:rsidRDefault="006374CB" w:rsidP="006374CB">
      <w:pPr>
        <w:pStyle w:val="NoSpacing"/>
        <w:numPr>
          <w:ilvl w:val="0"/>
          <w:numId w:val="16"/>
        </w:numPr>
        <w:jc w:val="both"/>
        <w:rPr>
          <w:rFonts w:ascii="Times New Roman" w:hAnsi="Times New Roman"/>
          <w:sz w:val="20"/>
          <w:szCs w:val="20"/>
        </w:rPr>
      </w:pPr>
      <w:r>
        <w:rPr>
          <w:rFonts w:ascii="Times New Roman" w:hAnsi="Times New Roman"/>
          <w:sz w:val="24"/>
          <w:szCs w:val="24"/>
        </w:rPr>
        <w:t>se nga moment i përfundimit të tre muajve të përmendur mësipër deri në momentin e shlyerjes interesi i thjeshtë do të paguhet për shumat e mësipërme me një normë të njëjtë me normën marxhinale të huasë të Bankës Qendrore Europiane gjatë periudhës së mospagesës plus tre përqind pikë;</w:t>
      </w:r>
      <w:r w:rsidR="00C83F0D">
        <w:rPr>
          <w:rFonts w:ascii="Times New Roman" w:hAnsi="Times New Roman"/>
          <w:sz w:val="24"/>
          <w:szCs w:val="24"/>
        </w:rPr>
        <w:t xml:space="preserve"> </w:t>
      </w:r>
    </w:p>
    <w:p w:rsidR="006374CB" w:rsidRDefault="006374CB" w:rsidP="006374CB">
      <w:pPr>
        <w:pStyle w:val="NoSpacing"/>
        <w:numPr>
          <w:ilvl w:val="0"/>
          <w:numId w:val="15"/>
        </w:numPr>
        <w:jc w:val="both"/>
        <w:rPr>
          <w:rFonts w:ascii="Times New Roman" w:hAnsi="Times New Roman"/>
          <w:sz w:val="24"/>
          <w:szCs w:val="24"/>
        </w:rPr>
      </w:pPr>
      <w:r>
        <w:rPr>
          <w:rFonts w:ascii="Times New Roman" w:hAnsi="Times New Roman"/>
          <w:i/>
          <w:sz w:val="24"/>
          <w:szCs w:val="24"/>
        </w:rPr>
        <w:t xml:space="preserve">Kundërshton </w:t>
      </w:r>
      <w:r>
        <w:rPr>
          <w:rFonts w:ascii="Times New Roman" w:hAnsi="Times New Roman"/>
          <w:sz w:val="24"/>
          <w:szCs w:val="24"/>
        </w:rPr>
        <w:t xml:space="preserve">pjesën tjetër të kërkesës së ankuesit për dëmshpërblim. </w:t>
      </w:r>
    </w:p>
    <w:p w:rsidR="006374CB" w:rsidRDefault="006374CB" w:rsidP="006374CB">
      <w:pPr>
        <w:pStyle w:val="NoSpacing"/>
        <w:jc w:val="both"/>
        <w:rPr>
          <w:rFonts w:ascii="Times New Roman" w:hAnsi="Times New Roman"/>
          <w:sz w:val="24"/>
          <w:szCs w:val="24"/>
        </w:rPr>
      </w:pPr>
    </w:p>
    <w:p w:rsidR="006374CB" w:rsidRDefault="006374CB" w:rsidP="006374CB">
      <w:pPr>
        <w:pStyle w:val="NoSpacing"/>
        <w:jc w:val="both"/>
        <w:rPr>
          <w:rFonts w:ascii="Times New Roman" w:hAnsi="Times New Roman"/>
          <w:sz w:val="24"/>
          <w:szCs w:val="24"/>
        </w:rPr>
      </w:pPr>
      <w:r>
        <w:rPr>
          <w:rFonts w:ascii="Times New Roman" w:hAnsi="Times New Roman"/>
          <w:sz w:val="24"/>
          <w:szCs w:val="24"/>
        </w:rPr>
        <w:t xml:space="preserve">E hartuar në anglisht, me shkrim më 15 Janar 2013, sipas Rregullit 77 §§ </w:t>
      </w:r>
      <w:proofErr w:type="gramStart"/>
      <w:r>
        <w:rPr>
          <w:rFonts w:ascii="Times New Roman" w:hAnsi="Times New Roman"/>
          <w:sz w:val="24"/>
          <w:szCs w:val="24"/>
        </w:rPr>
        <w:t>2</w:t>
      </w:r>
      <w:proofErr w:type="gramEnd"/>
      <w:r>
        <w:rPr>
          <w:rFonts w:ascii="Times New Roman" w:hAnsi="Times New Roman"/>
          <w:sz w:val="24"/>
          <w:szCs w:val="24"/>
        </w:rPr>
        <w:t xml:space="preserve"> dhe 3 të Rregullores së Gjykatës. </w:t>
      </w:r>
    </w:p>
    <w:p w:rsidR="006374CB" w:rsidRDefault="006374CB" w:rsidP="006374CB">
      <w:pPr>
        <w:pStyle w:val="NoSpacing"/>
        <w:jc w:val="both"/>
        <w:rPr>
          <w:rFonts w:ascii="Times New Roman" w:hAnsi="Times New Roman"/>
          <w:sz w:val="24"/>
          <w:szCs w:val="24"/>
        </w:rPr>
      </w:pPr>
    </w:p>
    <w:p w:rsidR="006374CB" w:rsidRPr="00153D62" w:rsidRDefault="006374CB" w:rsidP="006374CB">
      <w:pPr>
        <w:pStyle w:val="NoSpacing"/>
        <w:jc w:val="both"/>
        <w:rPr>
          <w:rFonts w:ascii="Times New Roman" w:hAnsi="Times New Roman"/>
          <w:sz w:val="24"/>
          <w:szCs w:val="24"/>
        </w:rPr>
      </w:pPr>
      <w:r>
        <w:rPr>
          <w:rFonts w:ascii="Times New Roman" w:hAnsi="Times New Roman"/>
          <w:sz w:val="24"/>
          <w:szCs w:val="24"/>
        </w:rPr>
        <w:t xml:space="preserve"> </w:t>
      </w:r>
    </w:p>
    <w:p w:rsidR="006374CB" w:rsidRDefault="00C83F0D" w:rsidP="006374CB">
      <w:pPr>
        <w:pStyle w:val="NoSpacing"/>
        <w:jc w:val="both"/>
        <w:rPr>
          <w:rFonts w:ascii="Times New Roman" w:hAnsi="Times New Roman"/>
          <w:sz w:val="24"/>
          <w:szCs w:val="24"/>
        </w:rPr>
      </w:pPr>
      <w:r>
        <w:rPr>
          <w:rFonts w:ascii="Times New Roman" w:hAnsi="Times New Roman"/>
          <w:sz w:val="24"/>
          <w:szCs w:val="24"/>
        </w:rPr>
        <w:t xml:space="preserve"> </w:t>
      </w:r>
      <w:r w:rsidR="006374CB">
        <w:rPr>
          <w:rFonts w:ascii="Times New Roman" w:hAnsi="Times New Roman"/>
          <w:sz w:val="24"/>
          <w:szCs w:val="24"/>
        </w:rPr>
        <w:t>Fatoş Aracɪ</w:t>
      </w:r>
      <w:r>
        <w:rPr>
          <w:rFonts w:ascii="Times New Roman" w:hAnsi="Times New Roman"/>
          <w:sz w:val="24"/>
          <w:szCs w:val="24"/>
        </w:rPr>
        <w:t xml:space="preserve"> </w:t>
      </w:r>
      <w:r w:rsidR="006374CB">
        <w:rPr>
          <w:rFonts w:ascii="Times New Roman" w:hAnsi="Times New Roman"/>
          <w:sz w:val="24"/>
          <w:szCs w:val="24"/>
        </w:rPr>
        <w:t xml:space="preserve">George Nicolaou </w:t>
      </w:r>
    </w:p>
    <w:p w:rsidR="000A409D" w:rsidRDefault="006374CB" w:rsidP="006374CB">
      <w:pPr>
        <w:pStyle w:val="NoSpacing"/>
        <w:jc w:val="both"/>
        <w:rPr>
          <w:rFonts w:ascii="Times New Roman" w:hAnsi="Times New Roman"/>
          <w:sz w:val="24"/>
          <w:szCs w:val="24"/>
        </w:rPr>
      </w:pPr>
      <w:r>
        <w:rPr>
          <w:rFonts w:ascii="Times New Roman" w:hAnsi="Times New Roman"/>
          <w:sz w:val="24"/>
          <w:szCs w:val="24"/>
        </w:rPr>
        <w:t>Zëvendës Sekretar</w:t>
      </w:r>
      <w:r w:rsidR="00C83F0D">
        <w:rPr>
          <w:rFonts w:ascii="Times New Roman" w:hAnsi="Times New Roman"/>
          <w:sz w:val="24"/>
          <w:szCs w:val="24"/>
        </w:rPr>
        <w:t xml:space="preserve"> </w:t>
      </w:r>
      <w:r>
        <w:rPr>
          <w:rFonts w:ascii="Times New Roman" w:hAnsi="Times New Roman"/>
          <w:sz w:val="24"/>
          <w:szCs w:val="24"/>
        </w:rPr>
        <w:t>President</w:t>
      </w:r>
    </w:p>
    <w:p w:rsidR="000A409D" w:rsidRDefault="000A409D" w:rsidP="00C27419">
      <w:pPr>
        <w:pStyle w:val="NoSpacing"/>
        <w:rPr>
          <w:rFonts w:ascii="Times New Roman" w:hAnsi="Times New Roman"/>
          <w:sz w:val="24"/>
          <w:szCs w:val="24"/>
        </w:rPr>
      </w:pPr>
    </w:p>
    <w:sectPr w:rsidR="000A409D" w:rsidSect="002D196D">
      <w:headerReference w:type="default" r:id="rId7"/>
      <w:footerReference w:type="default" r:id="rId8"/>
      <w:pgSz w:w="12240" w:h="15840"/>
      <w:pgMar w:top="99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21" w:rsidRDefault="002D3121">
      <w:r>
        <w:separator/>
      </w:r>
    </w:p>
  </w:endnote>
  <w:endnote w:type="continuationSeparator" w:id="0">
    <w:p w:rsidR="002D3121" w:rsidRDefault="002D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97" w:rsidRDefault="00633997">
    <w:pPr>
      <w:pStyle w:val="Footer"/>
      <w:jc w:val="center"/>
      <w:rPr>
        <w:b/>
        <w:i/>
        <w:color w:val="000080"/>
        <w:sz w:val="22"/>
      </w:rPr>
    </w:pPr>
  </w:p>
  <w:p w:rsidR="00633997" w:rsidRPr="008941FC" w:rsidRDefault="00633997">
    <w:pPr>
      <w:pStyle w:val="Footer"/>
      <w:pBdr>
        <w:top w:val="single" w:sz="4" w:space="1" w:color="auto"/>
      </w:pBdr>
      <w:jc w:val="center"/>
      <w:rPr>
        <w:b/>
        <w:i/>
        <w:color w:val="000080"/>
        <w:sz w:val="22"/>
        <w:lang w:val="it-IT"/>
      </w:rPr>
    </w:pPr>
    <w:r w:rsidRPr="008941FC">
      <w:rPr>
        <w:b/>
        <w:i/>
        <w:color w:val="000080"/>
        <w:sz w:val="22"/>
        <w:lang w:val="it-IT"/>
      </w:rPr>
      <w:t>Shërbimi i Përkthimit Zyrtar, Ministria e Drejtësisë, Republika e Shqipërisë</w:t>
    </w:r>
  </w:p>
  <w:p w:rsidR="00633997" w:rsidRDefault="00633997">
    <w:pPr>
      <w:pStyle w:val="Footer"/>
      <w:jc w:val="center"/>
      <w:rPr>
        <w:b/>
        <w:i/>
        <w:color w:val="000080"/>
        <w:sz w:val="22"/>
      </w:rPr>
    </w:pPr>
    <w:r>
      <w:rPr>
        <w:b/>
        <w:i/>
        <w:color w:val="000080"/>
        <w:sz w:val="22"/>
      </w:rPr>
      <w:t>Service des Traductions Officielles du Ministére de la Justice de la République d’Albanie</w:t>
    </w:r>
  </w:p>
  <w:p w:rsidR="00633997" w:rsidRDefault="00633997">
    <w:pPr>
      <w:pStyle w:val="Footer"/>
      <w:jc w:val="center"/>
      <w:rPr>
        <w:b/>
        <w:i/>
        <w:color w:val="000080"/>
        <w:sz w:val="22"/>
      </w:rPr>
    </w:pPr>
    <w:smartTag w:uri="urn:schemas-microsoft-com:office:smarttags" w:element="place">
      <w:smartTag w:uri="urn:schemas-microsoft-com:office:smarttags" w:element="PlaceType">
        <w:r>
          <w:rPr>
            <w:b/>
            <w:i/>
            <w:color w:val="000080"/>
            <w:sz w:val="22"/>
          </w:rPr>
          <w:t>Republic</w:t>
        </w:r>
      </w:smartTag>
      <w:r>
        <w:rPr>
          <w:b/>
          <w:i/>
          <w:color w:val="000080"/>
          <w:sz w:val="22"/>
        </w:rPr>
        <w:t xml:space="preserve"> of </w:t>
      </w:r>
      <w:smartTag w:uri="urn:schemas-microsoft-com:office:smarttags" w:element="PlaceName">
        <w:r>
          <w:rPr>
            <w:b/>
            <w:i/>
            <w:color w:val="000080"/>
            <w:sz w:val="22"/>
          </w:rPr>
          <w:t>Albania</w:t>
        </w:r>
      </w:smartTag>
    </w:smartTag>
    <w:r>
      <w:rPr>
        <w:b/>
        <w:i/>
        <w:color w:val="000080"/>
        <w:sz w:val="22"/>
      </w:rPr>
      <w:t>, Ministry of Justice, Official Translations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21" w:rsidRDefault="002D3121">
      <w:r>
        <w:separator/>
      </w:r>
    </w:p>
  </w:footnote>
  <w:footnote w:type="continuationSeparator" w:id="0">
    <w:p w:rsidR="002D3121" w:rsidRDefault="002D3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997" w:rsidRDefault="00633997">
    <w:pPr>
      <w:pStyle w:val="Header"/>
      <w:pBdr>
        <w:bottom w:val="single" w:sz="4" w:space="1" w:color="auto"/>
      </w:pBdr>
      <w:rPr>
        <w:b/>
        <w:color w:val="000080"/>
        <w:sz w:val="18"/>
      </w:rPr>
    </w:pPr>
    <w:r>
      <w:rPr>
        <w:b/>
        <w:color w:val="000080"/>
        <w:sz w:val="18"/>
      </w:rPr>
      <w:t>PERKTHIM ZYRTAR</w:t>
    </w:r>
    <w:r w:rsidR="00C83F0D">
      <w:rPr>
        <w:b/>
        <w:color w:val="000080"/>
        <w:sz w:val="18"/>
      </w:rPr>
      <w:t xml:space="preserve"> </w:t>
    </w:r>
    <w:r w:rsidR="00C83F0D">
      <w:rPr>
        <w:b/>
        <w:color w:val="000080"/>
        <w:sz w:val="18"/>
      </w:rPr>
      <w:tab/>
    </w:r>
    <w:r>
      <w:rPr>
        <w:b/>
        <w:color w:val="000080"/>
        <w:sz w:val="18"/>
      </w:rPr>
      <w:t>TRADUCTION OFFICIELLE</w:t>
    </w:r>
    <w:r>
      <w:rPr>
        <w:b/>
        <w:color w:val="000080"/>
        <w:sz w:val="18"/>
      </w:rPr>
      <w:tab/>
    </w:r>
    <w:r w:rsidR="00C83F0D">
      <w:rPr>
        <w:b/>
        <w:color w:val="000080"/>
        <w:sz w:val="18"/>
      </w:rPr>
      <w:t xml:space="preserve"> </w:t>
    </w:r>
    <w:r>
      <w:rPr>
        <w:b/>
        <w:color w:val="000080"/>
        <w:sz w:val="18"/>
      </w:rPr>
      <w:t>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4E82"/>
    <w:multiLevelType w:val="hybridMultilevel"/>
    <w:tmpl w:val="1BFACB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6F7617A"/>
    <w:multiLevelType w:val="hybridMultilevel"/>
    <w:tmpl w:val="3C5275F4"/>
    <w:lvl w:ilvl="0" w:tplc="41BE7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63449"/>
    <w:multiLevelType w:val="hybridMultilevel"/>
    <w:tmpl w:val="84AE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5FBF"/>
    <w:multiLevelType w:val="hybridMultilevel"/>
    <w:tmpl w:val="AEB60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15F20"/>
    <w:multiLevelType w:val="hybridMultilevel"/>
    <w:tmpl w:val="FCE45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20172"/>
    <w:multiLevelType w:val="hybridMultilevel"/>
    <w:tmpl w:val="F7E80546"/>
    <w:lvl w:ilvl="0" w:tplc="48BA8B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6628B6"/>
    <w:multiLevelType w:val="hybridMultilevel"/>
    <w:tmpl w:val="7AEE8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882A4D"/>
    <w:multiLevelType w:val="hybridMultilevel"/>
    <w:tmpl w:val="2DC42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C0812"/>
    <w:multiLevelType w:val="hybridMultilevel"/>
    <w:tmpl w:val="722EC210"/>
    <w:lvl w:ilvl="0" w:tplc="BB1E18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95525"/>
    <w:multiLevelType w:val="hybridMultilevel"/>
    <w:tmpl w:val="ECBEE454"/>
    <w:lvl w:ilvl="0" w:tplc="8F542490">
      <w:start w:val="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9F313B"/>
    <w:multiLevelType w:val="hybridMultilevel"/>
    <w:tmpl w:val="8CB0B6CA"/>
    <w:lvl w:ilvl="0" w:tplc="3DB22E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F608BC"/>
    <w:multiLevelType w:val="hybridMultilevel"/>
    <w:tmpl w:val="C61E184C"/>
    <w:lvl w:ilvl="0" w:tplc="A762D736">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587280"/>
    <w:multiLevelType w:val="hybridMultilevel"/>
    <w:tmpl w:val="2020CBBE"/>
    <w:lvl w:ilvl="0" w:tplc="EAFEC8A6">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0293C"/>
    <w:multiLevelType w:val="hybridMultilevel"/>
    <w:tmpl w:val="8BDACA7C"/>
    <w:lvl w:ilvl="0" w:tplc="2336170C">
      <w:start w:val="1"/>
      <w:numFmt w:val="lowerRoman"/>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935B29"/>
    <w:multiLevelType w:val="hybridMultilevel"/>
    <w:tmpl w:val="D6F899B8"/>
    <w:lvl w:ilvl="0" w:tplc="8F740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81D64"/>
    <w:multiLevelType w:val="hybridMultilevel"/>
    <w:tmpl w:val="A21466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D40771"/>
    <w:multiLevelType w:val="hybridMultilevel"/>
    <w:tmpl w:val="A8A4324E"/>
    <w:lvl w:ilvl="0" w:tplc="AE5CAC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E7484"/>
    <w:multiLevelType w:val="singleLevel"/>
    <w:tmpl w:val="7DDCC18A"/>
    <w:lvl w:ilvl="0">
      <w:start w:val="1"/>
      <w:numFmt w:val="decimal"/>
      <w:lvlText w:val="%1."/>
      <w:lvlJc w:val="left"/>
      <w:pPr>
        <w:tabs>
          <w:tab w:val="num" w:pos="1080"/>
        </w:tabs>
        <w:ind w:left="1080" w:hanging="360"/>
      </w:pPr>
      <w:rPr>
        <w:rFonts w:hint="default"/>
        <w:b/>
      </w:rPr>
    </w:lvl>
  </w:abstractNum>
  <w:abstractNum w:abstractNumId="18" w15:restartNumberingAfterBreak="0">
    <w:nsid w:val="594446B5"/>
    <w:multiLevelType w:val="hybridMultilevel"/>
    <w:tmpl w:val="5B2C3A4C"/>
    <w:lvl w:ilvl="0" w:tplc="D6E23E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C5945"/>
    <w:multiLevelType w:val="singleLevel"/>
    <w:tmpl w:val="CDDCF7BC"/>
    <w:lvl w:ilvl="0">
      <w:numFmt w:val="bullet"/>
      <w:lvlText w:val="-"/>
      <w:lvlJc w:val="left"/>
      <w:pPr>
        <w:tabs>
          <w:tab w:val="num" w:pos="1080"/>
        </w:tabs>
        <w:ind w:left="1080" w:hanging="360"/>
      </w:pPr>
      <w:rPr>
        <w:rFonts w:hint="default"/>
      </w:rPr>
    </w:lvl>
  </w:abstractNum>
  <w:abstractNum w:abstractNumId="20" w15:restartNumberingAfterBreak="0">
    <w:nsid w:val="5E413EC2"/>
    <w:multiLevelType w:val="multilevel"/>
    <w:tmpl w:val="D1D699F4"/>
    <w:lvl w:ilvl="0">
      <w:start w:val="1"/>
      <w:numFmt w:val="decimal"/>
      <w:lvlText w:val="%1."/>
      <w:lvlJc w:val="left"/>
      <w:pPr>
        <w:tabs>
          <w:tab w:val="num" w:pos="1680"/>
        </w:tabs>
        <w:ind w:left="1680" w:hanging="9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1F53FF7"/>
    <w:multiLevelType w:val="hybridMultilevel"/>
    <w:tmpl w:val="50762342"/>
    <w:lvl w:ilvl="0" w:tplc="174AB2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1A0874"/>
    <w:multiLevelType w:val="hybridMultilevel"/>
    <w:tmpl w:val="82382816"/>
    <w:lvl w:ilvl="0" w:tplc="13060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44FFD"/>
    <w:multiLevelType w:val="hybridMultilevel"/>
    <w:tmpl w:val="F92007D4"/>
    <w:lvl w:ilvl="0" w:tplc="BB4CFEDC">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303A18"/>
    <w:multiLevelType w:val="hybridMultilevel"/>
    <w:tmpl w:val="C2C2446C"/>
    <w:lvl w:ilvl="0" w:tplc="F3DCC85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C5B0DA1"/>
    <w:multiLevelType w:val="hybridMultilevel"/>
    <w:tmpl w:val="4334B534"/>
    <w:lvl w:ilvl="0" w:tplc="14CE9D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7"/>
  </w:num>
  <w:num w:numId="4">
    <w:abstractNumId w:val="19"/>
  </w:num>
  <w:num w:numId="5">
    <w:abstractNumId w:val="10"/>
  </w:num>
  <w:num w:numId="6">
    <w:abstractNumId w:val="24"/>
  </w:num>
  <w:num w:numId="7">
    <w:abstractNumId w:val="9"/>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22"/>
  </w:num>
  <w:num w:numId="13">
    <w:abstractNumId w:val="4"/>
  </w:num>
  <w:num w:numId="14">
    <w:abstractNumId w:val="12"/>
  </w:num>
  <w:num w:numId="15">
    <w:abstractNumId w:val="21"/>
  </w:num>
  <w:num w:numId="16">
    <w:abstractNumId w:val="23"/>
  </w:num>
  <w:num w:numId="17">
    <w:abstractNumId w:val="11"/>
  </w:num>
  <w:num w:numId="18">
    <w:abstractNumId w:val="13"/>
  </w:num>
  <w:num w:numId="19">
    <w:abstractNumId w:val="25"/>
  </w:num>
  <w:num w:numId="20">
    <w:abstractNumId w:val="16"/>
  </w:num>
  <w:num w:numId="21">
    <w:abstractNumId w:val="3"/>
  </w:num>
  <w:num w:numId="22">
    <w:abstractNumId w:val="6"/>
  </w:num>
  <w:num w:numId="23">
    <w:abstractNumId w:val="8"/>
  </w:num>
  <w:num w:numId="24">
    <w:abstractNumId w:val="2"/>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FC"/>
    <w:rsid w:val="000A409D"/>
    <w:rsid w:val="000E35B7"/>
    <w:rsid w:val="000F0982"/>
    <w:rsid w:val="0010367F"/>
    <w:rsid w:val="001A5394"/>
    <w:rsid w:val="00234DEB"/>
    <w:rsid w:val="00245330"/>
    <w:rsid w:val="00275AD1"/>
    <w:rsid w:val="002A6D22"/>
    <w:rsid w:val="002D196D"/>
    <w:rsid w:val="002D3121"/>
    <w:rsid w:val="002F7E4A"/>
    <w:rsid w:val="00314F4B"/>
    <w:rsid w:val="00317FD1"/>
    <w:rsid w:val="003252B9"/>
    <w:rsid w:val="003256D8"/>
    <w:rsid w:val="0035725F"/>
    <w:rsid w:val="003A5E2F"/>
    <w:rsid w:val="003B1ACE"/>
    <w:rsid w:val="00445A60"/>
    <w:rsid w:val="004503B1"/>
    <w:rsid w:val="004F59C9"/>
    <w:rsid w:val="005528A2"/>
    <w:rsid w:val="00566E95"/>
    <w:rsid w:val="00575DCF"/>
    <w:rsid w:val="005A53E0"/>
    <w:rsid w:val="00601107"/>
    <w:rsid w:val="00633997"/>
    <w:rsid w:val="006374CB"/>
    <w:rsid w:val="006D08CA"/>
    <w:rsid w:val="007123D5"/>
    <w:rsid w:val="00712925"/>
    <w:rsid w:val="007221D8"/>
    <w:rsid w:val="00776327"/>
    <w:rsid w:val="00784C68"/>
    <w:rsid w:val="00851F2E"/>
    <w:rsid w:val="008941FC"/>
    <w:rsid w:val="00922F02"/>
    <w:rsid w:val="00951B9D"/>
    <w:rsid w:val="009977E1"/>
    <w:rsid w:val="009C6ADF"/>
    <w:rsid w:val="00A0607C"/>
    <w:rsid w:val="00A755A7"/>
    <w:rsid w:val="00AE5201"/>
    <w:rsid w:val="00B47F9E"/>
    <w:rsid w:val="00BB72EF"/>
    <w:rsid w:val="00BC6250"/>
    <w:rsid w:val="00C27419"/>
    <w:rsid w:val="00C83F0D"/>
    <w:rsid w:val="00C9483A"/>
    <w:rsid w:val="00CC72F4"/>
    <w:rsid w:val="00CD4F01"/>
    <w:rsid w:val="00D164AA"/>
    <w:rsid w:val="00D6318B"/>
    <w:rsid w:val="00D864B7"/>
    <w:rsid w:val="00DB73FE"/>
    <w:rsid w:val="00E15811"/>
    <w:rsid w:val="00E47111"/>
    <w:rsid w:val="00E75517"/>
    <w:rsid w:val="00E97888"/>
    <w:rsid w:val="00EB2BD8"/>
    <w:rsid w:val="00F35B6A"/>
    <w:rsid w:val="00FD7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AA42DF8E-27A5-44DA-A22B-1B32E540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3D5"/>
  </w:style>
  <w:style w:type="paragraph" w:styleId="Heading1">
    <w:name w:val="heading 1"/>
    <w:basedOn w:val="Normal"/>
    <w:next w:val="Normal"/>
    <w:qFormat/>
    <w:rsid w:val="00712925"/>
    <w:pPr>
      <w:keepNext/>
      <w:outlineLvl w:val="0"/>
    </w:pPr>
    <w:rPr>
      <w:b/>
      <w:bCs/>
      <w:lang w:val="el-GR" w:eastAsia="el-GR"/>
    </w:rPr>
  </w:style>
  <w:style w:type="paragraph" w:styleId="Heading2">
    <w:name w:val="heading 2"/>
    <w:basedOn w:val="Normal"/>
    <w:next w:val="Normal"/>
    <w:link w:val="Heading2Char"/>
    <w:qFormat/>
    <w:rsid w:val="00712925"/>
    <w:pPr>
      <w:keepNext/>
      <w:outlineLvl w:val="1"/>
    </w:pPr>
    <w:rPr>
      <w:b/>
      <w:bCs/>
      <w:sz w:val="22"/>
      <w:szCs w:val="22"/>
      <w:u w:val="single"/>
      <w:lang w:val="el-GR" w:eastAsia="el-GR"/>
    </w:rPr>
  </w:style>
  <w:style w:type="paragraph" w:styleId="Heading3">
    <w:name w:val="heading 3"/>
    <w:basedOn w:val="Normal"/>
    <w:next w:val="Normal"/>
    <w:qFormat/>
    <w:rsid w:val="00712925"/>
    <w:pPr>
      <w:keepNext/>
      <w:outlineLvl w:val="2"/>
    </w:pPr>
    <w:rPr>
      <w:b/>
      <w:bCs/>
      <w:lang w:val="el-GR" w:eastAsia="el-GR"/>
    </w:rPr>
  </w:style>
  <w:style w:type="paragraph" w:styleId="Heading4">
    <w:name w:val="heading 4"/>
    <w:basedOn w:val="Normal"/>
    <w:next w:val="Normal"/>
    <w:qFormat/>
    <w:rsid w:val="00712925"/>
    <w:pPr>
      <w:keepNext/>
      <w:jc w:val="center"/>
      <w:outlineLvl w:val="3"/>
    </w:pPr>
    <w:rPr>
      <w:b/>
      <w:bCs/>
      <w:i/>
      <w:iCs/>
    </w:rPr>
  </w:style>
  <w:style w:type="paragraph" w:styleId="Heading5">
    <w:name w:val="heading 5"/>
    <w:basedOn w:val="Normal"/>
    <w:next w:val="Normal"/>
    <w:link w:val="Heading5Char"/>
    <w:qFormat/>
    <w:rsid w:val="00712925"/>
    <w:pPr>
      <w:keepNext/>
      <w:jc w:val="center"/>
      <w:outlineLvl w:val="4"/>
    </w:pPr>
    <w:rPr>
      <w:b/>
      <w:bCs/>
    </w:rPr>
  </w:style>
  <w:style w:type="paragraph" w:styleId="Heading6">
    <w:name w:val="heading 6"/>
    <w:basedOn w:val="Normal"/>
    <w:next w:val="Normal"/>
    <w:link w:val="Heading6Char"/>
    <w:qFormat/>
    <w:rsid w:val="00712925"/>
    <w:pPr>
      <w:keepNext/>
      <w:jc w:val="right"/>
      <w:outlineLvl w:val="5"/>
    </w:pPr>
    <w:rPr>
      <w:b/>
      <w:bCs/>
    </w:rPr>
  </w:style>
  <w:style w:type="paragraph" w:styleId="Heading7">
    <w:name w:val="heading 7"/>
    <w:basedOn w:val="Normal"/>
    <w:next w:val="Normal"/>
    <w:link w:val="Heading7Char"/>
    <w:qFormat/>
    <w:rsid w:val="00712925"/>
    <w:pPr>
      <w:keepNext/>
      <w:jc w:val="center"/>
      <w:outlineLvl w:val="6"/>
    </w:pPr>
    <w:rPr>
      <w:b/>
      <w:bCs/>
    </w:rPr>
  </w:style>
  <w:style w:type="paragraph" w:styleId="Heading8">
    <w:name w:val="heading 8"/>
    <w:basedOn w:val="Normal"/>
    <w:next w:val="Normal"/>
    <w:qFormat/>
    <w:rsid w:val="00922F02"/>
    <w:pPr>
      <w:spacing w:before="240" w:after="60"/>
      <w:outlineLvl w:val="7"/>
    </w:pPr>
    <w:rPr>
      <w:i/>
      <w:iCs/>
      <w:sz w:val="24"/>
      <w:szCs w:val="24"/>
    </w:rPr>
  </w:style>
  <w:style w:type="paragraph" w:styleId="Heading9">
    <w:name w:val="heading 9"/>
    <w:basedOn w:val="Normal"/>
    <w:next w:val="Normal"/>
    <w:qFormat/>
    <w:rsid w:val="00E158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2925"/>
    <w:pPr>
      <w:tabs>
        <w:tab w:val="center" w:pos="4320"/>
        <w:tab w:val="right" w:pos="8640"/>
      </w:tabs>
    </w:pPr>
  </w:style>
  <w:style w:type="paragraph" w:styleId="Footer">
    <w:name w:val="footer"/>
    <w:basedOn w:val="Normal"/>
    <w:link w:val="FooterChar"/>
    <w:uiPriority w:val="99"/>
    <w:rsid w:val="00712925"/>
    <w:pPr>
      <w:tabs>
        <w:tab w:val="center" w:pos="4320"/>
        <w:tab w:val="right" w:pos="8640"/>
      </w:tabs>
    </w:pPr>
  </w:style>
  <w:style w:type="paragraph" w:styleId="BodyText">
    <w:name w:val="Body Text"/>
    <w:basedOn w:val="Normal"/>
    <w:link w:val="BodyTextChar"/>
    <w:rsid w:val="00712925"/>
    <w:pPr>
      <w:jc w:val="both"/>
    </w:pPr>
    <w:rPr>
      <w:lang w:val="el-GR" w:eastAsia="el-GR"/>
    </w:rPr>
  </w:style>
  <w:style w:type="paragraph" w:styleId="BodyTextIndent">
    <w:name w:val="Body Text Indent"/>
    <w:basedOn w:val="Normal"/>
    <w:link w:val="BodyTextIndentChar"/>
    <w:rsid w:val="00712925"/>
    <w:pPr>
      <w:ind w:firstLine="720"/>
      <w:jc w:val="both"/>
    </w:pPr>
    <w:rPr>
      <w:lang w:val="el-GR"/>
    </w:rPr>
  </w:style>
  <w:style w:type="character" w:styleId="Hyperlink">
    <w:name w:val="Hyperlink"/>
    <w:rsid w:val="00712925"/>
    <w:rPr>
      <w:color w:val="0000FF"/>
      <w:u w:val="single"/>
    </w:rPr>
  </w:style>
  <w:style w:type="paragraph" w:styleId="Caption">
    <w:name w:val="caption"/>
    <w:basedOn w:val="Normal"/>
    <w:next w:val="Normal"/>
    <w:qFormat/>
    <w:rsid w:val="00E15811"/>
    <w:pPr>
      <w:jc w:val="center"/>
    </w:pPr>
    <w:rPr>
      <w:b/>
      <w:bCs/>
      <w:sz w:val="28"/>
      <w:szCs w:val="28"/>
    </w:rPr>
  </w:style>
  <w:style w:type="paragraph" w:styleId="BodyText3">
    <w:name w:val="Body Text 3"/>
    <w:basedOn w:val="Normal"/>
    <w:rsid w:val="00E15811"/>
    <w:pPr>
      <w:spacing w:after="120"/>
    </w:pPr>
    <w:rPr>
      <w:sz w:val="16"/>
      <w:szCs w:val="16"/>
    </w:rPr>
  </w:style>
  <w:style w:type="paragraph" w:styleId="Title">
    <w:name w:val="Title"/>
    <w:basedOn w:val="Normal"/>
    <w:qFormat/>
    <w:rsid w:val="004F59C9"/>
    <w:pPr>
      <w:jc w:val="center"/>
    </w:pPr>
    <w:rPr>
      <w:sz w:val="28"/>
    </w:rPr>
  </w:style>
  <w:style w:type="character" w:customStyle="1" w:styleId="BodyTextChar">
    <w:name w:val="Body Text Char"/>
    <w:link w:val="BodyText"/>
    <w:rsid w:val="002D196D"/>
    <w:rPr>
      <w:lang w:val="el-GR" w:eastAsia="el-GR"/>
    </w:rPr>
  </w:style>
  <w:style w:type="character" w:customStyle="1" w:styleId="Heading2Char">
    <w:name w:val="Heading 2 Char"/>
    <w:link w:val="Heading2"/>
    <w:rsid w:val="002D196D"/>
    <w:rPr>
      <w:b/>
      <w:bCs/>
      <w:sz w:val="22"/>
      <w:szCs w:val="22"/>
      <w:u w:val="single"/>
      <w:lang w:val="el-GR" w:eastAsia="el-GR"/>
    </w:rPr>
  </w:style>
  <w:style w:type="character" w:customStyle="1" w:styleId="Heading5Char">
    <w:name w:val="Heading 5 Char"/>
    <w:link w:val="Heading5"/>
    <w:rsid w:val="002D196D"/>
    <w:rPr>
      <w:b/>
      <w:bCs/>
      <w:lang w:val="en-US" w:eastAsia="en-US"/>
    </w:rPr>
  </w:style>
  <w:style w:type="character" w:customStyle="1" w:styleId="Heading6Char">
    <w:name w:val="Heading 6 Char"/>
    <w:link w:val="Heading6"/>
    <w:rsid w:val="002D196D"/>
    <w:rPr>
      <w:b/>
      <w:bCs/>
      <w:lang w:val="en-US" w:eastAsia="en-US"/>
    </w:rPr>
  </w:style>
  <w:style w:type="character" w:customStyle="1" w:styleId="Heading7Char">
    <w:name w:val="Heading 7 Char"/>
    <w:link w:val="Heading7"/>
    <w:rsid w:val="002D196D"/>
    <w:rPr>
      <w:b/>
      <w:bCs/>
      <w:lang w:val="en-US" w:eastAsia="en-US"/>
    </w:rPr>
  </w:style>
  <w:style w:type="character" w:customStyle="1" w:styleId="FooterChar">
    <w:name w:val="Footer Char"/>
    <w:link w:val="Footer"/>
    <w:uiPriority w:val="99"/>
    <w:rsid w:val="002D196D"/>
    <w:rPr>
      <w:lang w:val="en-US" w:eastAsia="en-US"/>
    </w:rPr>
  </w:style>
  <w:style w:type="character" w:customStyle="1" w:styleId="BodyTextIndentChar">
    <w:name w:val="Body Text Indent Char"/>
    <w:link w:val="BodyTextIndent"/>
    <w:rsid w:val="002D196D"/>
    <w:rPr>
      <w:lang w:val="el-GR" w:eastAsia="en-US"/>
    </w:rPr>
  </w:style>
  <w:style w:type="paragraph" w:styleId="NoSpacing">
    <w:name w:val="No Spacing"/>
    <w:uiPriority w:val="1"/>
    <w:qFormat/>
    <w:rsid w:val="006374CB"/>
    <w:rPr>
      <w:rFonts w:ascii="Calibri" w:hAnsi="Calibri"/>
      <w:sz w:val="22"/>
      <w:szCs w:val="22"/>
    </w:rPr>
  </w:style>
  <w:style w:type="character" w:customStyle="1" w:styleId="HeaderChar">
    <w:name w:val="Header Char"/>
    <w:link w:val="Header"/>
    <w:uiPriority w:val="99"/>
    <w:rsid w:val="006374CB"/>
    <w:rPr>
      <w:lang w:val="en-US" w:eastAsia="en-US"/>
    </w:rPr>
  </w:style>
  <w:style w:type="paragraph" w:styleId="BalloonText">
    <w:name w:val="Balloon Text"/>
    <w:basedOn w:val="Normal"/>
    <w:link w:val="BalloonTextChar"/>
    <w:uiPriority w:val="99"/>
    <w:unhideWhenUsed/>
    <w:rsid w:val="006374CB"/>
    <w:rPr>
      <w:rFonts w:ascii="Tahoma" w:hAnsi="Tahoma"/>
      <w:sz w:val="16"/>
      <w:szCs w:val="16"/>
    </w:rPr>
  </w:style>
  <w:style w:type="character" w:customStyle="1" w:styleId="BalloonTextChar">
    <w:name w:val="Balloon Text Char"/>
    <w:link w:val="BalloonText"/>
    <w:uiPriority w:val="99"/>
    <w:rsid w:val="006374C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PMU</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PMU</dc:creator>
  <cp:keywords/>
  <cp:lastModifiedBy>dritantelhaj@gmail.com</cp:lastModifiedBy>
  <cp:revision>2</cp:revision>
  <cp:lastPrinted>2002-02-13T06:17:00Z</cp:lastPrinted>
  <dcterms:created xsi:type="dcterms:W3CDTF">2020-07-01T13:44:00Z</dcterms:created>
  <dcterms:modified xsi:type="dcterms:W3CDTF">2020-07-01T13:44:00Z</dcterms:modified>
</cp:coreProperties>
</file>