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AFA" w:rsidRPr="00A1094A" w:rsidRDefault="00035AFA" w:rsidP="00035AFA">
      <w:pPr>
        <w:pStyle w:val="NoSpacing"/>
        <w:spacing w:line="276" w:lineRule="auto"/>
        <w:jc w:val="center"/>
        <w:rPr>
          <w:rFonts w:ascii="Times New Roman" w:hAnsi="Times New Roman"/>
          <w:sz w:val="24"/>
          <w:szCs w:val="24"/>
          <w:lang w:val="sq-AL"/>
        </w:rPr>
      </w:pPr>
      <w:bookmarkStart w:id="0" w:name="_GoBack"/>
      <w:bookmarkEnd w:id="0"/>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r w:rsidRPr="00A1094A">
        <w:rPr>
          <w:rFonts w:ascii="Times New Roman" w:hAnsi="Times New Roman"/>
          <w:sz w:val="24"/>
          <w:szCs w:val="24"/>
          <w:lang w:val="sq-AL"/>
        </w:rPr>
        <w:t>GJYKATA EUROPIANE E TË DREJTAVE TË NJERIUT</w:t>
      </w: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r w:rsidRPr="00A1094A">
        <w:rPr>
          <w:rFonts w:ascii="Times New Roman" w:hAnsi="Times New Roman"/>
          <w:sz w:val="24"/>
          <w:szCs w:val="24"/>
          <w:lang w:val="sq-AL"/>
        </w:rPr>
        <w:t>SEKSIONI I PARË</w:t>
      </w: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b/>
          <w:sz w:val="24"/>
          <w:szCs w:val="24"/>
          <w:lang w:val="sq-AL"/>
        </w:rPr>
      </w:pPr>
      <w:r w:rsidRPr="00A1094A">
        <w:rPr>
          <w:rFonts w:ascii="Times New Roman" w:hAnsi="Times New Roman"/>
          <w:b/>
          <w:sz w:val="24"/>
          <w:szCs w:val="24"/>
          <w:lang w:val="sq-AL"/>
        </w:rPr>
        <w:t>ÇËSHTJA ALIÇKA DHE TË TJERËT KUNDËR SHQIPËRISË</w:t>
      </w: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i/>
          <w:sz w:val="24"/>
          <w:szCs w:val="24"/>
          <w:lang w:val="sq-AL"/>
        </w:rPr>
      </w:pPr>
      <w:r w:rsidRPr="00A1094A">
        <w:rPr>
          <w:rFonts w:ascii="Times New Roman" w:hAnsi="Times New Roman"/>
          <w:sz w:val="24"/>
          <w:szCs w:val="24"/>
          <w:lang w:val="sq-AL"/>
        </w:rPr>
        <w:t>(</w:t>
      </w:r>
      <w:r w:rsidRPr="00A1094A">
        <w:rPr>
          <w:rFonts w:ascii="Times New Roman" w:hAnsi="Times New Roman"/>
          <w:i/>
          <w:sz w:val="24"/>
          <w:szCs w:val="24"/>
          <w:lang w:val="sq-AL"/>
        </w:rPr>
        <w:t>Ankimet nr.</w:t>
      </w:r>
      <w:r>
        <w:rPr>
          <w:rFonts w:ascii="Times New Roman" w:hAnsi="Times New Roman"/>
          <w:i/>
          <w:sz w:val="24"/>
          <w:szCs w:val="24"/>
          <w:lang w:val="sq-AL"/>
        </w:rPr>
        <w:t xml:space="preserve"> </w:t>
      </w:r>
      <w:r w:rsidRPr="00A1094A">
        <w:rPr>
          <w:rFonts w:ascii="Times New Roman" w:hAnsi="Times New Roman"/>
          <w:i/>
          <w:sz w:val="24"/>
          <w:szCs w:val="24"/>
          <w:lang w:val="sq-AL"/>
        </w:rPr>
        <w:t xml:space="preserve">33148/11, 33151/11, 33823/11, 46103/11, 72334/11, </w:t>
      </w:r>
    </w:p>
    <w:p w:rsidR="00035AFA" w:rsidRPr="00A1094A" w:rsidRDefault="00035AFA" w:rsidP="00035AFA">
      <w:pPr>
        <w:pStyle w:val="NoSpacing"/>
        <w:spacing w:line="276" w:lineRule="auto"/>
        <w:jc w:val="center"/>
        <w:rPr>
          <w:rFonts w:ascii="Times New Roman" w:hAnsi="Times New Roman"/>
          <w:sz w:val="24"/>
          <w:szCs w:val="24"/>
          <w:lang w:val="sq-AL"/>
        </w:rPr>
      </w:pPr>
      <w:r w:rsidRPr="00A1094A">
        <w:rPr>
          <w:rFonts w:ascii="Times New Roman" w:hAnsi="Times New Roman"/>
          <w:i/>
          <w:sz w:val="24"/>
          <w:szCs w:val="24"/>
          <w:lang w:val="sq-AL"/>
        </w:rPr>
        <w:t>78960/11</w:t>
      </w:r>
      <w:r w:rsidRPr="00A1094A">
        <w:rPr>
          <w:rFonts w:ascii="Times New Roman" w:hAnsi="Times New Roman"/>
          <w:sz w:val="24"/>
          <w:szCs w:val="24"/>
          <w:lang w:val="sq-AL"/>
        </w:rPr>
        <w:t>)</w:t>
      </w: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r w:rsidRPr="00A1094A">
        <w:rPr>
          <w:rFonts w:ascii="Times New Roman" w:hAnsi="Times New Roman"/>
          <w:sz w:val="24"/>
          <w:szCs w:val="24"/>
          <w:lang w:val="sq-AL"/>
        </w:rPr>
        <w:t>VENDIM</w:t>
      </w: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r w:rsidRPr="00A1094A">
        <w:rPr>
          <w:rFonts w:ascii="Times New Roman" w:hAnsi="Times New Roman"/>
          <w:sz w:val="24"/>
          <w:szCs w:val="24"/>
          <w:lang w:val="sq-AL"/>
        </w:rPr>
        <w:t>STRASBURG</w:t>
      </w: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b/>
          <w:sz w:val="24"/>
          <w:szCs w:val="24"/>
          <w:u w:val="single"/>
          <w:lang w:val="sq-AL"/>
        </w:rPr>
      </w:pPr>
      <w:r w:rsidRPr="00A1094A">
        <w:rPr>
          <w:rFonts w:ascii="Times New Roman" w:hAnsi="Times New Roman"/>
          <w:sz w:val="24"/>
          <w:szCs w:val="24"/>
          <w:lang w:val="sq-AL"/>
        </w:rPr>
        <w:t>7 Prill 2016</w:t>
      </w: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i/>
          <w:sz w:val="24"/>
          <w:szCs w:val="24"/>
          <w:lang w:val="sq-AL"/>
        </w:rPr>
      </w:pPr>
    </w:p>
    <w:p w:rsidR="00035AFA" w:rsidRPr="00A1094A" w:rsidRDefault="00035AFA" w:rsidP="00035AFA">
      <w:pPr>
        <w:pStyle w:val="NoSpacing"/>
        <w:spacing w:line="276" w:lineRule="auto"/>
        <w:jc w:val="center"/>
        <w:rPr>
          <w:rFonts w:ascii="Times New Roman" w:hAnsi="Times New Roman"/>
          <w:i/>
          <w:sz w:val="24"/>
          <w:szCs w:val="24"/>
          <w:lang w:val="sq-AL"/>
        </w:rPr>
      </w:pPr>
    </w:p>
    <w:p w:rsidR="00035AFA" w:rsidRPr="00A1094A" w:rsidRDefault="00035AFA" w:rsidP="00035AFA">
      <w:pPr>
        <w:pStyle w:val="NoSpacing"/>
        <w:spacing w:line="276" w:lineRule="auto"/>
        <w:jc w:val="center"/>
        <w:rPr>
          <w:rFonts w:ascii="Times New Roman" w:hAnsi="Times New Roman"/>
          <w:i/>
          <w:sz w:val="24"/>
          <w:szCs w:val="24"/>
          <w:lang w:val="sq-AL"/>
        </w:rPr>
      </w:pPr>
      <w:r w:rsidRPr="00A1094A">
        <w:rPr>
          <w:rFonts w:ascii="Times New Roman" w:hAnsi="Times New Roman"/>
          <w:i/>
          <w:sz w:val="24"/>
          <w:szCs w:val="24"/>
          <w:lang w:val="sq-AL"/>
        </w:rPr>
        <w:t>Ky vendim është i formës së prerë. Ai mund t’i nënshtrohet rishikimit redaktues</w:t>
      </w:r>
    </w:p>
    <w:p w:rsidR="00035AFA" w:rsidRPr="00A1094A" w:rsidRDefault="00035AFA" w:rsidP="00035AFA">
      <w:pPr>
        <w:pStyle w:val="NoSpacing"/>
        <w:spacing w:line="276" w:lineRule="auto"/>
        <w:rPr>
          <w:rFonts w:ascii="Times New Roman" w:hAnsi="Times New Roman"/>
          <w:sz w:val="24"/>
          <w:szCs w:val="24"/>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r w:rsidRPr="00A1094A">
        <w:rPr>
          <w:rFonts w:ascii="Times New Roman" w:hAnsi="Times New Roman"/>
          <w:sz w:val="18"/>
          <w:szCs w:val="18"/>
          <w:lang w:val="sq-AL"/>
        </w:rPr>
        <w:t>VENDIMI ALIÇKA DHE TË TJERËT KUNDËR SHQIPËRISË</w:t>
      </w: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rPr>
          <w:rFonts w:ascii="Times New Roman" w:hAnsi="Times New Roman"/>
          <w:sz w:val="24"/>
          <w:szCs w:val="24"/>
          <w:lang w:val="sq-AL"/>
        </w:rPr>
      </w:pPr>
      <w:r w:rsidRPr="00A1094A">
        <w:rPr>
          <w:rFonts w:ascii="Times New Roman" w:hAnsi="Times New Roman"/>
          <w:b/>
          <w:sz w:val="24"/>
          <w:szCs w:val="24"/>
          <w:lang w:val="sq-AL"/>
        </w:rPr>
        <w:t xml:space="preserve">Në çështjen Aliçka dhe të tjerët kundër Shqipërisë, </w:t>
      </w:r>
    </w:p>
    <w:p w:rsidR="00035AFA" w:rsidRPr="00A1094A" w:rsidRDefault="00035AFA" w:rsidP="00035AFA">
      <w:pPr>
        <w:pStyle w:val="NoSpacing"/>
        <w:spacing w:line="276" w:lineRule="auto"/>
        <w:rPr>
          <w:rFonts w:ascii="Times New Roman" w:hAnsi="Times New Roman"/>
          <w:sz w:val="24"/>
          <w:szCs w:val="24"/>
          <w:lang w:val="sq-AL"/>
        </w:rPr>
      </w:pPr>
      <w:r w:rsidRPr="00A1094A">
        <w:rPr>
          <w:rFonts w:ascii="Times New Roman" w:hAnsi="Times New Roman"/>
          <w:sz w:val="24"/>
          <w:szCs w:val="24"/>
          <w:lang w:val="sq-AL"/>
        </w:rPr>
        <w:t xml:space="preserve">Gjykata Evropiane e të Drejtave të Njeriut (Seksioni i Parë), e mbledhur si një Komitet i përbërë nga: </w:t>
      </w:r>
    </w:p>
    <w:p w:rsidR="00035AFA" w:rsidRPr="00A1094A" w:rsidRDefault="00035AFA" w:rsidP="00035AFA">
      <w:pPr>
        <w:pStyle w:val="NoSpacing"/>
        <w:spacing w:line="276" w:lineRule="auto"/>
        <w:rPr>
          <w:rFonts w:ascii="Times New Roman" w:hAnsi="Times New Roman"/>
          <w:i/>
          <w:sz w:val="24"/>
          <w:szCs w:val="24"/>
          <w:lang w:val="sq-AL"/>
        </w:rPr>
      </w:pPr>
      <w:r w:rsidRPr="00A1094A">
        <w:rPr>
          <w:rFonts w:ascii="Times New Roman" w:hAnsi="Times New Roman"/>
          <w:sz w:val="24"/>
          <w:szCs w:val="24"/>
          <w:lang w:val="sq-AL"/>
        </w:rPr>
        <w:t xml:space="preserve">Kristina Pardalos, </w:t>
      </w:r>
      <w:r>
        <w:rPr>
          <w:rFonts w:ascii="Times New Roman" w:hAnsi="Times New Roman"/>
          <w:i/>
          <w:sz w:val="24"/>
          <w:szCs w:val="24"/>
          <w:lang w:val="sq-AL"/>
        </w:rPr>
        <w:t>Kryetare</w:t>
      </w:r>
    </w:p>
    <w:p w:rsidR="00035AFA" w:rsidRPr="00A1094A" w:rsidRDefault="00035AFA" w:rsidP="00035AFA">
      <w:pPr>
        <w:pStyle w:val="NoSpacing"/>
        <w:spacing w:line="276" w:lineRule="auto"/>
        <w:rPr>
          <w:rFonts w:ascii="Times New Roman" w:hAnsi="Times New Roman"/>
          <w:sz w:val="24"/>
          <w:szCs w:val="24"/>
          <w:lang w:val="sq-AL"/>
        </w:rPr>
      </w:pPr>
      <w:r w:rsidRPr="00A1094A">
        <w:rPr>
          <w:rFonts w:ascii="Times New Roman" w:hAnsi="Times New Roman"/>
          <w:sz w:val="24"/>
          <w:szCs w:val="24"/>
          <w:lang w:val="sq-AL"/>
        </w:rPr>
        <w:t>Paul Mahoney,</w:t>
      </w:r>
    </w:p>
    <w:p w:rsidR="00035AFA" w:rsidRPr="00A1094A" w:rsidRDefault="00035AFA" w:rsidP="00035AFA">
      <w:pPr>
        <w:pStyle w:val="NoSpacing"/>
        <w:spacing w:line="276" w:lineRule="auto"/>
        <w:rPr>
          <w:rFonts w:ascii="Times New Roman" w:hAnsi="Times New Roman"/>
          <w:i/>
          <w:sz w:val="24"/>
          <w:szCs w:val="24"/>
          <w:lang w:val="sq-AL"/>
        </w:rPr>
      </w:pPr>
      <w:r w:rsidRPr="00A1094A">
        <w:rPr>
          <w:rFonts w:ascii="Times New Roman" w:hAnsi="Times New Roman"/>
          <w:sz w:val="24"/>
          <w:szCs w:val="24"/>
          <w:lang w:val="sq-AL"/>
        </w:rPr>
        <w:t xml:space="preserve">Pauliine Koskelo, </w:t>
      </w:r>
      <w:r w:rsidRPr="00A1094A">
        <w:rPr>
          <w:rFonts w:ascii="Times New Roman" w:hAnsi="Times New Roman"/>
          <w:i/>
          <w:sz w:val="24"/>
          <w:szCs w:val="24"/>
          <w:lang w:val="sq-AL"/>
        </w:rPr>
        <w:t xml:space="preserve">gjyqtarë, </w:t>
      </w:r>
    </w:p>
    <w:p w:rsidR="00035AFA" w:rsidRPr="00A1094A" w:rsidRDefault="00035AFA" w:rsidP="00035AFA">
      <w:pPr>
        <w:pStyle w:val="NoSpacing"/>
        <w:spacing w:line="276" w:lineRule="auto"/>
        <w:rPr>
          <w:rFonts w:ascii="Times New Roman" w:hAnsi="Times New Roman"/>
          <w:i/>
          <w:sz w:val="24"/>
          <w:szCs w:val="24"/>
          <w:lang w:val="sq-AL"/>
        </w:rPr>
      </w:pPr>
      <w:r w:rsidRPr="00A1094A">
        <w:rPr>
          <w:rFonts w:ascii="Times New Roman" w:hAnsi="Times New Roman"/>
          <w:sz w:val="24"/>
          <w:szCs w:val="24"/>
          <w:lang w:val="sq-AL"/>
        </w:rPr>
        <w:t xml:space="preserve">dhe André </w:t>
      </w:r>
      <w:r>
        <w:rPr>
          <w:rFonts w:ascii="Times New Roman" w:hAnsi="Times New Roman"/>
          <w:sz w:val="24"/>
          <w:szCs w:val="24"/>
          <w:lang w:val="sq-AL"/>
        </w:rPr>
        <w:t>W</w:t>
      </w:r>
      <w:r w:rsidRPr="00A1094A">
        <w:rPr>
          <w:rFonts w:ascii="Times New Roman" w:hAnsi="Times New Roman"/>
          <w:sz w:val="24"/>
          <w:szCs w:val="24"/>
          <w:lang w:val="sq-AL"/>
        </w:rPr>
        <w:t xml:space="preserve">ampach, </w:t>
      </w:r>
      <w:r w:rsidRPr="00A1094A">
        <w:rPr>
          <w:rFonts w:ascii="Times New Roman" w:hAnsi="Times New Roman"/>
          <w:i/>
          <w:sz w:val="24"/>
          <w:szCs w:val="24"/>
          <w:lang w:val="sq-AL"/>
        </w:rPr>
        <w:t xml:space="preserve">Zëvendës Regjistrar i Seksionit, </w:t>
      </w:r>
    </w:p>
    <w:p w:rsidR="00035AFA" w:rsidRPr="00A1094A" w:rsidRDefault="00035AFA" w:rsidP="00035AFA">
      <w:pPr>
        <w:pStyle w:val="NoSpacing"/>
        <w:spacing w:line="276" w:lineRule="auto"/>
        <w:jc w:val="both"/>
        <w:rPr>
          <w:rFonts w:ascii="Times New Roman" w:hAnsi="Times New Roman"/>
          <w:sz w:val="24"/>
          <w:szCs w:val="24"/>
          <w:lang w:val="sq-AL"/>
        </w:rPr>
      </w:pPr>
      <w:r w:rsidRPr="00A1094A">
        <w:rPr>
          <w:rFonts w:ascii="Times New Roman" w:hAnsi="Times New Roman"/>
          <w:sz w:val="24"/>
          <w:szCs w:val="24"/>
          <w:lang w:val="sq-AL"/>
        </w:rPr>
        <w:t>Pasi ka diskutuar me dyer të mbyllura më 15Mars 2016,</w:t>
      </w:r>
    </w:p>
    <w:p w:rsidR="00035AFA" w:rsidRPr="00A1094A" w:rsidRDefault="00035AFA" w:rsidP="00035AFA">
      <w:pPr>
        <w:pStyle w:val="NoSpacing"/>
        <w:spacing w:line="276" w:lineRule="auto"/>
        <w:jc w:val="both"/>
        <w:rPr>
          <w:rFonts w:ascii="Times New Roman" w:hAnsi="Times New Roman"/>
          <w:sz w:val="24"/>
          <w:szCs w:val="24"/>
          <w:lang w:val="sq-AL"/>
        </w:rPr>
      </w:pPr>
      <w:r w:rsidRPr="00A1094A">
        <w:rPr>
          <w:rFonts w:ascii="Times New Roman" w:hAnsi="Times New Roman"/>
          <w:sz w:val="24"/>
          <w:szCs w:val="24"/>
          <w:lang w:val="sq-AL"/>
        </w:rPr>
        <w:t>Pasi ka vërejtur se çështja ligjore në fjalë në ankesat e mëposhtme, tashmë është objekt i mirëpërcaktuar</w:t>
      </w:r>
      <w:r>
        <w:rPr>
          <w:rFonts w:ascii="Times New Roman" w:hAnsi="Times New Roman"/>
          <w:sz w:val="24"/>
          <w:szCs w:val="24"/>
          <w:lang w:val="sq-AL"/>
        </w:rPr>
        <w:t xml:space="preserve"> i praktikës gjyqësore</w:t>
      </w:r>
      <w:r w:rsidRPr="00A1094A">
        <w:rPr>
          <w:rFonts w:ascii="Times New Roman" w:hAnsi="Times New Roman"/>
          <w:sz w:val="24"/>
          <w:szCs w:val="24"/>
          <w:lang w:val="sq-AL"/>
        </w:rPr>
        <w:t xml:space="preserve"> të Gjykatës (shiko </w:t>
      </w:r>
      <w:r w:rsidRPr="00A1094A">
        <w:rPr>
          <w:rFonts w:ascii="Times New Roman" w:hAnsi="Times New Roman"/>
          <w:i/>
          <w:sz w:val="24"/>
          <w:szCs w:val="24"/>
          <w:lang w:val="sq-AL"/>
        </w:rPr>
        <w:t xml:space="preserve">Manushaqe Puto dhe të Tjerët kundër Shqipërisë, </w:t>
      </w:r>
      <w:r w:rsidRPr="00A1094A">
        <w:rPr>
          <w:rFonts w:ascii="Times New Roman" w:hAnsi="Times New Roman"/>
          <w:sz w:val="24"/>
          <w:szCs w:val="24"/>
          <w:lang w:val="sq-AL"/>
        </w:rPr>
        <w:t xml:space="preserve">nr. 604/07, 43628/07, 46684/07 dhe 34770/09, 31 Korrik 2012), </w:t>
      </w:r>
    </w:p>
    <w:p w:rsidR="00035AFA" w:rsidRPr="00A1094A" w:rsidRDefault="00035AFA" w:rsidP="00035AFA">
      <w:pPr>
        <w:pStyle w:val="NoSpacing"/>
        <w:spacing w:line="276" w:lineRule="auto"/>
        <w:jc w:val="both"/>
        <w:rPr>
          <w:rFonts w:ascii="Times New Roman" w:hAnsi="Times New Roman"/>
          <w:sz w:val="24"/>
          <w:szCs w:val="24"/>
          <w:lang w:val="sq-AL"/>
        </w:rPr>
      </w:pPr>
      <w:r w:rsidRPr="00A1094A">
        <w:rPr>
          <w:rFonts w:ascii="Times New Roman" w:hAnsi="Times New Roman"/>
          <w:sz w:val="24"/>
          <w:szCs w:val="24"/>
          <w:lang w:val="sq-AL"/>
        </w:rPr>
        <w:t>Lëshon vendimin e mëposhtëm, i cili u miratua në po atë ditë:</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spacing w:line="276" w:lineRule="auto"/>
        <w:jc w:val="both"/>
        <w:rPr>
          <w:rFonts w:ascii="Times New Roman" w:hAnsi="Times New Roman"/>
          <w:sz w:val="24"/>
          <w:szCs w:val="24"/>
          <w:lang w:val="sq-AL"/>
        </w:rPr>
      </w:pPr>
      <w:r w:rsidRPr="00A1094A">
        <w:rPr>
          <w:rFonts w:ascii="Times New Roman" w:hAnsi="Times New Roman"/>
          <w:sz w:val="24"/>
          <w:szCs w:val="24"/>
          <w:lang w:val="sq-AL"/>
        </w:rPr>
        <w:t>PROCEDURA</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Çështja filloi me gjashtë ankesa (nr. 33148/11, 33151/11, 33823/11, 46103/11, 72334/11 dhe 78960/11), kundër Republikës së Shqipërisë, dorëzuar në Gjykatë, sipas Nenit 34 të Konventës për Mbrojtjen e të Drejtave të Njeriut dhe Lirive Themelore (“Konventa”), nga 13 shtetas shqiptarë. Detajet e ankuesve dhe të përfaqësuesve përcaktohen në Shtojcën Nr. 1, bashkalidhur me vendimin.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Qeveria shqiptare (“Qeveria”) u përfaqësua nga Agjentja e saj, Znj. A. Hicka nga Zyra e Avokatit të Shtetit.</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Më 20 Dhjetor 2013, ankimet iu komunikuan Qeverisë.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Në lidhje me ankimet nr. 33148/11, 33151/11, 33823/11, 46103/11 dhe 72334/11, Qeveria nuk dorëzoi komente me shkrim për kërkesat e ankuesve për kompensim të drejtë në afatin kohor të lejuar.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FAKTET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24"/>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RRETHANAT E ÇËSHTJES</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25"/>
        </w:numPr>
        <w:spacing w:line="276" w:lineRule="auto"/>
        <w:jc w:val="both"/>
        <w:rPr>
          <w:rFonts w:ascii="Times New Roman" w:hAnsi="Times New Roman"/>
          <w:sz w:val="24"/>
          <w:szCs w:val="24"/>
          <w:lang w:val="sq-AL"/>
        </w:rPr>
      </w:pPr>
      <w:r w:rsidRPr="00A1094A">
        <w:rPr>
          <w:rFonts w:ascii="Times New Roman" w:hAnsi="Times New Roman"/>
          <w:b/>
          <w:sz w:val="24"/>
          <w:szCs w:val="24"/>
          <w:lang w:val="sq-AL"/>
        </w:rPr>
        <w:t>Ankimi nr. 33148/11: Aliçka dhe Vasha</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Më 30 Maj 2003, Komisioni i Gjirokastrës njohu, midis të tjerave, të</w:t>
      </w:r>
      <w:r>
        <w:rPr>
          <w:rFonts w:ascii="Times New Roman" w:hAnsi="Times New Roman"/>
          <w:sz w:val="24"/>
          <w:szCs w:val="24"/>
          <w:lang w:val="sq-AL"/>
        </w:rPr>
        <w:t xml:space="preserve"> </w:t>
      </w:r>
      <w:r w:rsidRPr="00A1094A">
        <w:rPr>
          <w:rFonts w:ascii="Times New Roman" w:hAnsi="Times New Roman"/>
          <w:sz w:val="24"/>
          <w:szCs w:val="24"/>
          <w:lang w:val="sq-AL"/>
        </w:rPr>
        <w:t>drejtat e ankuesve për pronën e trashëguar mbi një sipërfaqe toke me përmasat 655,400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Ankuesit dhe trashëgimtarë</w:t>
      </w:r>
      <w:r>
        <w:rPr>
          <w:rFonts w:ascii="Times New Roman" w:hAnsi="Times New Roman"/>
          <w:sz w:val="24"/>
          <w:szCs w:val="24"/>
          <w:lang w:val="sq-AL"/>
        </w:rPr>
        <w:t>ve të</w:t>
      </w:r>
      <w:r w:rsidRPr="00A1094A">
        <w:rPr>
          <w:rFonts w:ascii="Times New Roman" w:hAnsi="Times New Roman"/>
          <w:sz w:val="24"/>
          <w:szCs w:val="24"/>
          <w:lang w:val="sq-AL"/>
        </w:rPr>
        <w:t xml:space="preserve"> tjerë do t’iu jepej një kompensim në shumën prej 2,297,398 lekë shqiptarë (“TË GJITHA”) për të gjithë tokën.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Deri më sot, nuk është paguar asnjë kompensim. </w:t>
      </w:r>
    </w:p>
    <w:p w:rsidR="00035AFA" w:rsidRPr="00A1094A" w:rsidRDefault="00035AFA" w:rsidP="00035AFA">
      <w:pPr>
        <w:pStyle w:val="NoSpacing"/>
        <w:spacing w:line="276" w:lineRule="auto"/>
        <w:jc w:val="both"/>
        <w:rPr>
          <w:rFonts w:ascii="Times New Roman" w:hAnsi="Times New Roman"/>
          <w:sz w:val="24"/>
          <w:szCs w:val="24"/>
          <w:lang w:val="sq-AL"/>
        </w:rPr>
      </w:pPr>
    </w:p>
    <w:p w:rsidR="00D3205D" w:rsidRPr="00A1094A" w:rsidRDefault="00D3205D" w:rsidP="00D3205D">
      <w:pPr>
        <w:pStyle w:val="NoSpacing"/>
        <w:spacing w:line="276" w:lineRule="auto"/>
        <w:jc w:val="center"/>
        <w:rPr>
          <w:rFonts w:ascii="Times New Roman" w:hAnsi="Times New Roman"/>
          <w:sz w:val="18"/>
          <w:szCs w:val="18"/>
          <w:lang w:val="sq-AL"/>
        </w:rPr>
      </w:pPr>
      <w:r w:rsidRPr="00A1094A">
        <w:rPr>
          <w:rFonts w:ascii="Times New Roman" w:hAnsi="Times New Roman"/>
          <w:sz w:val="18"/>
          <w:szCs w:val="18"/>
          <w:lang w:val="sq-AL"/>
        </w:rPr>
        <w:t>VENDIMI ALIÇKA DHE TË TJERËT KUNDËR SHQIPËRISË</w:t>
      </w:r>
    </w:p>
    <w:p w:rsidR="00D3205D" w:rsidRDefault="00D3205D" w:rsidP="00035AFA">
      <w:pPr>
        <w:pStyle w:val="NoSpacing"/>
        <w:spacing w:line="276" w:lineRule="auto"/>
        <w:jc w:val="both"/>
        <w:rPr>
          <w:rFonts w:ascii="Times New Roman" w:hAnsi="Times New Roman"/>
          <w:b/>
          <w:sz w:val="24"/>
          <w:szCs w:val="24"/>
          <w:lang w:val="sq-AL"/>
        </w:rPr>
      </w:pPr>
    </w:p>
    <w:p w:rsidR="00035AFA" w:rsidRPr="00A1094A" w:rsidRDefault="00035AFA" w:rsidP="00035AFA">
      <w:pPr>
        <w:pStyle w:val="NoSpacing"/>
        <w:spacing w:line="276" w:lineRule="auto"/>
        <w:jc w:val="both"/>
        <w:rPr>
          <w:rFonts w:ascii="Times New Roman" w:hAnsi="Times New Roman"/>
          <w:b/>
          <w:sz w:val="24"/>
          <w:szCs w:val="24"/>
          <w:lang w:val="sq-AL"/>
        </w:rPr>
      </w:pPr>
      <w:r w:rsidRPr="00A1094A">
        <w:rPr>
          <w:rFonts w:ascii="Times New Roman" w:hAnsi="Times New Roman"/>
          <w:b/>
          <w:sz w:val="24"/>
          <w:szCs w:val="24"/>
          <w:lang w:val="sq-AL"/>
        </w:rPr>
        <w:t>B. Ankimi nr. 33151/11: Kreka</w:t>
      </w:r>
    </w:p>
    <w:p w:rsidR="00035AFA" w:rsidRPr="00A1094A" w:rsidRDefault="00035AFA" w:rsidP="00035AFA">
      <w:pPr>
        <w:pStyle w:val="NoSpacing"/>
        <w:spacing w:line="276" w:lineRule="auto"/>
        <w:jc w:val="both"/>
        <w:rPr>
          <w:rFonts w:ascii="Times New Roman" w:hAnsi="Times New Roman"/>
          <w:b/>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Më 15 Shtator 1995, Komisioni i Korçës njohu, midis të tjerave, të drejtat e ankuesve mbi një sipërfaqe toke, me përmasën prej 2,800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nga e cila u rikthye 300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Duke qenë se sipërfaqja e mbetur e tokës prej 2,500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e cila ishte e pozicionuar brenda kufijve të fshatit dhe ishte arë, ishte e zënë, ankuesi dhe trashëgimtarët e tjerë do të kompensoheshin me obligacion shtetëror, në rast se objektet e pozicionuara në sipërfaqen e tokës nuk do të privatizoheshin. Komisioni deklaroi se ankuesit i përkiste një e gjashta e tokës.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Më 21 Dhjetor 1998, Komisioni i Korçës njohu, midis të tjerave, të drejtat e ankuesve mbi një tjetër arë dhe një tokë kullotë me sipërfaqe prej 19,796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Duke qenë se ara dhe kullota ishin të zëna, ankuesi do të kompensohej në obligacione shtetërore të </w:t>
      </w:r>
      <w:r w:rsidR="00700F3A" w:rsidRPr="00A1094A">
        <w:rPr>
          <w:rFonts w:ascii="Times New Roman" w:hAnsi="Times New Roman"/>
          <w:sz w:val="24"/>
          <w:szCs w:val="24"/>
          <w:lang w:val="sq-AL"/>
        </w:rPr>
        <w:t>barasvlershme</w:t>
      </w:r>
      <w:r w:rsidRPr="00A1094A">
        <w:rPr>
          <w:rFonts w:ascii="Times New Roman" w:hAnsi="Times New Roman"/>
          <w:sz w:val="24"/>
          <w:szCs w:val="24"/>
          <w:lang w:val="sq-AL"/>
        </w:rPr>
        <w:t xml:space="preserve"> në shumën financiare prej 36,890 TË GJITHA.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Deri më sot nuk është paguar asnjë kompensim.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spacing w:line="276" w:lineRule="auto"/>
        <w:jc w:val="both"/>
        <w:rPr>
          <w:rFonts w:ascii="Times New Roman" w:hAnsi="Times New Roman"/>
          <w:b/>
          <w:sz w:val="24"/>
          <w:szCs w:val="24"/>
          <w:lang w:val="sq-AL"/>
        </w:rPr>
      </w:pPr>
      <w:r w:rsidRPr="00A1094A">
        <w:rPr>
          <w:rFonts w:ascii="Times New Roman" w:hAnsi="Times New Roman"/>
          <w:b/>
          <w:sz w:val="24"/>
          <w:szCs w:val="24"/>
          <w:lang w:val="sq-AL"/>
        </w:rPr>
        <w:t>C. Ankimi nr. 33823/11: Tahiri</w:t>
      </w:r>
    </w:p>
    <w:p w:rsidR="00035AFA" w:rsidRPr="00A1094A" w:rsidRDefault="00035AFA" w:rsidP="00035AFA">
      <w:pPr>
        <w:pStyle w:val="NoSpacing"/>
        <w:spacing w:line="276" w:lineRule="auto"/>
        <w:jc w:val="both"/>
        <w:rPr>
          <w:rFonts w:ascii="Times New Roman" w:hAnsi="Times New Roman"/>
          <w:b/>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Më 10 Prill 1996, Komisioni i Tiranës njohu, midis të tjerave, të drejtën e ankuesit për pronë të trashëguar mbi një sipërfaqe toke më përmasën 766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nga e cila u kthye 94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Duke qenë se pjesa e mbetur e tokës me sipërfaqe 672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ishte e zënë, ankuesi dhe trashëgimtarët e tjerë do të kompensoheshin në një nga mënyrat e parashikuara me ligj.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Deri më sot nuk është paguar asnjë kompensim.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700F3A" w:rsidP="00035AFA">
      <w:pPr>
        <w:pStyle w:val="NoSpacing"/>
        <w:spacing w:line="276" w:lineRule="auto"/>
        <w:jc w:val="both"/>
        <w:rPr>
          <w:rFonts w:ascii="Times New Roman" w:hAnsi="Times New Roman"/>
          <w:b/>
          <w:sz w:val="24"/>
          <w:szCs w:val="24"/>
          <w:lang w:val="sq-AL"/>
        </w:rPr>
      </w:pPr>
      <w:r>
        <w:rPr>
          <w:rFonts w:ascii="Times New Roman" w:hAnsi="Times New Roman"/>
          <w:b/>
          <w:sz w:val="24"/>
          <w:szCs w:val="24"/>
          <w:lang w:val="sq-AL"/>
        </w:rPr>
        <w:t xml:space="preserve">D. </w:t>
      </w:r>
      <w:r w:rsidR="00035AFA" w:rsidRPr="00A1094A">
        <w:rPr>
          <w:rFonts w:ascii="Times New Roman" w:hAnsi="Times New Roman"/>
          <w:b/>
          <w:sz w:val="24"/>
          <w:szCs w:val="24"/>
          <w:lang w:val="sq-AL"/>
        </w:rPr>
        <w:t>Ankimi nr. 46103/11: Theodhosi</w:t>
      </w:r>
    </w:p>
    <w:p w:rsidR="00035AFA" w:rsidRPr="00A1094A" w:rsidRDefault="00035AFA" w:rsidP="00035AFA">
      <w:pPr>
        <w:pStyle w:val="NoSpacing"/>
        <w:spacing w:line="276" w:lineRule="auto"/>
        <w:jc w:val="both"/>
        <w:rPr>
          <w:rFonts w:ascii="Times New Roman" w:hAnsi="Times New Roman"/>
          <w:b/>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Më 28 Gusht 2000, Komisioni i Kavajës njohu, midis të tjerave, të drejtën e ankuesit mbi pronën e trashëguar, mbi dy sipërfaqe toke të cilat në total kishin përmasën 17,500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Duke qenë se sipërfaqet e tokës ishin të zëna, ankuesi dhe trashëgimtarët e tjerë do të paguheshin në natyrë për sipërfaqen e tokës me përmasën 10,000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dhe në obligacione shtetërore për sipërfaqen tjetër me përmasë 750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Nuk u morr asnjë vendim për të drejtën për kompensim për pjesën e mbetur të tokës me sipërfaqe 6,750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Deri më sot nuk është paguar asnjë kompensim.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spacing w:line="276" w:lineRule="auto"/>
        <w:jc w:val="both"/>
        <w:rPr>
          <w:rFonts w:ascii="Times New Roman" w:hAnsi="Times New Roman"/>
          <w:b/>
          <w:sz w:val="24"/>
          <w:szCs w:val="24"/>
          <w:lang w:val="sq-AL"/>
        </w:rPr>
      </w:pPr>
      <w:r w:rsidRPr="00A1094A">
        <w:rPr>
          <w:rFonts w:ascii="Times New Roman" w:hAnsi="Times New Roman"/>
          <w:b/>
          <w:sz w:val="24"/>
          <w:szCs w:val="24"/>
          <w:lang w:val="sq-AL"/>
        </w:rPr>
        <w:t>E. Ankimi nr. 72334/11: Nishe dhe të Tjerët</w:t>
      </w:r>
    </w:p>
    <w:p w:rsidR="00035AFA" w:rsidRDefault="00035AFA" w:rsidP="00035AFA">
      <w:pPr>
        <w:pStyle w:val="NoSpacing"/>
        <w:spacing w:line="276" w:lineRule="auto"/>
        <w:jc w:val="both"/>
        <w:rPr>
          <w:rFonts w:ascii="Times New Roman" w:hAnsi="Times New Roman"/>
          <w:b/>
          <w:sz w:val="24"/>
          <w:szCs w:val="24"/>
          <w:lang w:val="sq-AL"/>
        </w:rPr>
      </w:pPr>
    </w:p>
    <w:p w:rsidR="00D3205D" w:rsidRPr="00A1094A" w:rsidRDefault="00D3205D" w:rsidP="00D3205D">
      <w:pPr>
        <w:pStyle w:val="NoSpacing"/>
        <w:spacing w:line="276" w:lineRule="auto"/>
        <w:jc w:val="center"/>
        <w:rPr>
          <w:rFonts w:ascii="Times New Roman" w:hAnsi="Times New Roman"/>
          <w:sz w:val="18"/>
          <w:szCs w:val="18"/>
          <w:lang w:val="sq-AL"/>
        </w:rPr>
      </w:pPr>
      <w:r w:rsidRPr="00A1094A">
        <w:rPr>
          <w:rFonts w:ascii="Times New Roman" w:hAnsi="Times New Roman"/>
          <w:sz w:val="18"/>
          <w:szCs w:val="18"/>
          <w:lang w:val="sq-AL"/>
        </w:rPr>
        <w:lastRenderedPageBreak/>
        <w:t>VENDIMI ALIÇKA DHE TË TJERËT KUNDËR SHQIPËRISË</w:t>
      </w:r>
    </w:p>
    <w:p w:rsidR="00D3205D" w:rsidRPr="00A1094A" w:rsidRDefault="00D3205D" w:rsidP="00035AFA">
      <w:pPr>
        <w:pStyle w:val="NoSpacing"/>
        <w:spacing w:line="276" w:lineRule="auto"/>
        <w:jc w:val="both"/>
        <w:rPr>
          <w:rFonts w:ascii="Times New Roman" w:hAnsi="Times New Roman"/>
          <w:b/>
          <w:sz w:val="24"/>
          <w:szCs w:val="24"/>
          <w:lang w:val="sq-AL"/>
        </w:rPr>
      </w:pPr>
    </w:p>
    <w:p w:rsidR="00035AFA" w:rsidRPr="00D3205D" w:rsidRDefault="00035AFA" w:rsidP="00D3205D">
      <w:pPr>
        <w:pStyle w:val="NoSpacing"/>
        <w:numPr>
          <w:ilvl w:val="0"/>
          <w:numId w:val="1"/>
        </w:numPr>
        <w:spacing w:line="276" w:lineRule="auto"/>
        <w:jc w:val="both"/>
        <w:rPr>
          <w:rFonts w:ascii="Times New Roman" w:hAnsi="Times New Roman"/>
          <w:sz w:val="24"/>
          <w:szCs w:val="24"/>
          <w:lang w:val="sq-AL"/>
        </w:rPr>
      </w:pPr>
      <w:r w:rsidRPr="00D3205D">
        <w:rPr>
          <w:rFonts w:ascii="Times New Roman" w:hAnsi="Times New Roman"/>
          <w:sz w:val="24"/>
          <w:szCs w:val="24"/>
          <w:lang w:val="sq-AL"/>
        </w:rPr>
        <w:t>Më 13 Dhjetor 1996, Komisioni i Devollit njohu të drejtat e ankuesve për pronën e trashëguar mbi një sipërfaqe toke me përmasën 27,200 m</w:t>
      </w:r>
      <w:r w:rsidRPr="00D3205D">
        <w:rPr>
          <w:rFonts w:ascii="Times New Roman" w:hAnsi="Times New Roman"/>
          <w:sz w:val="24"/>
          <w:szCs w:val="24"/>
          <w:vertAlign w:val="superscript"/>
          <w:lang w:val="sq-AL"/>
        </w:rPr>
        <w:t>2</w:t>
      </w:r>
      <w:r w:rsidRPr="00D3205D">
        <w:rPr>
          <w:rFonts w:ascii="Times New Roman" w:hAnsi="Times New Roman"/>
          <w:sz w:val="24"/>
          <w:szCs w:val="24"/>
          <w:lang w:val="sq-AL"/>
        </w:rPr>
        <w:t xml:space="preserve">. Ankuesve do t’iu akordohej kompensim me anë të obligacioneve shtetërore në shumën prej 367,000.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Deri më sot nuk është paguar asnjë kompensim.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spacing w:line="276" w:lineRule="auto"/>
        <w:jc w:val="both"/>
        <w:rPr>
          <w:rFonts w:ascii="Times New Roman" w:hAnsi="Times New Roman"/>
          <w:b/>
          <w:sz w:val="24"/>
          <w:szCs w:val="24"/>
          <w:lang w:val="sq-AL"/>
        </w:rPr>
      </w:pPr>
      <w:r w:rsidRPr="00A1094A">
        <w:rPr>
          <w:rFonts w:ascii="Times New Roman" w:hAnsi="Times New Roman"/>
          <w:b/>
          <w:sz w:val="24"/>
          <w:szCs w:val="24"/>
          <w:lang w:val="sq-AL"/>
        </w:rPr>
        <w:t>F. Ankimi nr. 78960/11: Benussi</w:t>
      </w:r>
    </w:p>
    <w:p w:rsidR="00035AFA" w:rsidRPr="00A1094A" w:rsidRDefault="00035AFA" w:rsidP="00035AFA">
      <w:pPr>
        <w:pStyle w:val="NoSpacing"/>
        <w:spacing w:line="276" w:lineRule="auto"/>
        <w:jc w:val="both"/>
        <w:rPr>
          <w:rFonts w:ascii="Times New Roman" w:hAnsi="Times New Roman"/>
          <w:b/>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Më 23 Qershor 1995, Komisioni i Tiranës njohu të drejtën e ankuesit për pronën e trashëguar mbi një sipërfaqe toke me përmasat 836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nga e cila u rikthye 513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Duke qenë se pjesa e mbetur e tokës ishte e zënë, ankuesi do të kompensohej në një nga mënyrat e parashikuara me ligj.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Më 17 Mars 2008, </w:t>
      </w:r>
      <w:r w:rsidR="00700F3A" w:rsidRPr="00A1094A">
        <w:rPr>
          <w:rFonts w:ascii="Times New Roman" w:hAnsi="Times New Roman"/>
          <w:sz w:val="24"/>
          <w:szCs w:val="24"/>
          <w:lang w:val="sq-AL"/>
        </w:rPr>
        <w:t>Agjencia</w:t>
      </w:r>
      <w:r w:rsidRPr="00A1094A">
        <w:rPr>
          <w:rFonts w:ascii="Times New Roman" w:hAnsi="Times New Roman"/>
          <w:sz w:val="24"/>
          <w:szCs w:val="24"/>
          <w:lang w:val="sq-AL"/>
        </w:rPr>
        <w:t xml:space="preserve"> për Kthimin dhe Kompensimin e Pronave ndryshoi pjesërisht vendimin e Komisionit dhe vendosi që ankuesi do të kompensohej në një nga mënyrat e parashikuara nga ligji edhe në lidhje me sipërfaqen e tokës prej 513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Deri më sot nuk është paguar asnjë kompensim.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24"/>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LIGJI PËRKATËS VENDAS</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Ligji dhe praktika përkatëse vendase përshkruhen në detaje, </w:t>
      </w:r>
      <w:r w:rsidRPr="00A1094A">
        <w:rPr>
          <w:rFonts w:ascii="Times New Roman" w:hAnsi="Times New Roman"/>
          <w:i/>
          <w:sz w:val="24"/>
          <w:szCs w:val="24"/>
          <w:lang w:val="sq-AL"/>
        </w:rPr>
        <w:t xml:space="preserve">inter alia, </w:t>
      </w:r>
      <w:r w:rsidRPr="00A1094A">
        <w:rPr>
          <w:rFonts w:ascii="Times New Roman" w:hAnsi="Times New Roman"/>
          <w:sz w:val="24"/>
          <w:szCs w:val="24"/>
          <w:lang w:val="sq-AL"/>
        </w:rPr>
        <w:t xml:space="preserve">në vendimin </w:t>
      </w:r>
      <w:r w:rsidRPr="00A1094A">
        <w:rPr>
          <w:rFonts w:ascii="Times New Roman" w:hAnsi="Times New Roman"/>
          <w:i/>
          <w:sz w:val="24"/>
          <w:szCs w:val="24"/>
          <w:lang w:val="sq-AL"/>
        </w:rPr>
        <w:t>Ramadhi kundër Shqipërisë</w:t>
      </w:r>
      <w:r w:rsidRPr="00A1094A">
        <w:rPr>
          <w:rFonts w:ascii="Times New Roman" w:hAnsi="Times New Roman"/>
          <w:sz w:val="24"/>
          <w:szCs w:val="24"/>
          <w:lang w:val="sq-AL"/>
        </w:rPr>
        <w:t xml:space="preserve"> (nr. 38222/02, 13 Nëntor 2007); </w:t>
      </w:r>
      <w:r w:rsidRPr="00A1094A">
        <w:rPr>
          <w:rFonts w:ascii="Times New Roman" w:hAnsi="Times New Roman"/>
          <w:i/>
          <w:sz w:val="24"/>
          <w:szCs w:val="24"/>
          <w:lang w:val="sq-AL"/>
        </w:rPr>
        <w:t>Manushaqe Puto dhe të tjerët kundër Shqipërisë</w:t>
      </w:r>
      <w:r w:rsidRPr="00A1094A">
        <w:rPr>
          <w:rFonts w:ascii="Times New Roman" w:hAnsi="Times New Roman"/>
          <w:sz w:val="24"/>
          <w:szCs w:val="24"/>
          <w:lang w:val="sq-AL"/>
        </w:rPr>
        <w:t xml:space="preserve"> (nr. 604/07, 43628/07, 46684/07 dhe 34770/09, §§ 23-53, 31 Korrik 2012) dhe i kohëve të fundit, </w:t>
      </w:r>
      <w:r w:rsidRPr="00A1094A">
        <w:rPr>
          <w:rFonts w:ascii="Times New Roman" w:hAnsi="Times New Roman"/>
          <w:i/>
          <w:sz w:val="24"/>
          <w:szCs w:val="24"/>
          <w:lang w:val="sq-AL"/>
        </w:rPr>
        <w:t>Sharra dhe të tjerët kundër Shqipërisë</w:t>
      </w:r>
      <w:r w:rsidRPr="00A1094A">
        <w:rPr>
          <w:rFonts w:ascii="Times New Roman" w:hAnsi="Times New Roman"/>
          <w:sz w:val="24"/>
          <w:szCs w:val="24"/>
          <w:lang w:val="sq-AL"/>
        </w:rPr>
        <w:t xml:space="preserve"> [Komiteti] (nr. 25038/08, 64376/09, 64399/09, 347/10, 1376/10, 4036/10, 12889/10, 20240/10, 29442/10, 29617/10, 33154/11 dhe 2032/12, §§ 33-43, 10 Nëntor 2015).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24"/>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MATERIALET E KËSHILLIT TË EUROPËS</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Materiale të lidhura me çështjen u referuan nga vendimet e kësaj Gjykate në çështjet </w:t>
      </w:r>
      <w:r w:rsidRPr="00A1094A">
        <w:rPr>
          <w:rFonts w:ascii="Times New Roman" w:hAnsi="Times New Roman"/>
          <w:i/>
          <w:sz w:val="24"/>
          <w:szCs w:val="24"/>
          <w:lang w:val="sq-AL"/>
        </w:rPr>
        <w:t>Sharra dhe të Tjerët</w:t>
      </w:r>
      <w:r w:rsidRPr="00A1094A">
        <w:rPr>
          <w:rFonts w:ascii="Times New Roman" w:hAnsi="Times New Roman"/>
          <w:sz w:val="24"/>
          <w:szCs w:val="24"/>
          <w:lang w:val="sq-AL"/>
        </w:rPr>
        <w:t xml:space="preserve">, cituar mësipër, § 44, </w:t>
      </w:r>
      <w:r w:rsidRPr="00A1094A">
        <w:rPr>
          <w:rFonts w:ascii="Times New Roman" w:hAnsi="Times New Roman"/>
          <w:i/>
          <w:sz w:val="24"/>
          <w:szCs w:val="24"/>
          <w:lang w:val="sq-AL"/>
        </w:rPr>
        <w:t>Metalla dhe të Tjerët kundër Shqipërisë</w:t>
      </w:r>
      <w:r w:rsidRPr="00A1094A">
        <w:rPr>
          <w:rFonts w:ascii="Times New Roman" w:hAnsi="Times New Roman"/>
          <w:sz w:val="24"/>
          <w:szCs w:val="24"/>
          <w:lang w:val="sq-AL"/>
        </w:rPr>
        <w:t xml:space="preserve"> [Komiteti] (nr. 30264/08, 42129/08, 54403/08 dhe 54411/08, §§ 15-17, 16 Korrik 2015); </w:t>
      </w:r>
      <w:r w:rsidRPr="00A1094A">
        <w:rPr>
          <w:rFonts w:ascii="Times New Roman" w:hAnsi="Times New Roman"/>
          <w:i/>
          <w:sz w:val="24"/>
          <w:szCs w:val="24"/>
          <w:lang w:val="sq-AL"/>
        </w:rPr>
        <w:t>Siliqi dhe të Tjerët kundër Shqipërisë</w:t>
      </w:r>
      <w:r w:rsidRPr="00A1094A">
        <w:rPr>
          <w:rFonts w:ascii="Times New Roman" w:hAnsi="Times New Roman"/>
          <w:sz w:val="24"/>
          <w:szCs w:val="24"/>
          <w:lang w:val="sq-AL"/>
        </w:rPr>
        <w:t xml:space="preserve"> [Komiteti] (nr. 37295/05 dhe 42228/05, §§ 12-13, 10 Maj 2015); dhe </w:t>
      </w:r>
      <w:r w:rsidRPr="00A1094A">
        <w:rPr>
          <w:rFonts w:ascii="Times New Roman" w:hAnsi="Times New Roman"/>
          <w:i/>
          <w:sz w:val="24"/>
          <w:szCs w:val="24"/>
          <w:lang w:val="sq-AL"/>
        </w:rPr>
        <w:t>Karagjozi dhe të Tjerët kundër Shqipërisë</w:t>
      </w:r>
      <w:r w:rsidRPr="00A1094A">
        <w:rPr>
          <w:rFonts w:ascii="Times New Roman" w:hAnsi="Times New Roman"/>
          <w:sz w:val="24"/>
          <w:szCs w:val="24"/>
          <w:lang w:val="sq-AL"/>
        </w:rPr>
        <w:t xml:space="preserve"> [Komiteti] (nr. 25408/06, 37419/06, 49121/06, 150</w:t>
      </w:r>
      <w:r w:rsidR="00E25C5C">
        <w:rPr>
          <w:rFonts w:ascii="Times New Roman" w:hAnsi="Times New Roman"/>
          <w:sz w:val="24"/>
          <w:szCs w:val="24"/>
          <w:lang w:val="sq-AL"/>
        </w:rPr>
        <w:t>4/07, 19772/07, 46685/07, 49411/</w:t>
      </w:r>
      <w:r w:rsidRPr="00A1094A">
        <w:rPr>
          <w:rFonts w:ascii="Times New Roman" w:hAnsi="Times New Roman"/>
          <w:sz w:val="24"/>
          <w:szCs w:val="24"/>
          <w:lang w:val="sq-AL"/>
        </w:rPr>
        <w:t>07, 27242/08, 61912/08 dhe 15075/09, §§ 36-38, 8 Prill 2014).</w:t>
      </w:r>
    </w:p>
    <w:p w:rsidR="00E25C5C" w:rsidRDefault="00E25C5C" w:rsidP="00E25C5C">
      <w:pPr>
        <w:pStyle w:val="NoSpacing"/>
        <w:spacing w:line="276" w:lineRule="auto"/>
        <w:jc w:val="both"/>
        <w:rPr>
          <w:rFonts w:ascii="Times New Roman" w:hAnsi="Times New Roman"/>
          <w:sz w:val="24"/>
          <w:szCs w:val="24"/>
          <w:lang w:val="sq-AL"/>
        </w:rPr>
      </w:pPr>
    </w:p>
    <w:p w:rsidR="00D3205D" w:rsidRDefault="00D3205D" w:rsidP="00E25C5C">
      <w:pPr>
        <w:pStyle w:val="NoSpacing"/>
        <w:spacing w:line="276" w:lineRule="auto"/>
        <w:jc w:val="both"/>
        <w:rPr>
          <w:rFonts w:ascii="Times New Roman" w:hAnsi="Times New Roman"/>
          <w:sz w:val="24"/>
          <w:szCs w:val="24"/>
          <w:lang w:val="sq-AL"/>
        </w:rPr>
      </w:pPr>
    </w:p>
    <w:p w:rsidR="00D3205D" w:rsidRPr="00A1094A" w:rsidRDefault="00D3205D" w:rsidP="00D3205D">
      <w:pPr>
        <w:pStyle w:val="NoSpacing"/>
        <w:spacing w:line="276" w:lineRule="auto"/>
        <w:jc w:val="center"/>
        <w:rPr>
          <w:rFonts w:ascii="Times New Roman" w:hAnsi="Times New Roman"/>
          <w:sz w:val="18"/>
          <w:szCs w:val="18"/>
          <w:lang w:val="sq-AL"/>
        </w:rPr>
      </w:pPr>
      <w:r w:rsidRPr="00A1094A">
        <w:rPr>
          <w:rFonts w:ascii="Times New Roman" w:hAnsi="Times New Roman"/>
          <w:sz w:val="18"/>
          <w:szCs w:val="18"/>
          <w:lang w:val="sq-AL"/>
        </w:rPr>
        <w:lastRenderedPageBreak/>
        <w:t>VENDIMI ALIÇKA DHE TË TJERËT KUNDËR SHQIPËRISË</w:t>
      </w:r>
    </w:p>
    <w:p w:rsidR="00D3205D" w:rsidRDefault="00D3205D" w:rsidP="00E25C5C">
      <w:pPr>
        <w:pStyle w:val="NoSpacing"/>
        <w:spacing w:line="276" w:lineRule="auto"/>
        <w:jc w:val="both"/>
        <w:rPr>
          <w:rFonts w:ascii="Times New Roman" w:hAnsi="Times New Roman"/>
          <w:sz w:val="24"/>
          <w:szCs w:val="24"/>
          <w:lang w:val="sq-AL"/>
        </w:rPr>
      </w:pPr>
    </w:p>
    <w:p w:rsidR="00E25C5C" w:rsidRPr="00A1094A" w:rsidRDefault="00E25C5C" w:rsidP="00E25C5C">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 xml:space="preserve">LIGJI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39"/>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BASHKIMI I ANKIMEVE</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Duke qenë se të gjitha ankimet ngrenë të njëjtën çështje, Gjykata vendos se ato duhen bashkuar sipas Rregullit 42 § 1 të Rregullores së Gjykatës.</w:t>
      </w:r>
      <w:r w:rsidR="00DF3BF7">
        <w:rPr>
          <w:rFonts w:ascii="Times New Roman" w:hAnsi="Times New Roman"/>
          <w:sz w:val="24"/>
          <w:szCs w:val="24"/>
          <w:lang w:val="sq-AL"/>
        </w:rPr>
        <w:t xml:space="preserve">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39"/>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SHKELJET E PRETENDUARA TË NENEVE 6 § 1 DHE 13 TË KONVENTËS SI EDHE TË NENIT 1 TË PROTOKOLLIT NR. I TË KONVENTËS NË LIDHJE ME MOSZBATIMIN E VENDIMEVE TË FORMËS SË PRERË</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Ankuesit pretendonin se ka pasur një shkelje të Neneve 6 § 1 dhe 13 të Konventës si edhe të Nenit 1 të Protokollit Nr. 1 të Konventës në lidhje me moszbatimin e vendimeve vendase të formës së prerë, të cilat i akordonin atyre kompensim në vend të rikthimit të pronave të tyre. </w:t>
      </w:r>
    </w:p>
    <w:p w:rsidR="00035AFA" w:rsidRPr="00A1094A" w:rsidRDefault="00035AFA" w:rsidP="00035AFA">
      <w:pPr>
        <w:pStyle w:val="NoSpacing"/>
        <w:spacing w:line="276" w:lineRule="auto"/>
        <w:ind w:left="720"/>
        <w:jc w:val="both"/>
        <w:rPr>
          <w:rFonts w:ascii="Times New Roman" w:hAnsi="Times New Roman"/>
          <w:sz w:val="24"/>
          <w:szCs w:val="24"/>
          <w:lang w:val="sq-AL"/>
        </w:rPr>
      </w:pPr>
      <w:r w:rsidRPr="00A1094A">
        <w:rPr>
          <w:rFonts w:ascii="Times New Roman" w:hAnsi="Times New Roman"/>
          <w:sz w:val="24"/>
          <w:szCs w:val="24"/>
          <w:lang w:val="sq-AL"/>
        </w:rPr>
        <w:t xml:space="preserve">Neni 6 § 1 i Konventës, për sa ka të bëjë me çështjen, parashikon si më poshtë: </w:t>
      </w:r>
    </w:p>
    <w:p w:rsidR="00035AFA" w:rsidRPr="00A1094A" w:rsidRDefault="00035AFA" w:rsidP="00035AFA">
      <w:pPr>
        <w:pStyle w:val="NoSpacing"/>
        <w:spacing w:line="276" w:lineRule="auto"/>
        <w:ind w:left="720"/>
        <w:jc w:val="both"/>
        <w:rPr>
          <w:rFonts w:ascii="Times New Roman" w:hAnsi="Times New Roman"/>
          <w:sz w:val="24"/>
          <w:szCs w:val="24"/>
          <w:lang w:val="sq-AL"/>
        </w:rPr>
      </w:pPr>
    </w:p>
    <w:p w:rsidR="00035AFA" w:rsidRPr="00A1094A" w:rsidRDefault="00035AFA" w:rsidP="00035AFA">
      <w:pPr>
        <w:pStyle w:val="NoSpacing"/>
        <w:spacing w:line="276" w:lineRule="auto"/>
        <w:ind w:left="720"/>
        <w:jc w:val="both"/>
        <w:rPr>
          <w:rFonts w:ascii="Times New Roman" w:hAnsi="Times New Roman"/>
          <w:sz w:val="24"/>
          <w:szCs w:val="24"/>
          <w:lang w:val="sq-AL"/>
        </w:rPr>
      </w:pPr>
      <w:r w:rsidRPr="00A1094A">
        <w:rPr>
          <w:rFonts w:ascii="Times New Roman" w:hAnsi="Times New Roman"/>
          <w:sz w:val="24"/>
          <w:szCs w:val="24"/>
          <w:lang w:val="sq-AL"/>
        </w:rPr>
        <w:t>“</w:t>
      </w:r>
      <w:r w:rsidRPr="00A1094A">
        <w:rPr>
          <w:rFonts w:ascii="Times New Roman" w:hAnsi="Times New Roman"/>
          <w:sz w:val="20"/>
          <w:szCs w:val="20"/>
          <w:lang w:val="sq-AL"/>
        </w:rPr>
        <w:t>Në përcaktimin e të drejtave civile dhe detyrimeve ... çdonjeri ka të drejtën për një seancë... dëgjimore... nga [një] ... tribunal...</w:t>
      </w:r>
      <w:r w:rsidRPr="00A1094A">
        <w:rPr>
          <w:rFonts w:ascii="Times New Roman" w:hAnsi="Times New Roman"/>
          <w:sz w:val="24"/>
          <w:szCs w:val="24"/>
          <w:lang w:val="sq-AL"/>
        </w:rPr>
        <w:t>”</w:t>
      </w:r>
    </w:p>
    <w:p w:rsidR="00035AFA" w:rsidRPr="00A1094A" w:rsidRDefault="00035AFA" w:rsidP="00035AFA">
      <w:pPr>
        <w:pStyle w:val="NoSpacing"/>
        <w:spacing w:line="276" w:lineRule="auto"/>
        <w:ind w:left="720"/>
        <w:jc w:val="both"/>
        <w:rPr>
          <w:rFonts w:ascii="Times New Roman" w:hAnsi="Times New Roman"/>
          <w:sz w:val="24"/>
          <w:szCs w:val="24"/>
          <w:lang w:val="sq-AL"/>
        </w:rPr>
      </w:pPr>
    </w:p>
    <w:p w:rsidR="00035AFA" w:rsidRPr="00A1094A" w:rsidRDefault="00035AFA" w:rsidP="00035AFA">
      <w:pPr>
        <w:pStyle w:val="NoSpacing"/>
        <w:spacing w:line="276" w:lineRule="auto"/>
        <w:ind w:left="720"/>
        <w:jc w:val="both"/>
        <w:rPr>
          <w:rFonts w:ascii="Times New Roman" w:hAnsi="Times New Roman"/>
          <w:sz w:val="24"/>
          <w:szCs w:val="24"/>
          <w:lang w:val="sq-AL"/>
        </w:rPr>
      </w:pPr>
      <w:r w:rsidRPr="00A1094A">
        <w:rPr>
          <w:rFonts w:ascii="Times New Roman" w:hAnsi="Times New Roman"/>
          <w:sz w:val="24"/>
          <w:szCs w:val="24"/>
          <w:lang w:val="sq-AL"/>
        </w:rPr>
        <w:t>Neni 13 i Konventës parashikon si më poshtë:</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spacing w:line="276" w:lineRule="auto"/>
        <w:jc w:val="both"/>
        <w:rPr>
          <w:rFonts w:ascii="Times New Roman" w:hAnsi="Times New Roman"/>
          <w:sz w:val="24"/>
          <w:szCs w:val="24"/>
          <w:lang w:val="sq-AL"/>
        </w:rPr>
      </w:pPr>
      <w:r w:rsidRPr="00A1094A">
        <w:rPr>
          <w:rFonts w:ascii="Times New Roman" w:hAnsi="Times New Roman"/>
          <w:sz w:val="20"/>
          <w:szCs w:val="20"/>
          <w:lang w:val="sq-AL"/>
        </w:rPr>
        <w:t>“Çdonjëri të drejtat dhe liritë e të cilit, siç parashikohen në Konventë, janë thyer, do të përfitojë një kompensim efektiv përpara një autoriteti kombëtar, pavarësisht faktit se thyerja mund të jetë bërë nga persona me një pozicion zyrtar.”</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Neni 1 i Protokollit Nr. 1 i Konventës parashikon si më poshtë: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spacing w:line="276" w:lineRule="auto"/>
        <w:jc w:val="both"/>
        <w:rPr>
          <w:rFonts w:ascii="Times New Roman" w:hAnsi="Times New Roman"/>
          <w:sz w:val="20"/>
          <w:szCs w:val="20"/>
          <w:lang w:val="sq-AL"/>
        </w:rPr>
      </w:pPr>
      <w:r w:rsidRPr="00A1094A">
        <w:rPr>
          <w:rFonts w:ascii="Times New Roman" w:hAnsi="Times New Roman"/>
          <w:sz w:val="24"/>
          <w:szCs w:val="24"/>
          <w:lang w:val="sq-AL"/>
        </w:rPr>
        <w:t>“</w:t>
      </w:r>
      <w:r w:rsidRPr="00A1094A">
        <w:rPr>
          <w:rFonts w:ascii="Times New Roman" w:hAnsi="Times New Roman"/>
          <w:sz w:val="20"/>
          <w:szCs w:val="20"/>
          <w:lang w:val="sq-AL"/>
        </w:rPr>
        <w:t xml:space="preserve">Çdo person fizik ose juridik ka të drejtën e gëzimit paqësor të pasurisë së tij. Askush nuk mund të privohet nga prona e tij, përveçëse për arsye të interesit publik dhe për kushtet e parashikuara nga ligji dhe nga parimet e përgjithshme të së drejtës ndërkombëtare. </w:t>
      </w:r>
    </w:p>
    <w:p w:rsidR="00035AFA" w:rsidRPr="00A1094A" w:rsidRDefault="00035AFA" w:rsidP="00035AFA">
      <w:pPr>
        <w:pStyle w:val="NoSpacing"/>
        <w:spacing w:line="276" w:lineRule="auto"/>
        <w:jc w:val="both"/>
        <w:rPr>
          <w:rFonts w:ascii="Times New Roman" w:hAnsi="Times New Roman"/>
          <w:sz w:val="20"/>
          <w:szCs w:val="20"/>
          <w:lang w:val="sq-AL"/>
        </w:rPr>
      </w:pPr>
    </w:p>
    <w:p w:rsidR="00035AFA" w:rsidRPr="00A1094A" w:rsidRDefault="00035AFA" w:rsidP="00035AFA">
      <w:pPr>
        <w:pStyle w:val="NoSpacing"/>
        <w:spacing w:line="276" w:lineRule="auto"/>
        <w:jc w:val="both"/>
        <w:rPr>
          <w:rFonts w:ascii="Times New Roman" w:hAnsi="Times New Roman"/>
          <w:sz w:val="24"/>
          <w:szCs w:val="24"/>
          <w:lang w:val="sq-AL"/>
        </w:rPr>
      </w:pPr>
      <w:r w:rsidRPr="00A1094A">
        <w:rPr>
          <w:rFonts w:ascii="Times New Roman" w:hAnsi="Times New Roman"/>
          <w:sz w:val="20"/>
          <w:szCs w:val="20"/>
          <w:lang w:val="sq-AL"/>
        </w:rPr>
        <w:t>Megjithatë, dispozitat e mëparshme nuk cënojnë të drejtën e një Shteti për të zbatuar ligje, që ai i çmon të nevojshme për të rregulluar përdorimin e pasurive në përputhje me interesin e përgjithshëm ose për të siguruar pagimin e taksave ose të kontributeve ose të gjobave të tjera.</w:t>
      </w:r>
      <w:r w:rsidRPr="00A1094A">
        <w:rPr>
          <w:rFonts w:ascii="Times New Roman" w:hAnsi="Times New Roman"/>
          <w:sz w:val="24"/>
          <w:szCs w:val="24"/>
          <w:lang w:val="sq-AL"/>
        </w:rPr>
        <w:t>”</w:t>
      </w:r>
    </w:p>
    <w:p w:rsidR="00035AFA" w:rsidRDefault="00035AFA" w:rsidP="00035AFA">
      <w:pPr>
        <w:pStyle w:val="NoSpacing"/>
        <w:spacing w:line="276" w:lineRule="auto"/>
        <w:jc w:val="both"/>
        <w:rPr>
          <w:rFonts w:ascii="Times New Roman" w:hAnsi="Times New Roman"/>
          <w:sz w:val="24"/>
          <w:szCs w:val="24"/>
          <w:lang w:val="sq-AL"/>
        </w:rPr>
      </w:pPr>
    </w:p>
    <w:p w:rsidR="00D3205D" w:rsidRDefault="00D3205D" w:rsidP="00035AFA">
      <w:pPr>
        <w:pStyle w:val="NoSpacing"/>
        <w:spacing w:line="276" w:lineRule="auto"/>
        <w:jc w:val="both"/>
        <w:rPr>
          <w:rFonts w:ascii="Times New Roman" w:hAnsi="Times New Roman"/>
          <w:sz w:val="24"/>
          <w:szCs w:val="24"/>
          <w:lang w:val="sq-AL"/>
        </w:rPr>
      </w:pPr>
    </w:p>
    <w:p w:rsidR="00D3205D" w:rsidRDefault="00D3205D" w:rsidP="00035AFA">
      <w:pPr>
        <w:pStyle w:val="NoSpacing"/>
        <w:spacing w:line="276" w:lineRule="auto"/>
        <w:jc w:val="both"/>
        <w:rPr>
          <w:rFonts w:ascii="Times New Roman" w:hAnsi="Times New Roman"/>
          <w:sz w:val="24"/>
          <w:szCs w:val="24"/>
          <w:lang w:val="sq-AL"/>
        </w:rPr>
      </w:pPr>
    </w:p>
    <w:p w:rsidR="00D3205D" w:rsidRDefault="00D3205D" w:rsidP="00035AFA">
      <w:pPr>
        <w:pStyle w:val="NoSpacing"/>
        <w:spacing w:line="276" w:lineRule="auto"/>
        <w:jc w:val="both"/>
        <w:rPr>
          <w:rFonts w:ascii="Times New Roman" w:hAnsi="Times New Roman"/>
          <w:sz w:val="24"/>
          <w:szCs w:val="24"/>
          <w:lang w:val="sq-AL"/>
        </w:rPr>
      </w:pPr>
    </w:p>
    <w:p w:rsidR="00D3205D" w:rsidRDefault="00D3205D" w:rsidP="00D3205D">
      <w:pPr>
        <w:pStyle w:val="NoSpacing"/>
        <w:spacing w:line="276" w:lineRule="auto"/>
        <w:jc w:val="center"/>
        <w:rPr>
          <w:rFonts w:ascii="Times New Roman" w:hAnsi="Times New Roman"/>
          <w:sz w:val="18"/>
          <w:szCs w:val="18"/>
          <w:lang w:val="sq-AL"/>
        </w:rPr>
      </w:pPr>
    </w:p>
    <w:p w:rsidR="00D3205D" w:rsidRPr="00A1094A" w:rsidRDefault="00D3205D" w:rsidP="00D3205D">
      <w:pPr>
        <w:pStyle w:val="NoSpacing"/>
        <w:spacing w:line="276" w:lineRule="auto"/>
        <w:jc w:val="center"/>
        <w:rPr>
          <w:rFonts w:ascii="Times New Roman" w:hAnsi="Times New Roman"/>
          <w:sz w:val="18"/>
          <w:szCs w:val="18"/>
          <w:lang w:val="sq-AL"/>
        </w:rPr>
      </w:pPr>
      <w:r w:rsidRPr="00A1094A">
        <w:rPr>
          <w:rFonts w:ascii="Times New Roman" w:hAnsi="Times New Roman"/>
          <w:sz w:val="18"/>
          <w:szCs w:val="18"/>
          <w:lang w:val="sq-AL"/>
        </w:rPr>
        <w:t>VENDIMI ALIÇKA DHE TË TJERËT KUNDËR SHQIPËRISË</w:t>
      </w:r>
    </w:p>
    <w:p w:rsidR="00D3205D" w:rsidRPr="00A1094A" w:rsidRDefault="00D3205D" w:rsidP="00035AFA">
      <w:pPr>
        <w:pStyle w:val="NoSpacing"/>
        <w:spacing w:line="276" w:lineRule="auto"/>
        <w:jc w:val="both"/>
        <w:rPr>
          <w:rFonts w:ascii="Times New Roman" w:hAnsi="Times New Roman"/>
          <w:sz w:val="24"/>
          <w:szCs w:val="24"/>
          <w:lang w:val="sq-AL"/>
        </w:rPr>
      </w:pPr>
    </w:p>
    <w:p w:rsidR="00035AFA" w:rsidRPr="00D3205D" w:rsidRDefault="00035AFA" w:rsidP="00D3205D">
      <w:pPr>
        <w:pStyle w:val="NoSpacing"/>
        <w:numPr>
          <w:ilvl w:val="0"/>
          <w:numId w:val="27"/>
        </w:numPr>
        <w:spacing w:line="276" w:lineRule="auto"/>
        <w:jc w:val="both"/>
        <w:rPr>
          <w:rFonts w:ascii="Times New Roman" w:hAnsi="Times New Roman"/>
          <w:sz w:val="24"/>
          <w:szCs w:val="24"/>
          <w:lang w:val="sq-AL"/>
        </w:rPr>
      </w:pPr>
      <w:r w:rsidRPr="00D3205D">
        <w:rPr>
          <w:rFonts w:ascii="Times New Roman" w:hAnsi="Times New Roman"/>
          <w:b/>
          <w:sz w:val="24"/>
          <w:szCs w:val="24"/>
          <w:lang w:val="sq-AL"/>
        </w:rPr>
        <w:t>PRANUESHMËRIA</w:t>
      </w:r>
    </w:p>
    <w:p w:rsidR="00035AFA" w:rsidRPr="00A1094A" w:rsidRDefault="00035AFA" w:rsidP="00035AFA">
      <w:pPr>
        <w:pStyle w:val="NoSpacing"/>
        <w:spacing w:line="276" w:lineRule="auto"/>
        <w:jc w:val="both"/>
        <w:rPr>
          <w:rFonts w:ascii="Times New Roman" w:hAnsi="Times New Roman"/>
          <w:b/>
          <w:sz w:val="24"/>
          <w:szCs w:val="24"/>
          <w:lang w:val="sq-AL"/>
        </w:rPr>
      </w:pPr>
    </w:p>
    <w:p w:rsidR="00035AFA" w:rsidRPr="00A1094A" w:rsidRDefault="00035AFA" w:rsidP="00035AFA">
      <w:pPr>
        <w:pStyle w:val="NoSpacing"/>
        <w:numPr>
          <w:ilvl w:val="0"/>
          <w:numId w:val="28"/>
        </w:numPr>
        <w:spacing w:line="276" w:lineRule="auto"/>
        <w:jc w:val="both"/>
        <w:rPr>
          <w:rFonts w:ascii="Times New Roman" w:hAnsi="Times New Roman"/>
          <w:sz w:val="24"/>
          <w:szCs w:val="24"/>
          <w:lang w:val="sq-AL"/>
        </w:rPr>
      </w:pPr>
      <w:r w:rsidRPr="00A1094A">
        <w:rPr>
          <w:rFonts w:ascii="Times New Roman" w:hAnsi="Times New Roman"/>
          <w:i/>
          <w:sz w:val="24"/>
          <w:szCs w:val="24"/>
          <w:lang w:val="sq-AL"/>
        </w:rPr>
        <w:t>Në lidhje me ankimin nr. 33151/11</w:t>
      </w:r>
    </w:p>
    <w:p w:rsidR="00035AFA" w:rsidRPr="00A1094A" w:rsidRDefault="00035AFA" w:rsidP="00035AFA">
      <w:pPr>
        <w:pStyle w:val="NoSpacing"/>
        <w:spacing w:line="276" w:lineRule="auto"/>
        <w:jc w:val="both"/>
        <w:rPr>
          <w:rFonts w:ascii="Times New Roman" w:hAnsi="Times New Roman"/>
          <w:i/>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Pakënaqësia e ankuesit për moszbatimin e vendimit të Komisionit në lidhje me sipërfaqen e tokës me përmasë 300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është e pabazuar. Për këtë arsye, Gjykata e deklaron këtë ankesë të pabazuar dhe e rrëzon bazuar në Nenin 35 §§ 3 (a) dhe 4 të Konventës.</w:t>
      </w:r>
      <w:r w:rsidR="00DF3BF7">
        <w:rPr>
          <w:rFonts w:ascii="Times New Roman" w:hAnsi="Times New Roman"/>
          <w:sz w:val="24"/>
          <w:szCs w:val="24"/>
          <w:lang w:val="sq-AL"/>
        </w:rPr>
        <w:t xml:space="preserve">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28"/>
        </w:numPr>
        <w:spacing w:line="276" w:lineRule="auto"/>
        <w:jc w:val="both"/>
        <w:rPr>
          <w:rFonts w:ascii="Times New Roman" w:hAnsi="Times New Roman"/>
          <w:i/>
          <w:sz w:val="24"/>
          <w:szCs w:val="24"/>
          <w:lang w:val="sq-AL"/>
        </w:rPr>
      </w:pPr>
      <w:r w:rsidRPr="00A1094A">
        <w:rPr>
          <w:rFonts w:ascii="Times New Roman" w:hAnsi="Times New Roman"/>
          <w:i/>
          <w:sz w:val="24"/>
          <w:szCs w:val="24"/>
          <w:lang w:val="sq-AL"/>
        </w:rPr>
        <w:t>Në lidhje me ankimin nr. 46103/11</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Ankuesja shprehu pakënaqësinë</w:t>
      </w:r>
      <w:r w:rsidR="00DF3BF7">
        <w:rPr>
          <w:rFonts w:ascii="Times New Roman" w:hAnsi="Times New Roman"/>
          <w:sz w:val="24"/>
          <w:szCs w:val="24"/>
          <w:lang w:val="sq-AL"/>
        </w:rPr>
        <w:t xml:space="preserve"> </w:t>
      </w:r>
      <w:r w:rsidRPr="00A1094A">
        <w:rPr>
          <w:rFonts w:ascii="Times New Roman" w:hAnsi="Times New Roman"/>
          <w:sz w:val="24"/>
          <w:szCs w:val="24"/>
          <w:lang w:val="sq-AL"/>
        </w:rPr>
        <w:t>për mungesën e kompensimit në lidhje me sipërfaqen e tokës me përmasë 6,750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(shiko paragrafin 12 mësipër). Gjykata vëren se në mungesë të njohjes të së drejtës për kompensim nga Komisioni për atë sipërfaqe toke, ankuesja nuk mund të argumentojë se ka një “kërkesë” sipas kuptimit të Nenit 1 të Protokollit Nr. 1 të Konventës. Gjykata e deklaron këtë ankesë të papajtueshme </w:t>
      </w:r>
      <w:r w:rsidRPr="00A1094A">
        <w:rPr>
          <w:rFonts w:ascii="Times New Roman" w:hAnsi="Times New Roman"/>
          <w:i/>
          <w:sz w:val="24"/>
          <w:szCs w:val="24"/>
          <w:lang w:val="sq-AL"/>
        </w:rPr>
        <w:t>ratione materiae</w:t>
      </w:r>
      <w:r w:rsidRPr="00A1094A">
        <w:rPr>
          <w:rFonts w:ascii="Times New Roman" w:hAnsi="Times New Roman"/>
          <w:sz w:val="24"/>
          <w:szCs w:val="24"/>
          <w:lang w:val="sq-AL"/>
        </w:rPr>
        <w:t xml:space="preserve"> dhe e kundërshton në përputhje me Nenin 35 §§ 3 (a) dhe 4 të Konventës.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28"/>
        </w:numPr>
        <w:spacing w:line="276" w:lineRule="auto"/>
        <w:jc w:val="both"/>
        <w:rPr>
          <w:rFonts w:ascii="Times New Roman" w:hAnsi="Times New Roman"/>
          <w:sz w:val="24"/>
          <w:szCs w:val="24"/>
          <w:lang w:val="sq-AL"/>
        </w:rPr>
      </w:pPr>
      <w:r w:rsidRPr="00A1094A">
        <w:rPr>
          <w:rFonts w:ascii="Times New Roman" w:hAnsi="Times New Roman"/>
          <w:i/>
          <w:sz w:val="24"/>
          <w:szCs w:val="24"/>
          <w:lang w:val="sq-AL"/>
        </w:rPr>
        <w:t>Për sa ka të bëjë me ankesat e mbetura</w:t>
      </w:r>
    </w:p>
    <w:p w:rsidR="00035AFA" w:rsidRPr="00A1094A" w:rsidRDefault="00035AFA" w:rsidP="00035AFA">
      <w:pPr>
        <w:pStyle w:val="NoSpacing"/>
        <w:spacing w:line="276" w:lineRule="auto"/>
        <w:jc w:val="both"/>
        <w:rPr>
          <w:rFonts w:ascii="Times New Roman" w:hAnsi="Times New Roman"/>
          <w:i/>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Qeveria nuk ngriti ndonjë kundërshtim në lidhje me pranueshmërinë e ankesave të tjera.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Gjykata vëren se këto ankesa nuk janë të pabazuara, sipas kuptimit të Nenit 35 § 3 (a) të Konventës. Më tej ajo vëren se ato nuk janë të papranueshme për ndonjë shkak tjetër. Për këtë arsye, ato duhen deklaruar të pranueshme.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27"/>
        </w:numPr>
        <w:spacing w:line="276" w:lineRule="auto"/>
        <w:jc w:val="both"/>
        <w:rPr>
          <w:rFonts w:ascii="Times New Roman" w:hAnsi="Times New Roman"/>
          <w:sz w:val="24"/>
          <w:szCs w:val="24"/>
          <w:lang w:val="sq-AL"/>
        </w:rPr>
      </w:pPr>
      <w:r w:rsidRPr="00A1094A">
        <w:rPr>
          <w:rFonts w:ascii="Times New Roman" w:hAnsi="Times New Roman"/>
          <w:b/>
          <w:sz w:val="24"/>
          <w:szCs w:val="24"/>
          <w:lang w:val="sq-AL"/>
        </w:rPr>
        <w:t>Meritat</w:t>
      </w:r>
    </w:p>
    <w:p w:rsidR="00035AFA" w:rsidRPr="00A1094A" w:rsidRDefault="00035AFA" w:rsidP="00035AFA">
      <w:pPr>
        <w:pStyle w:val="NoSpacing"/>
        <w:spacing w:line="276" w:lineRule="auto"/>
        <w:jc w:val="both"/>
        <w:rPr>
          <w:rFonts w:ascii="Times New Roman" w:hAnsi="Times New Roman"/>
          <w:b/>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Qeveria nuk i diskutoi cilësitë e pakënaqësive të ankuesve dhe pranoi se ankimet ishin </w:t>
      </w:r>
      <w:r w:rsidR="00E25C5C">
        <w:rPr>
          <w:rFonts w:ascii="Times New Roman" w:hAnsi="Times New Roman"/>
          <w:sz w:val="24"/>
          <w:szCs w:val="24"/>
          <w:lang w:val="sq-AL"/>
        </w:rPr>
        <w:t>praktikës gjyqësore të mirëpërcaktuar</w:t>
      </w:r>
      <w:r w:rsidRPr="00A1094A">
        <w:rPr>
          <w:rFonts w:ascii="Times New Roman" w:hAnsi="Times New Roman"/>
          <w:sz w:val="24"/>
          <w:szCs w:val="24"/>
          <w:lang w:val="sq-AL"/>
        </w:rPr>
        <w:t xml:space="preserve"> të Gjykatës për vendimin në çështjen</w:t>
      </w:r>
      <w:r w:rsidRPr="00A1094A">
        <w:rPr>
          <w:rFonts w:ascii="Times New Roman" w:hAnsi="Times New Roman"/>
          <w:i/>
          <w:sz w:val="24"/>
          <w:szCs w:val="24"/>
          <w:lang w:val="sq-AL"/>
        </w:rPr>
        <w:t xml:space="preserve"> Manushaqe Puto dhe të Tjerët</w:t>
      </w:r>
      <w:r w:rsidRPr="00A1094A">
        <w:rPr>
          <w:rFonts w:ascii="Times New Roman" w:hAnsi="Times New Roman"/>
          <w:sz w:val="24"/>
          <w:szCs w:val="24"/>
          <w:lang w:val="sq-AL"/>
        </w:rPr>
        <w:t xml:space="preserve">, cituar mësipër. </w:t>
      </w:r>
    </w:p>
    <w:p w:rsidR="00D3205D"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Për sa i përket gjetjeve të saj në çështjet e mëparshme kundër Shqipërisë, për të cilat Qeveria nuk paraqiti ndonjë argument për të </w:t>
      </w:r>
      <w:r w:rsidR="00E25C5C" w:rsidRPr="00A1094A">
        <w:rPr>
          <w:rFonts w:ascii="Times New Roman" w:hAnsi="Times New Roman"/>
          <w:sz w:val="24"/>
          <w:szCs w:val="24"/>
          <w:lang w:val="sq-AL"/>
        </w:rPr>
        <w:t>garantuar</w:t>
      </w:r>
      <w:r w:rsidRPr="00A1094A">
        <w:rPr>
          <w:rFonts w:ascii="Times New Roman" w:hAnsi="Times New Roman"/>
          <w:sz w:val="24"/>
          <w:szCs w:val="24"/>
          <w:lang w:val="sq-AL"/>
        </w:rPr>
        <w:t xml:space="preserve"> distancimin e saj nga to (shiko midis të tjerave, </w:t>
      </w:r>
      <w:r w:rsidRPr="00A1094A">
        <w:rPr>
          <w:rFonts w:ascii="Times New Roman" w:hAnsi="Times New Roman"/>
          <w:i/>
          <w:sz w:val="24"/>
          <w:szCs w:val="24"/>
          <w:lang w:val="sq-AL"/>
        </w:rPr>
        <w:t>Çaush Driza kundër Shqipërisë</w:t>
      </w:r>
      <w:r w:rsidRPr="00A1094A">
        <w:rPr>
          <w:rFonts w:ascii="Times New Roman" w:hAnsi="Times New Roman"/>
          <w:sz w:val="24"/>
          <w:szCs w:val="24"/>
          <w:lang w:val="sq-AL"/>
        </w:rPr>
        <w:t xml:space="preserve">, nr. 10810/05, §§ 87-89 dhe §§ 91-94, 15 Mars 2011; </w:t>
      </w:r>
      <w:r w:rsidRPr="00A1094A">
        <w:rPr>
          <w:rFonts w:ascii="Times New Roman" w:hAnsi="Times New Roman"/>
          <w:i/>
          <w:sz w:val="24"/>
          <w:szCs w:val="24"/>
          <w:lang w:val="sq-AL"/>
        </w:rPr>
        <w:t>Manushaqe Puto dhe të Tjerët</w:t>
      </w:r>
      <w:r w:rsidRPr="00A1094A">
        <w:rPr>
          <w:rFonts w:ascii="Times New Roman" w:hAnsi="Times New Roman"/>
          <w:sz w:val="24"/>
          <w:szCs w:val="24"/>
          <w:lang w:val="sq-AL"/>
        </w:rPr>
        <w:t xml:space="preserve">, cituar mësipër, §§ 93-97 dhe referencat cituar në të; dhe së fundmi </w:t>
      </w:r>
      <w:r w:rsidRPr="00A1094A">
        <w:rPr>
          <w:rFonts w:ascii="Times New Roman" w:hAnsi="Times New Roman"/>
          <w:i/>
          <w:sz w:val="24"/>
          <w:szCs w:val="24"/>
          <w:lang w:val="sq-AL"/>
        </w:rPr>
        <w:t>Sharra dhe të Tjerët</w:t>
      </w:r>
      <w:r w:rsidRPr="00A1094A">
        <w:rPr>
          <w:rFonts w:ascii="Times New Roman" w:hAnsi="Times New Roman"/>
          <w:sz w:val="24"/>
          <w:szCs w:val="24"/>
          <w:lang w:val="sq-AL"/>
        </w:rPr>
        <w:t xml:space="preserve">, cituar mësipër, §§ 49-51; </w:t>
      </w:r>
      <w:r w:rsidRPr="00A1094A">
        <w:rPr>
          <w:rFonts w:ascii="Times New Roman" w:hAnsi="Times New Roman"/>
          <w:i/>
          <w:sz w:val="24"/>
          <w:szCs w:val="24"/>
          <w:lang w:val="sq-AL"/>
        </w:rPr>
        <w:t>Metalla dhe të Tjerët</w:t>
      </w:r>
      <w:r w:rsidRPr="00A1094A">
        <w:rPr>
          <w:rFonts w:ascii="Times New Roman" w:hAnsi="Times New Roman"/>
          <w:sz w:val="24"/>
          <w:szCs w:val="24"/>
          <w:lang w:val="sq-AL"/>
        </w:rPr>
        <w:t xml:space="preserve">, cituar mësipër, §§ 29-31; </w:t>
      </w:r>
      <w:r w:rsidRPr="00A1094A">
        <w:rPr>
          <w:rFonts w:ascii="Times New Roman" w:hAnsi="Times New Roman"/>
          <w:i/>
          <w:sz w:val="24"/>
          <w:szCs w:val="24"/>
          <w:lang w:val="sq-AL"/>
        </w:rPr>
        <w:t>Siliqi dhe të Tjerët</w:t>
      </w:r>
      <w:r w:rsidRPr="00A1094A">
        <w:rPr>
          <w:rFonts w:ascii="Times New Roman" w:hAnsi="Times New Roman"/>
          <w:sz w:val="24"/>
          <w:szCs w:val="24"/>
          <w:lang w:val="sq-AL"/>
        </w:rPr>
        <w:t xml:space="preserve">, cituar mësipër, §§ 19), Gjykata konstaton se moszbatimi i vendimeve vendase të formës së prerë për kaq shumë vite nga ana e autoriteteve vendase, </w:t>
      </w:r>
    </w:p>
    <w:p w:rsidR="00D3205D" w:rsidRPr="00D3205D" w:rsidRDefault="00D3205D" w:rsidP="00D3205D">
      <w:pPr>
        <w:pStyle w:val="NoSpacing"/>
        <w:spacing w:line="276" w:lineRule="auto"/>
        <w:ind w:left="720"/>
        <w:jc w:val="center"/>
        <w:rPr>
          <w:rFonts w:ascii="Times New Roman" w:hAnsi="Times New Roman"/>
          <w:sz w:val="18"/>
          <w:szCs w:val="18"/>
          <w:lang w:val="sq-AL"/>
        </w:rPr>
      </w:pPr>
      <w:r w:rsidRPr="00A1094A">
        <w:rPr>
          <w:rFonts w:ascii="Times New Roman" w:hAnsi="Times New Roman"/>
          <w:sz w:val="18"/>
          <w:szCs w:val="18"/>
          <w:lang w:val="sq-AL"/>
        </w:rPr>
        <w:t>VENDIMI ALIÇKA DHE TË TJERËT KUNDËR SHQIPËRISË</w:t>
      </w:r>
    </w:p>
    <w:p w:rsidR="00D3205D" w:rsidRDefault="00D3205D" w:rsidP="00D3205D">
      <w:pPr>
        <w:pStyle w:val="NoSpacing"/>
        <w:spacing w:line="276" w:lineRule="auto"/>
        <w:ind w:left="720"/>
        <w:jc w:val="both"/>
        <w:rPr>
          <w:rFonts w:ascii="Times New Roman" w:hAnsi="Times New Roman"/>
          <w:sz w:val="24"/>
          <w:szCs w:val="24"/>
          <w:lang w:val="sq-AL"/>
        </w:rPr>
      </w:pPr>
    </w:p>
    <w:p w:rsidR="00035AFA" w:rsidRPr="00A1094A" w:rsidRDefault="00035AFA" w:rsidP="00D3205D">
      <w:pPr>
        <w:pStyle w:val="NoSpacing"/>
        <w:spacing w:line="276" w:lineRule="auto"/>
        <w:ind w:left="720"/>
        <w:jc w:val="both"/>
        <w:rPr>
          <w:rFonts w:ascii="Times New Roman" w:hAnsi="Times New Roman"/>
          <w:sz w:val="24"/>
          <w:szCs w:val="24"/>
          <w:lang w:val="sq-AL"/>
        </w:rPr>
      </w:pPr>
      <w:r w:rsidRPr="00A1094A">
        <w:rPr>
          <w:rFonts w:ascii="Times New Roman" w:hAnsi="Times New Roman"/>
          <w:sz w:val="24"/>
          <w:szCs w:val="24"/>
          <w:lang w:val="sq-AL"/>
        </w:rPr>
        <w:t xml:space="preserve">shkelte të drejtat e ankuesve sipas Nenit 6 § 1 dhe sipas Nenit 1 të Protokollit Nr. 1 të Konventës.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Gjithashtu, Gjykata ar</w:t>
      </w:r>
      <w:r w:rsidR="000A01B4">
        <w:rPr>
          <w:rFonts w:ascii="Times New Roman" w:hAnsi="Times New Roman"/>
          <w:sz w:val="24"/>
          <w:szCs w:val="24"/>
          <w:lang w:val="sq-AL"/>
        </w:rPr>
        <w:t>rin në përfundimin se nuk ka pas</w:t>
      </w:r>
      <w:r w:rsidRPr="00A1094A">
        <w:rPr>
          <w:rFonts w:ascii="Times New Roman" w:hAnsi="Times New Roman"/>
          <w:sz w:val="24"/>
          <w:szCs w:val="24"/>
          <w:lang w:val="sq-AL"/>
        </w:rPr>
        <w:t>ur dhe se vazhdon të mos ketë asnjë kompensim efikas vendas që do të mundësonte një korrigjim të përshtatshëm dhe të mjaftueshëm për mozsbatimin e tejzgjatur të vendimeve vendase të formës së prerë të cilat ako</w:t>
      </w:r>
      <w:r w:rsidR="000A01B4">
        <w:rPr>
          <w:rFonts w:ascii="Times New Roman" w:hAnsi="Times New Roman"/>
          <w:sz w:val="24"/>
          <w:szCs w:val="24"/>
          <w:lang w:val="sq-AL"/>
        </w:rPr>
        <w:t>rdonin kompensim. Kështu, ka pas</w:t>
      </w:r>
      <w:r w:rsidRPr="00A1094A">
        <w:rPr>
          <w:rFonts w:ascii="Times New Roman" w:hAnsi="Times New Roman"/>
          <w:sz w:val="24"/>
          <w:szCs w:val="24"/>
          <w:lang w:val="sq-AL"/>
        </w:rPr>
        <w:t xml:space="preserve">ur një shkelje të Nenit 13 të Konventës (shiko </w:t>
      </w:r>
      <w:r w:rsidR="000A01B4">
        <w:rPr>
          <w:rFonts w:ascii="Times New Roman" w:hAnsi="Times New Roman"/>
          <w:i/>
          <w:sz w:val="24"/>
          <w:szCs w:val="24"/>
          <w:lang w:val="sq-AL"/>
        </w:rPr>
        <w:t>Manushaqe Puto</w:t>
      </w:r>
      <w:r w:rsidRPr="00A1094A">
        <w:rPr>
          <w:rFonts w:ascii="Times New Roman" w:hAnsi="Times New Roman"/>
          <w:i/>
          <w:sz w:val="24"/>
          <w:szCs w:val="24"/>
          <w:lang w:val="sq-AL"/>
        </w:rPr>
        <w:t xml:space="preserve"> dhe të Tjerët</w:t>
      </w:r>
      <w:r w:rsidRPr="00A1094A">
        <w:rPr>
          <w:rFonts w:ascii="Times New Roman" w:hAnsi="Times New Roman"/>
          <w:sz w:val="24"/>
          <w:szCs w:val="24"/>
          <w:lang w:val="sq-AL"/>
        </w:rPr>
        <w:t xml:space="preserve">, cituar mësipër, §§ 72-84 dhe </w:t>
      </w:r>
      <w:r w:rsidR="000A01B4" w:rsidRPr="00A1094A">
        <w:rPr>
          <w:rFonts w:ascii="Times New Roman" w:hAnsi="Times New Roman"/>
          <w:sz w:val="24"/>
          <w:szCs w:val="24"/>
          <w:lang w:val="sq-AL"/>
        </w:rPr>
        <w:t>referencat</w:t>
      </w:r>
      <w:r w:rsidRPr="00A1094A">
        <w:rPr>
          <w:rFonts w:ascii="Times New Roman" w:hAnsi="Times New Roman"/>
          <w:sz w:val="24"/>
          <w:szCs w:val="24"/>
          <w:lang w:val="sq-AL"/>
        </w:rPr>
        <w:t xml:space="preserve"> cituar në të).</w:t>
      </w:r>
    </w:p>
    <w:p w:rsidR="00035AFA" w:rsidRPr="00A1094A" w:rsidRDefault="00035AFA" w:rsidP="00035AFA">
      <w:pPr>
        <w:pStyle w:val="NoSpacing"/>
        <w:spacing w:line="276" w:lineRule="auto"/>
        <w:ind w:left="360"/>
        <w:jc w:val="both"/>
        <w:rPr>
          <w:rFonts w:ascii="Times New Roman" w:hAnsi="Times New Roman"/>
          <w:sz w:val="24"/>
          <w:szCs w:val="24"/>
          <w:lang w:val="sq-AL"/>
        </w:rPr>
      </w:pPr>
    </w:p>
    <w:p w:rsidR="00035AFA" w:rsidRPr="00A1094A" w:rsidRDefault="00035AFA" w:rsidP="00035AFA">
      <w:pPr>
        <w:pStyle w:val="NoSpacing"/>
        <w:numPr>
          <w:ilvl w:val="0"/>
          <w:numId w:val="39"/>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SHKELJE E PRETENDUAR E NENIT 6 § 1 E KONVENTËS NË LIDHJE ME KOHËZGJATJEN E PROCEDIMEVE</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Ankuesit në ankimin no. 78960/11 u ankuan sipas Nenit 6 §1 për kohëzgjatjen e procedurave si rezultat i moszbatimit të vendimeve të Komisionit.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Gjykata vëren se kjo ankesë nuk është e pabazuar sipas interpretimit të Nenit 35 § 3 (a) të Konventës. Më tej ajo vëren se nuk është e papranueshme në ndonjë argument tjetër dhe për këtë arsye e deklaron atë të pranueshëm.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Gjykata argumenton se sipas gjetjeve në paragrafët 28-29 mësipër, çështja e kohëzgjatjes së procedurave duhet të konsiderohet se është përfshirë në çështjen e moszbatimit (shiko, për shembull, </w:t>
      </w:r>
      <w:r w:rsidRPr="00A1094A">
        <w:rPr>
          <w:rFonts w:ascii="Times New Roman" w:hAnsi="Times New Roman"/>
          <w:i/>
          <w:sz w:val="24"/>
          <w:szCs w:val="24"/>
          <w:lang w:val="sq-AL"/>
        </w:rPr>
        <w:t>Kutić kundër Kroacisë</w:t>
      </w:r>
      <w:r w:rsidRPr="00A1094A">
        <w:rPr>
          <w:rFonts w:ascii="Times New Roman" w:hAnsi="Times New Roman"/>
          <w:sz w:val="24"/>
          <w:szCs w:val="24"/>
          <w:lang w:val="sq-AL"/>
        </w:rPr>
        <w:t xml:space="preserve">, nr. 48778/99, § 34, GJEDNJ 2002-II, dhe </w:t>
      </w:r>
      <w:r w:rsidRPr="00A1094A">
        <w:rPr>
          <w:rFonts w:ascii="Times New Roman" w:hAnsi="Times New Roman"/>
          <w:i/>
          <w:sz w:val="24"/>
          <w:szCs w:val="24"/>
          <w:lang w:val="sq-AL"/>
        </w:rPr>
        <w:t xml:space="preserve">Popova kundër Rusisë, </w:t>
      </w:r>
      <w:r w:rsidRPr="00A1094A">
        <w:rPr>
          <w:rFonts w:ascii="Times New Roman" w:hAnsi="Times New Roman"/>
          <w:sz w:val="24"/>
          <w:szCs w:val="24"/>
          <w:lang w:val="sq-AL"/>
        </w:rPr>
        <w:t xml:space="preserve">nr. 23697/02, § 44, 21 Dhjetor 2006). Për këtë arsye, gjykata mendon se nuk është e nevojshme ta shqyrtojë këtë ankesë mëveçantë.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39"/>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ZBATIMI I NENIT 41 TË KONVENTËS</w:t>
      </w:r>
    </w:p>
    <w:p w:rsidR="00035AFA" w:rsidRPr="00A1094A" w:rsidRDefault="00035AFA" w:rsidP="00035AFA">
      <w:pPr>
        <w:pStyle w:val="NoSpacing"/>
        <w:spacing w:line="276" w:lineRule="auto"/>
        <w:ind w:left="360"/>
        <w:jc w:val="both"/>
        <w:rPr>
          <w:rFonts w:ascii="Times New Roman" w:hAnsi="Times New Roman"/>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Neni 41 i Konventës parashikon: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spacing w:line="276" w:lineRule="auto"/>
        <w:jc w:val="both"/>
        <w:rPr>
          <w:rFonts w:ascii="Times New Roman" w:hAnsi="Times New Roman"/>
          <w:sz w:val="24"/>
          <w:szCs w:val="24"/>
          <w:lang w:val="sq-AL"/>
        </w:rPr>
      </w:pPr>
      <w:r w:rsidRPr="00A1094A">
        <w:rPr>
          <w:rFonts w:ascii="Times New Roman" w:hAnsi="Times New Roman"/>
          <w:sz w:val="24"/>
          <w:szCs w:val="24"/>
          <w:lang w:val="sq-AL"/>
        </w:rPr>
        <w:t>“</w:t>
      </w:r>
      <w:r w:rsidRPr="00A1094A">
        <w:rPr>
          <w:rFonts w:ascii="Times New Roman" w:hAnsi="Times New Roman"/>
          <w:sz w:val="20"/>
          <w:szCs w:val="20"/>
          <w:lang w:val="sq-AL"/>
        </w:rPr>
        <w:t>Nëse Gjykata konstaton se ka pasur një shkelje të Konventës ose të Protokolleve në të, dhe nëse ligji i brendshëm i Palës së Lartë Kontraktuese në fjalë lejon që të bëhet vetëm kompensim i pjesshëm, nëse është e nevojshme, Gjykata duhet të ofrojë kompensim të drejtë për palën e dëmtuar.</w:t>
      </w:r>
      <w:r w:rsidRPr="00A1094A">
        <w:rPr>
          <w:rFonts w:ascii="Times New Roman" w:hAnsi="Times New Roman"/>
          <w:sz w:val="24"/>
          <w:szCs w:val="24"/>
          <w:lang w:val="sq-AL"/>
        </w:rPr>
        <w:t>”</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30"/>
        </w:numPr>
        <w:spacing w:line="276" w:lineRule="auto"/>
        <w:jc w:val="both"/>
        <w:rPr>
          <w:rFonts w:ascii="Times New Roman" w:hAnsi="Times New Roman"/>
          <w:sz w:val="24"/>
          <w:szCs w:val="24"/>
          <w:lang w:val="sq-AL"/>
        </w:rPr>
      </w:pPr>
      <w:r w:rsidRPr="00A1094A">
        <w:rPr>
          <w:rFonts w:ascii="Times New Roman" w:hAnsi="Times New Roman"/>
          <w:b/>
          <w:sz w:val="24"/>
          <w:szCs w:val="24"/>
          <w:lang w:val="sq-AL"/>
        </w:rPr>
        <w:t>DËMI</w:t>
      </w:r>
    </w:p>
    <w:p w:rsidR="00035AFA" w:rsidRPr="00A1094A" w:rsidRDefault="00035AFA" w:rsidP="00035AFA">
      <w:pPr>
        <w:pStyle w:val="NoSpacing"/>
        <w:spacing w:line="276" w:lineRule="auto"/>
        <w:jc w:val="both"/>
        <w:rPr>
          <w:rFonts w:ascii="Times New Roman" w:hAnsi="Times New Roman"/>
          <w:b/>
          <w:sz w:val="24"/>
          <w:szCs w:val="24"/>
          <w:lang w:val="sq-AL"/>
        </w:rPr>
      </w:pPr>
    </w:p>
    <w:p w:rsidR="00035AFA" w:rsidRPr="00A1094A" w:rsidRDefault="00035AFA" w:rsidP="00035AFA">
      <w:pPr>
        <w:pStyle w:val="NoSpacing"/>
        <w:numPr>
          <w:ilvl w:val="0"/>
          <w:numId w:val="31"/>
        </w:numPr>
        <w:spacing w:line="276" w:lineRule="auto"/>
        <w:jc w:val="both"/>
        <w:rPr>
          <w:rFonts w:ascii="Times New Roman" w:hAnsi="Times New Roman"/>
          <w:sz w:val="24"/>
          <w:szCs w:val="24"/>
          <w:lang w:val="sq-AL"/>
        </w:rPr>
      </w:pPr>
      <w:r w:rsidRPr="00A1094A">
        <w:rPr>
          <w:rFonts w:ascii="Times New Roman" w:hAnsi="Times New Roman"/>
          <w:i/>
          <w:sz w:val="24"/>
          <w:szCs w:val="24"/>
          <w:lang w:val="sq-AL"/>
        </w:rPr>
        <w:t>Parashtrimet e palëve</w:t>
      </w:r>
    </w:p>
    <w:p w:rsidR="00035AFA" w:rsidRPr="00A1094A" w:rsidRDefault="00035AFA" w:rsidP="00035AFA">
      <w:pPr>
        <w:pStyle w:val="NoSpacing"/>
        <w:spacing w:line="276" w:lineRule="auto"/>
        <w:jc w:val="both"/>
        <w:rPr>
          <w:rFonts w:ascii="Times New Roman" w:hAnsi="Times New Roman"/>
          <w:i/>
          <w:sz w:val="24"/>
          <w:szCs w:val="24"/>
          <w:lang w:val="sq-AL"/>
        </w:rPr>
      </w:pPr>
    </w:p>
    <w:p w:rsidR="00035AFA" w:rsidRPr="00A1094A" w:rsidRDefault="00035AFA" w:rsidP="00035AFA">
      <w:pPr>
        <w:pStyle w:val="NoSpacing"/>
        <w:numPr>
          <w:ilvl w:val="0"/>
          <w:numId w:val="32"/>
        </w:numPr>
        <w:spacing w:line="276" w:lineRule="auto"/>
        <w:jc w:val="both"/>
        <w:rPr>
          <w:rFonts w:ascii="Times New Roman" w:hAnsi="Times New Roman"/>
          <w:sz w:val="24"/>
          <w:szCs w:val="24"/>
          <w:lang w:val="sq-AL"/>
        </w:rPr>
      </w:pPr>
      <w:r w:rsidRPr="00A1094A">
        <w:rPr>
          <w:rFonts w:ascii="Times New Roman" w:hAnsi="Times New Roman"/>
          <w:b/>
          <w:sz w:val="24"/>
          <w:szCs w:val="24"/>
          <w:lang w:val="sq-AL"/>
        </w:rPr>
        <w:t>Ankuesit</w:t>
      </w:r>
    </w:p>
    <w:p w:rsidR="00035AFA" w:rsidRPr="00A1094A" w:rsidRDefault="00035AFA" w:rsidP="00035AFA">
      <w:pPr>
        <w:pStyle w:val="NoSpacing"/>
        <w:spacing w:line="276" w:lineRule="auto"/>
        <w:jc w:val="both"/>
        <w:rPr>
          <w:rFonts w:ascii="Times New Roman" w:hAnsi="Times New Roman"/>
          <w:b/>
          <w:sz w:val="24"/>
          <w:szCs w:val="24"/>
          <w:lang w:val="sq-AL"/>
        </w:rPr>
      </w:pPr>
    </w:p>
    <w:p w:rsidR="00035AFA" w:rsidRPr="00A1094A" w:rsidRDefault="00035AFA" w:rsidP="00035AFA">
      <w:pPr>
        <w:pStyle w:val="NoSpacing"/>
        <w:numPr>
          <w:ilvl w:val="0"/>
          <w:numId w:val="33"/>
        </w:numPr>
        <w:spacing w:line="276" w:lineRule="auto"/>
        <w:jc w:val="both"/>
        <w:rPr>
          <w:rFonts w:ascii="Times New Roman" w:hAnsi="Times New Roman"/>
          <w:sz w:val="24"/>
          <w:szCs w:val="24"/>
          <w:lang w:val="sq-AL"/>
        </w:rPr>
      </w:pPr>
      <w:r w:rsidRPr="00A1094A">
        <w:rPr>
          <w:rFonts w:ascii="Times New Roman" w:hAnsi="Times New Roman"/>
          <w:i/>
          <w:sz w:val="24"/>
          <w:szCs w:val="24"/>
          <w:lang w:val="sq-AL"/>
        </w:rPr>
        <w:t>Vërejtjet e përgjithshme</w:t>
      </w:r>
    </w:p>
    <w:p w:rsidR="00D3205D" w:rsidRDefault="00D3205D" w:rsidP="00D3205D">
      <w:pPr>
        <w:pStyle w:val="NoSpacing"/>
        <w:spacing w:line="276" w:lineRule="auto"/>
        <w:ind w:left="1080"/>
        <w:rPr>
          <w:rFonts w:ascii="Times New Roman" w:hAnsi="Times New Roman"/>
          <w:sz w:val="18"/>
          <w:szCs w:val="18"/>
          <w:lang w:val="sq-AL"/>
        </w:rPr>
      </w:pPr>
    </w:p>
    <w:p w:rsidR="00D3205D" w:rsidRPr="00A1094A" w:rsidRDefault="00D3205D" w:rsidP="00D3205D">
      <w:pPr>
        <w:pStyle w:val="NoSpacing"/>
        <w:spacing w:line="276" w:lineRule="auto"/>
        <w:ind w:left="1080"/>
        <w:jc w:val="center"/>
        <w:rPr>
          <w:rFonts w:ascii="Times New Roman" w:hAnsi="Times New Roman"/>
          <w:sz w:val="18"/>
          <w:szCs w:val="18"/>
          <w:lang w:val="sq-AL"/>
        </w:rPr>
      </w:pPr>
      <w:r w:rsidRPr="00A1094A">
        <w:rPr>
          <w:rFonts w:ascii="Times New Roman" w:hAnsi="Times New Roman"/>
          <w:sz w:val="18"/>
          <w:szCs w:val="18"/>
          <w:lang w:val="sq-AL"/>
        </w:rPr>
        <w:t>VENDIMI ALIÇKA DHE TË TJERËT KUNDËR SHQIPËRISË</w:t>
      </w:r>
    </w:p>
    <w:p w:rsidR="00035AFA" w:rsidRPr="00A1094A" w:rsidRDefault="00035AFA" w:rsidP="00035AFA">
      <w:pPr>
        <w:pStyle w:val="NoSpacing"/>
        <w:spacing w:line="276" w:lineRule="auto"/>
        <w:jc w:val="both"/>
        <w:rPr>
          <w:rFonts w:ascii="Times New Roman" w:hAnsi="Times New Roman"/>
          <w:i/>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Ankuesit bënë të njëjtat parashtrime si ato të përmbledhura në këtë vendim të Gjykatës në çështjen </w:t>
      </w:r>
      <w:r w:rsidRPr="00A1094A">
        <w:rPr>
          <w:rFonts w:ascii="Times New Roman" w:hAnsi="Times New Roman"/>
          <w:i/>
          <w:sz w:val="24"/>
          <w:szCs w:val="24"/>
          <w:lang w:val="sq-AL"/>
        </w:rPr>
        <w:t>Sharra dhe të tjerët</w:t>
      </w:r>
      <w:r w:rsidRPr="00A1094A">
        <w:rPr>
          <w:rFonts w:ascii="Times New Roman" w:hAnsi="Times New Roman"/>
          <w:sz w:val="24"/>
          <w:szCs w:val="24"/>
          <w:lang w:val="sq-AL"/>
        </w:rPr>
        <w:t xml:space="preserve">, cituar mësipër, §§ 57-58.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33"/>
        </w:numPr>
        <w:spacing w:line="276" w:lineRule="auto"/>
        <w:jc w:val="both"/>
        <w:rPr>
          <w:rFonts w:ascii="Times New Roman" w:hAnsi="Times New Roman"/>
          <w:sz w:val="24"/>
          <w:szCs w:val="24"/>
          <w:lang w:val="sq-AL"/>
        </w:rPr>
      </w:pPr>
      <w:r w:rsidRPr="00A1094A">
        <w:rPr>
          <w:rFonts w:ascii="Times New Roman" w:hAnsi="Times New Roman"/>
          <w:i/>
          <w:sz w:val="24"/>
          <w:szCs w:val="24"/>
          <w:lang w:val="sq-AL"/>
        </w:rPr>
        <w:t>Kërkesa specifike në lidhje me secilin aplikim</w:t>
      </w:r>
    </w:p>
    <w:p w:rsidR="00035AFA" w:rsidRPr="00A1094A" w:rsidRDefault="00035AFA" w:rsidP="00035AFA">
      <w:pPr>
        <w:pStyle w:val="NoSpacing"/>
        <w:spacing w:line="276" w:lineRule="auto"/>
        <w:jc w:val="both"/>
        <w:rPr>
          <w:rFonts w:ascii="Times New Roman" w:hAnsi="Times New Roman"/>
          <w:i/>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Ankuesit patën kërkesa në lidhje me dëmin monetar dhe jo monetar, siç është paraqitur në tabelë në Shtojcën 2.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Në lidhje me ankesën nr. 33148/11, mbështetur në raportet e ekspertit, ankuesit kërkuan që të aplikohej një çmim reference prej 5 eurosh për metër katror për tokën bujqësore me sipërfaqe 600,400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dhe një çmim reference prej 7.2 Euro/m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për </w:t>
      </w:r>
      <w:r w:rsidR="000A01B4" w:rsidRPr="00A1094A">
        <w:rPr>
          <w:rFonts w:ascii="Times New Roman" w:hAnsi="Times New Roman"/>
          <w:sz w:val="24"/>
          <w:szCs w:val="24"/>
          <w:lang w:val="sq-AL"/>
        </w:rPr>
        <w:t>sipërfaqen</w:t>
      </w:r>
      <w:r w:rsidRPr="00A1094A">
        <w:rPr>
          <w:rFonts w:ascii="Times New Roman" w:hAnsi="Times New Roman"/>
          <w:sz w:val="24"/>
          <w:szCs w:val="24"/>
          <w:lang w:val="sq-AL"/>
        </w:rPr>
        <w:t xml:space="preserve"> e tokës më përmasë 55,000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Ata kërkuan që të zotëronin një të katërtën e të gjithë pronës.</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Në lidhje me ankimin 33151/11, ankuesi kërkoi që të zbatohej një çmim reference prej 1,800 TË GJITHA/m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për tokën pyjore me sipërfaqe prej 8,300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Ai gjithashtu bëri kërkesë edhe për humbjen e përfitimeve referuar disa pemë</w:t>
      </w:r>
      <w:r w:rsidR="000A01B4">
        <w:rPr>
          <w:rFonts w:ascii="Times New Roman" w:hAnsi="Times New Roman"/>
          <w:sz w:val="24"/>
          <w:szCs w:val="24"/>
          <w:lang w:val="sq-AL"/>
        </w:rPr>
        <w:t>ve</w:t>
      </w:r>
      <w:r w:rsidRPr="00A1094A">
        <w:rPr>
          <w:rFonts w:ascii="Times New Roman" w:hAnsi="Times New Roman"/>
          <w:sz w:val="24"/>
          <w:szCs w:val="24"/>
          <w:lang w:val="sq-AL"/>
        </w:rPr>
        <w:t xml:space="preserve"> arrash. Ai kërkonte të zotëronte një të pestat e të gjithë pronës.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Në lidhje me ankimin nr. 33823/11, ankuesi kërkoi të zbatohej çmimi i referencës prej 24,754 TË GJITHA/m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siç edhe tregohej në hartat</w:t>
      </w:r>
      <w:r w:rsidR="000A01B4">
        <w:rPr>
          <w:rFonts w:ascii="Times New Roman" w:hAnsi="Times New Roman"/>
          <w:sz w:val="24"/>
          <w:szCs w:val="24"/>
          <w:lang w:val="sq-AL"/>
        </w:rPr>
        <w:t xml:space="preserve"> </w:t>
      </w:r>
      <w:r w:rsidRPr="00A1094A">
        <w:rPr>
          <w:rFonts w:ascii="Times New Roman" w:hAnsi="Times New Roman"/>
          <w:sz w:val="24"/>
          <w:szCs w:val="24"/>
          <w:lang w:val="sq-AL"/>
        </w:rPr>
        <w:t xml:space="preserve">e vlerësimit të vitit 2008. Ai nuk bëri ndonjë kërkesë konkrete për pjesën e tij të pronës.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Në lidhje me ankesën nr. 78960/11, ankuesi kërkoi çmimin e referencës 120,000 TË GJITHA/m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siç përcaktohet në hartat e vlerësimit të vitit 2013. Ankuesi kërkonte që ata të zotëronin të gjithë pronën.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Në lidhje me ankimin nr. 46103/11, mbështetur në një raport të ekspertit, ankuesja kërkoi të zbatohej një çmim reference prej 100 Euro/m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Ajo nuk bëri ndonjë kërkesë specifike për pjesën e saj të pronës.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Në lidhje me ankimin nr. 72334/11, mbështetur në një raport të ekspertit, ankuesit kërkuan të aplikohej një çmim reference prej 2,000 TË GJITHA/m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Ata kërkonin që të zotëronin të gjithë pronën.</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32"/>
        </w:numPr>
        <w:spacing w:line="276" w:lineRule="auto"/>
        <w:jc w:val="both"/>
        <w:rPr>
          <w:rFonts w:ascii="Times New Roman" w:hAnsi="Times New Roman"/>
          <w:b/>
          <w:sz w:val="24"/>
          <w:szCs w:val="24"/>
          <w:lang w:val="sq-AL"/>
        </w:rPr>
      </w:pPr>
      <w:r w:rsidRPr="00A1094A">
        <w:rPr>
          <w:rFonts w:ascii="Times New Roman" w:hAnsi="Times New Roman"/>
          <w:b/>
          <w:sz w:val="24"/>
          <w:szCs w:val="24"/>
          <w:lang w:val="sq-AL"/>
        </w:rPr>
        <w:t xml:space="preserve">Qeveria </w:t>
      </w:r>
    </w:p>
    <w:p w:rsidR="00035AFA" w:rsidRPr="00A1094A" w:rsidRDefault="00035AFA" w:rsidP="00035AFA">
      <w:pPr>
        <w:pStyle w:val="NoSpacing"/>
        <w:spacing w:line="276" w:lineRule="auto"/>
        <w:ind w:left="720"/>
        <w:jc w:val="both"/>
        <w:rPr>
          <w:rFonts w:ascii="Times New Roman" w:hAnsi="Times New Roman"/>
          <w:b/>
          <w:sz w:val="24"/>
          <w:szCs w:val="24"/>
          <w:lang w:val="sq-AL"/>
        </w:rPr>
      </w:pPr>
    </w:p>
    <w:p w:rsidR="00035AFA" w:rsidRPr="00A1094A" w:rsidRDefault="00035AFA" w:rsidP="00035AFA">
      <w:pPr>
        <w:pStyle w:val="NoSpacing"/>
        <w:numPr>
          <w:ilvl w:val="0"/>
          <w:numId w:val="34"/>
        </w:numPr>
        <w:spacing w:line="276" w:lineRule="auto"/>
        <w:jc w:val="both"/>
        <w:rPr>
          <w:rFonts w:ascii="Times New Roman" w:hAnsi="Times New Roman"/>
          <w:sz w:val="24"/>
          <w:szCs w:val="24"/>
          <w:lang w:val="sq-AL"/>
        </w:rPr>
      </w:pPr>
      <w:r w:rsidRPr="00A1094A">
        <w:rPr>
          <w:rFonts w:ascii="Times New Roman" w:hAnsi="Times New Roman"/>
          <w:i/>
          <w:sz w:val="24"/>
          <w:szCs w:val="24"/>
          <w:lang w:val="sq-AL"/>
        </w:rPr>
        <w:t>Vërejtje të përgjithshme</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Qeveria bëri të njëjtat parashtrime si ato të përmbledhura në vendimin e kësaj Gjykate në çështjen </w:t>
      </w:r>
      <w:r w:rsidRPr="00A1094A">
        <w:rPr>
          <w:rFonts w:ascii="Times New Roman" w:hAnsi="Times New Roman"/>
          <w:i/>
          <w:sz w:val="24"/>
          <w:szCs w:val="24"/>
          <w:lang w:val="sq-AL"/>
        </w:rPr>
        <w:t xml:space="preserve">Sharra dhe të tjerët, </w:t>
      </w:r>
      <w:r w:rsidRPr="00A1094A">
        <w:rPr>
          <w:rFonts w:ascii="Times New Roman" w:hAnsi="Times New Roman"/>
          <w:sz w:val="24"/>
          <w:szCs w:val="24"/>
          <w:lang w:val="sq-AL"/>
        </w:rPr>
        <w:t xml:space="preserve">cituar mësipër, §§ 69-71. </w:t>
      </w:r>
    </w:p>
    <w:p w:rsidR="00D3205D" w:rsidRDefault="00D3205D" w:rsidP="00D3205D">
      <w:pPr>
        <w:pStyle w:val="NoSpacing"/>
        <w:spacing w:line="276" w:lineRule="auto"/>
        <w:jc w:val="both"/>
        <w:rPr>
          <w:rFonts w:ascii="Times New Roman" w:hAnsi="Times New Roman"/>
          <w:sz w:val="24"/>
          <w:szCs w:val="24"/>
          <w:lang w:val="sq-AL"/>
        </w:rPr>
      </w:pPr>
    </w:p>
    <w:p w:rsidR="00D3205D" w:rsidRDefault="00D3205D" w:rsidP="00D3205D">
      <w:pPr>
        <w:pStyle w:val="NoSpacing"/>
        <w:spacing w:line="276" w:lineRule="auto"/>
        <w:jc w:val="both"/>
        <w:rPr>
          <w:rFonts w:ascii="Times New Roman" w:hAnsi="Times New Roman"/>
          <w:sz w:val="24"/>
          <w:szCs w:val="24"/>
          <w:lang w:val="sq-AL"/>
        </w:rPr>
      </w:pPr>
    </w:p>
    <w:p w:rsidR="00D3205D" w:rsidRDefault="00D3205D" w:rsidP="00D3205D">
      <w:pPr>
        <w:pStyle w:val="NoSpacing"/>
        <w:spacing w:line="276" w:lineRule="auto"/>
        <w:jc w:val="both"/>
        <w:rPr>
          <w:rFonts w:ascii="Times New Roman" w:hAnsi="Times New Roman"/>
          <w:sz w:val="24"/>
          <w:szCs w:val="24"/>
          <w:lang w:val="sq-AL"/>
        </w:rPr>
      </w:pPr>
    </w:p>
    <w:p w:rsidR="00D3205D" w:rsidRDefault="00D3205D" w:rsidP="00D3205D">
      <w:pPr>
        <w:pStyle w:val="NoSpacing"/>
        <w:spacing w:line="276" w:lineRule="auto"/>
        <w:jc w:val="both"/>
        <w:rPr>
          <w:rFonts w:ascii="Times New Roman" w:hAnsi="Times New Roman"/>
          <w:sz w:val="24"/>
          <w:szCs w:val="24"/>
          <w:lang w:val="sq-AL"/>
        </w:rPr>
      </w:pPr>
    </w:p>
    <w:p w:rsidR="00D3205D" w:rsidRPr="00D3205D" w:rsidRDefault="00D3205D" w:rsidP="00D3205D">
      <w:pPr>
        <w:pStyle w:val="NoSpacing"/>
        <w:spacing w:line="276" w:lineRule="auto"/>
        <w:jc w:val="center"/>
        <w:rPr>
          <w:rFonts w:ascii="Times New Roman" w:hAnsi="Times New Roman"/>
          <w:sz w:val="18"/>
          <w:szCs w:val="18"/>
          <w:lang w:val="sq-AL"/>
        </w:rPr>
      </w:pPr>
      <w:r w:rsidRPr="00A1094A">
        <w:rPr>
          <w:rFonts w:ascii="Times New Roman" w:hAnsi="Times New Roman"/>
          <w:sz w:val="18"/>
          <w:szCs w:val="18"/>
          <w:lang w:val="sq-AL"/>
        </w:rPr>
        <w:t>VENDIMI ALIÇKA DHE TË TJERËT KUNDËR SHQIPËRISË</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34"/>
        </w:numPr>
        <w:spacing w:line="276" w:lineRule="auto"/>
        <w:jc w:val="both"/>
        <w:rPr>
          <w:rFonts w:ascii="Times New Roman" w:hAnsi="Times New Roman"/>
          <w:sz w:val="24"/>
          <w:szCs w:val="24"/>
          <w:lang w:val="sq-AL"/>
        </w:rPr>
      </w:pPr>
      <w:r w:rsidRPr="00A1094A">
        <w:rPr>
          <w:rFonts w:ascii="Times New Roman" w:hAnsi="Times New Roman"/>
          <w:i/>
          <w:sz w:val="24"/>
          <w:szCs w:val="24"/>
          <w:lang w:val="sq-AL"/>
        </w:rPr>
        <w:t>Komente specifike në lidhje me secilin ankim</w:t>
      </w:r>
    </w:p>
    <w:p w:rsidR="00035AFA" w:rsidRPr="00A1094A" w:rsidRDefault="00035AFA" w:rsidP="00035AFA">
      <w:pPr>
        <w:pStyle w:val="NoSpacing"/>
        <w:spacing w:line="276" w:lineRule="auto"/>
        <w:jc w:val="both"/>
        <w:rPr>
          <w:rFonts w:ascii="Times New Roman" w:hAnsi="Times New Roman"/>
          <w:i/>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Në lidhje me ankimet nr. 33148/11, 33151/11, 33823/11, 46103/11 dhe 72334/11, Qeveria nuk paraqiti komente për kërkesat e ankuesve për kompensim të drejtë brenda afatit kohor për atë qëllim (shiko gjithashtu paragrafin 4 mësipër).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Në lidhje me ankimet nr. 78960/11, Qeveria parashtroi se ankuesi duhet të kompensohet në bazë të hartave të vlerësimit të vitit 2014, sipas së cilave çmimi i referencës ishte 57,126 TË GJITHA/m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Ata konfirmonin se ankuesi kishte të drejtën mbi të gjithë pronën. </w:t>
      </w:r>
    </w:p>
    <w:p w:rsidR="00035AFA" w:rsidRPr="00A1094A" w:rsidRDefault="00035AFA" w:rsidP="00035AFA">
      <w:pPr>
        <w:pStyle w:val="NoSpacing"/>
        <w:spacing w:line="276" w:lineRule="auto"/>
        <w:ind w:left="720"/>
        <w:jc w:val="both"/>
        <w:rPr>
          <w:rFonts w:ascii="Times New Roman" w:hAnsi="Times New Roman"/>
          <w:sz w:val="24"/>
          <w:szCs w:val="24"/>
          <w:lang w:val="sq-AL"/>
        </w:rPr>
      </w:pPr>
    </w:p>
    <w:p w:rsidR="00035AFA" w:rsidRPr="00A1094A" w:rsidRDefault="00035AFA" w:rsidP="00035AFA">
      <w:pPr>
        <w:pStyle w:val="NoSpacing"/>
        <w:numPr>
          <w:ilvl w:val="0"/>
          <w:numId w:val="31"/>
        </w:numPr>
        <w:spacing w:line="276" w:lineRule="auto"/>
        <w:jc w:val="both"/>
        <w:rPr>
          <w:rFonts w:ascii="Times New Roman" w:hAnsi="Times New Roman"/>
          <w:sz w:val="24"/>
          <w:szCs w:val="24"/>
          <w:lang w:val="sq-AL"/>
        </w:rPr>
      </w:pPr>
      <w:r w:rsidRPr="00A1094A">
        <w:rPr>
          <w:rFonts w:ascii="Times New Roman" w:hAnsi="Times New Roman"/>
          <w:i/>
          <w:sz w:val="24"/>
          <w:szCs w:val="24"/>
          <w:lang w:val="sq-AL"/>
        </w:rPr>
        <w:t>Vlerësimi i Gjykatës</w:t>
      </w:r>
    </w:p>
    <w:p w:rsidR="00035AFA" w:rsidRPr="00A1094A" w:rsidRDefault="00035AFA" w:rsidP="00035AFA">
      <w:pPr>
        <w:pStyle w:val="NoSpacing"/>
        <w:spacing w:line="276" w:lineRule="auto"/>
        <w:jc w:val="both"/>
        <w:rPr>
          <w:rFonts w:ascii="Times New Roman" w:hAnsi="Times New Roman"/>
          <w:i/>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Gjykata shqyrtoi të njëjtat parashtrime të bëra nga palët në vendimin e saj në çështjen </w:t>
      </w:r>
      <w:r w:rsidRPr="00A1094A">
        <w:rPr>
          <w:rFonts w:ascii="Times New Roman" w:hAnsi="Times New Roman"/>
          <w:i/>
          <w:sz w:val="24"/>
          <w:szCs w:val="24"/>
          <w:lang w:val="sq-AL"/>
        </w:rPr>
        <w:t>Sharra dhe të Tjerët</w:t>
      </w:r>
      <w:r w:rsidRPr="00A1094A">
        <w:rPr>
          <w:rFonts w:ascii="Times New Roman" w:hAnsi="Times New Roman"/>
          <w:sz w:val="24"/>
          <w:szCs w:val="24"/>
          <w:lang w:val="sq-AL"/>
        </w:rPr>
        <w:t xml:space="preserve">, cituar mësipër, §§ 78-87. Gjykata arriti në përfundimin se dëmi monetar duhet të përcaktohet bazuar në hartat e vlerësimit të pronës të vitit 2008 (shiko </w:t>
      </w:r>
      <w:r w:rsidRPr="00A1094A">
        <w:rPr>
          <w:rFonts w:ascii="Times New Roman" w:hAnsi="Times New Roman"/>
          <w:i/>
          <w:sz w:val="24"/>
          <w:szCs w:val="24"/>
          <w:lang w:val="sq-AL"/>
        </w:rPr>
        <w:t xml:space="preserve">Sharra dhe të tjerët, </w:t>
      </w:r>
      <w:r w:rsidRPr="00A1094A">
        <w:rPr>
          <w:rFonts w:ascii="Times New Roman" w:hAnsi="Times New Roman"/>
          <w:sz w:val="24"/>
          <w:szCs w:val="24"/>
          <w:lang w:val="sq-AL"/>
        </w:rPr>
        <w:t xml:space="preserve">cituar mësipër, § 90; </w:t>
      </w:r>
      <w:r w:rsidRPr="00A1094A">
        <w:rPr>
          <w:rFonts w:ascii="Times New Roman" w:hAnsi="Times New Roman"/>
          <w:i/>
          <w:sz w:val="24"/>
          <w:szCs w:val="24"/>
          <w:lang w:val="sq-AL"/>
        </w:rPr>
        <w:t xml:space="preserve">Manushaqe Puto dhe të tjerët, </w:t>
      </w:r>
      <w:r w:rsidRPr="00A1094A">
        <w:rPr>
          <w:rFonts w:ascii="Times New Roman" w:hAnsi="Times New Roman"/>
          <w:sz w:val="24"/>
          <w:szCs w:val="24"/>
          <w:lang w:val="sq-AL"/>
        </w:rPr>
        <w:t xml:space="preserve">cituar mësipër, § 125; dhe </w:t>
      </w:r>
      <w:r w:rsidRPr="00A1094A">
        <w:rPr>
          <w:rFonts w:ascii="Times New Roman" w:hAnsi="Times New Roman"/>
          <w:i/>
          <w:sz w:val="24"/>
          <w:szCs w:val="24"/>
          <w:lang w:val="sq-AL"/>
        </w:rPr>
        <w:t>Vrioni dhe të tjerët kundër Shqipërisë</w:t>
      </w:r>
      <w:r w:rsidRPr="00A1094A">
        <w:rPr>
          <w:rFonts w:ascii="Times New Roman" w:hAnsi="Times New Roman"/>
          <w:sz w:val="24"/>
          <w:szCs w:val="24"/>
          <w:lang w:val="sq-AL"/>
        </w:rPr>
        <w:t xml:space="preserve"> (kompensim i drejtë), nr. 35720/04 dhe 42832/06, §§ 33-39, 7 Dhjetor 2010). Gjykata nuk gjen asnjë arsye për t’u distancuar nga këto gjetje.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Në lidhje me ankimet nr. 33148/11 dhe 72334/11, Gjykata vëren se vendimet e Komisionit kishin specifikuar shumën e kompensimit për t’u akorduar në vlerën dhe me anë të obligacioneve shtetërore. Kështu, Gjykata do t’i akordojë ankuesve shumën koresponuese, duke lënë të kuptohet se ankuesve në ankimin nr. 33148/11 i jepet e drejta mbi një të katërtën e shumës, ndërsa ankuesve n</w:t>
      </w:r>
      <w:r w:rsidR="00FE6B67">
        <w:rPr>
          <w:rFonts w:ascii="Times New Roman" w:hAnsi="Times New Roman"/>
          <w:sz w:val="24"/>
          <w:szCs w:val="24"/>
          <w:lang w:val="sq-AL"/>
        </w:rPr>
        <w:t>ë ankimin nr. 72334/11, i nji</w:t>
      </w:r>
      <w:r w:rsidRPr="00A1094A">
        <w:rPr>
          <w:rFonts w:ascii="Times New Roman" w:hAnsi="Times New Roman"/>
          <w:sz w:val="24"/>
          <w:szCs w:val="24"/>
          <w:lang w:val="sq-AL"/>
        </w:rPr>
        <w:t xml:space="preserve">het e gjithë shuma.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 Në lidhje me ankimin nr. 33151/11, Gjykata vëren se vendimet e Komisionit nuk njohën asnjë të drejtë mbi pronën për tokën pyjore dhe pemët e </w:t>
      </w:r>
      <w:r w:rsidR="00FE6B67" w:rsidRPr="00FE6B67">
        <w:rPr>
          <w:rFonts w:ascii="Times New Roman" w:hAnsi="Times New Roman"/>
          <w:sz w:val="24"/>
          <w:szCs w:val="24"/>
          <w:lang w:val="sq-AL"/>
        </w:rPr>
        <w:t>arrave</w:t>
      </w:r>
      <w:r w:rsidRPr="00FE6B67">
        <w:rPr>
          <w:rFonts w:ascii="Times New Roman" w:hAnsi="Times New Roman"/>
          <w:sz w:val="24"/>
          <w:szCs w:val="24"/>
          <w:lang w:val="sq-AL"/>
        </w:rPr>
        <w:t xml:space="preserve"> (shiko</w:t>
      </w:r>
      <w:r w:rsidRPr="00A1094A">
        <w:rPr>
          <w:rFonts w:ascii="Times New Roman" w:hAnsi="Times New Roman"/>
          <w:sz w:val="24"/>
          <w:szCs w:val="24"/>
          <w:lang w:val="sq-AL"/>
        </w:rPr>
        <w:t xml:space="preserve"> paragrafët 7-8 më sipër). Për këtë arsye, Gjykata mendon se nuk duhet akorduar asnjë dëm monetar. Megjithatë, Gjykata mendon se Qeveria e </w:t>
      </w:r>
      <w:r w:rsidR="00FE6B67">
        <w:rPr>
          <w:rFonts w:ascii="Times New Roman" w:hAnsi="Times New Roman"/>
          <w:sz w:val="24"/>
          <w:szCs w:val="24"/>
          <w:lang w:val="sq-AL"/>
        </w:rPr>
        <w:t>paditur</w:t>
      </w:r>
      <w:r w:rsidRPr="00A1094A">
        <w:rPr>
          <w:rFonts w:ascii="Times New Roman" w:hAnsi="Times New Roman"/>
          <w:sz w:val="24"/>
          <w:szCs w:val="24"/>
          <w:lang w:val="sq-AL"/>
        </w:rPr>
        <w:t xml:space="preserve"> duhet t’i garantojë ankuesit një formë efikase kompensimi për sipërfaqet e tokës, në përputhje me vendimet e Komisionit dhe me pjesën e pronës së ankuesit, brenda tre muajve (shiko për shembull </w:t>
      </w:r>
      <w:r w:rsidRPr="00A1094A">
        <w:rPr>
          <w:rFonts w:ascii="Times New Roman" w:hAnsi="Times New Roman"/>
          <w:i/>
          <w:sz w:val="24"/>
          <w:szCs w:val="24"/>
          <w:lang w:val="sq-AL"/>
        </w:rPr>
        <w:t>Vukelić kundër Malit të Zi</w:t>
      </w:r>
      <w:r w:rsidRPr="00A1094A">
        <w:rPr>
          <w:rFonts w:ascii="Times New Roman" w:hAnsi="Times New Roman"/>
          <w:sz w:val="24"/>
          <w:szCs w:val="24"/>
          <w:lang w:val="sq-AL"/>
        </w:rPr>
        <w:t xml:space="preserve">, nr. 58258/09, § 107, 4 Qershor 2013; </w:t>
      </w:r>
      <w:r w:rsidRPr="00A1094A">
        <w:rPr>
          <w:rFonts w:ascii="Times New Roman" w:hAnsi="Times New Roman"/>
          <w:i/>
          <w:sz w:val="24"/>
          <w:szCs w:val="24"/>
          <w:lang w:val="sq-AL"/>
        </w:rPr>
        <w:t xml:space="preserve">Mikhaylova dhe të Tjerët kundër Ukrahinës, </w:t>
      </w:r>
      <w:r w:rsidRPr="00A1094A">
        <w:rPr>
          <w:rFonts w:ascii="Times New Roman" w:hAnsi="Times New Roman"/>
          <w:sz w:val="24"/>
          <w:szCs w:val="24"/>
          <w:lang w:val="sq-AL"/>
        </w:rPr>
        <w:t xml:space="preserve">nr. </w:t>
      </w:r>
      <w:r w:rsidR="00FE6B67">
        <w:rPr>
          <w:rFonts w:ascii="Times New Roman" w:hAnsi="Times New Roman"/>
          <w:sz w:val="24"/>
          <w:szCs w:val="24"/>
          <w:lang w:val="sq-AL"/>
        </w:rPr>
        <w:t>16475/02</w:t>
      </w:r>
      <w:r w:rsidRPr="00A1094A">
        <w:rPr>
          <w:rFonts w:ascii="Times New Roman" w:hAnsi="Times New Roman"/>
          <w:sz w:val="24"/>
          <w:szCs w:val="24"/>
          <w:lang w:val="sq-AL"/>
        </w:rPr>
        <w:t xml:space="preserve">, § 40, 15 Qershor 2006; dhe </w:t>
      </w:r>
      <w:r w:rsidRPr="00A1094A">
        <w:rPr>
          <w:rFonts w:ascii="Times New Roman" w:hAnsi="Times New Roman"/>
          <w:i/>
          <w:sz w:val="24"/>
          <w:szCs w:val="24"/>
          <w:lang w:val="sq-AL"/>
        </w:rPr>
        <w:t>Lisyanskiy kundër Ukrahinës</w:t>
      </w:r>
      <w:r w:rsidRPr="00A1094A">
        <w:rPr>
          <w:rFonts w:ascii="Times New Roman" w:hAnsi="Times New Roman"/>
          <w:sz w:val="24"/>
          <w:szCs w:val="24"/>
          <w:lang w:val="sq-AL"/>
        </w:rPr>
        <w:t>, nr. 17899/02, § 34, 4 Prill 2006).</w:t>
      </w:r>
    </w:p>
    <w:p w:rsidR="00035AFA" w:rsidRDefault="00FE6B67" w:rsidP="00035AFA">
      <w:pPr>
        <w:pStyle w:val="NoSpacing"/>
        <w:numPr>
          <w:ilvl w:val="0"/>
          <w:numId w:val="1"/>
        </w:numPr>
        <w:spacing w:line="276" w:lineRule="auto"/>
        <w:jc w:val="both"/>
        <w:rPr>
          <w:rFonts w:ascii="Times New Roman" w:hAnsi="Times New Roman"/>
          <w:sz w:val="24"/>
          <w:szCs w:val="24"/>
          <w:lang w:val="sq-AL"/>
        </w:rPr>
      </w:pPr>
      <w:r>
        <w:rPr>
          <w:rFonts w:ascii="Times New Roman" w:hAnsi="Times New Roman"/>
          <w:sz w:val="24"/>
          <w:szCs w:val="24"/>
          <w:lang w:val="sq-AL"/>
        </w:rPr>
        <w:t xml:space="preserve"> Në lidhje me ankimin nr. 33823/</w:t>
      </w:r>
      <w:r w:rsidR="00035AFA" w:rsidRPr="00A1094A">
        <w:rPr>
          <w:rFonts w:ascii="Times New Roman" w:hAnsi="Times New Roman"/>
          <w:sz w:val="24"/>
          <w:szCs w:val="24"/>
          <w:lang w:val="sq-AL"/>
        </w:rPr>
        <w:t xml:space="preserve">11, Gjykata gjykon që ankuesve t’iu akordohet një e katërta e të gjithë pronës dhe në lidhje me ankimin nr. 78960/11 të akordohet e gjithë prona. </w:t>
      </w:r>
    </w:p>
    <w:p w:rsidR="00D3205D" w:rsidRDefault="00D3205D" w:rsidP="00D3205D">
      <w:pPr>
        <w:pStyle w:val="NoSpacing"/>
        <w:spacing w:line="276" w:lineRule="auto"/>
        <w:jc w:val="both"/>
        <w:rPr>
          <w:rFonts w:ascii="Times New Roman" w:hAnsi="Times New Roman"/>
          <w:sz w:val="24"/>
          <w:szCs w:val="24"/>
          <w:lang w:val="sq-AL"/>
        </w:rPr>
      </w:pPr>
    </w:p>
    <w:p w:rsidR="00D3205D" w:rsidRPr="00A1094A" w:rsidRDefault="00D3205D" w:rsidP="00D3205D">
      <w:pPr>
        <w:pStyle w:val="NoSpacing"/>
        <w:spacing w:line="276" w:lineRule="auto"/>
        <w:jc w:val="center"/>
        <w:rPr>
          <w:rFonts w:ascii="Times New Roman" w:hAnsi="Times New Roman"/>
          <w:sz w:val="18"/>
          <w:szCs w:val="18"/>
          <w:lang w:val="sq-AL"/>
        </w:rPr>
      </w:pPr>
      <w:r w:rsidRPr="00A1094A">
        <w:rPr>
          <w:rFonts w:ascii="Times New Roman" w:hAnsi="Times New Roman"/>
          <w:sz w:val="18"/>
          <w:szCs w:val="18"/>
          <w:lang w:val="sq-AL"/>
        </w:rPr>
        <w:t>VENDIMI ALIÇKA DHE TË TJERËT KUNDËR SHQIPËRISË</w:t>
      </w:r>
    </w:p>
    <w:p w:rsidR="00D3205D" w:rsidRPr="00A1094A" w:rsidRDefault="00D3205D" w:rsidP="00D3205D">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Në lidhje me ankimin nr. 46103/11, </w:t>
      </w:r>
      <w:r w:rsidR="002E761F">
        <w:rPr>
          <w:rFonts w:ascii="Times New Roman" w:hAnsi="Times New Roman"/>
          <w:sz w:val="24"/>
          <w:szCs w:val="24"/>
          <w:lang w:val="sq-AL"/>
        </w:rPr>
        <w:t>G</w:t>
      </w:r>
      <w:r w:rsidRPr="00A1094A">
        <w:rPr>
          <w:rFonts w:ascii="Times New Roman" w:hAnsi="Times New Roman"/>
          <w:sz w:val="24"/>
          <w:szCs w:val="24"/>
          <w:lang w:val="sq-AL"/>
        </w:rPr>
        <w:t>jykata vëren se Komisioni akordoi kompensim me anë të obligacioneve shtetërore në lidhje me sipërfaqen e tokës me përmasë 750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bazuar në Aktin e Pronës 1993, pa e përcaktuar shumën. Megjithatë, Gjykata vëren se Akti i Pronës 2004, i cili shfuqizonte Aktin e Pronës 1993, nuk parashikon kompensim me anë të obligacioneve shtetërore. Për më tepër, kompensimi financiar është e vetmja formë kompensimi e cila aktualisht konsiderohet efikase (shiko </w:t>
      </w:r>
      <w:r w:rsidRPr="00A1094A">
        <w:rPr>
          <w:rFonts w:ascii="Times New Roman" w:hAnsi="Times New Roman"/>
          <w:i/>
          <w:sz w:val="24"/>
          <w:szCs w:val="24"/>
          <w:lang w:val="sq-AL"/>
        </w:rPr>
        <w:t xml:space="preserve">Manuashaqe Puto dhe të Tjerët, </w:t>
      </w:r>
      <w:r w:rsidRPr="00A1094A">
        <w:rPr>
          <w:rFonts w:ascii="Times New Roman" w:hAnsi="Times New Roman"/>
          <w:sz w:val="24"/>
          <w:szCs w:val="24"/>
          <w:lang w:val="sq-AL"/>
        </w:rPr>
        <w:t>cituar më sipër, §§ 77 dhe 80). Për këtë arsye, Gjykata mendon ser ankuesit i duhet akorduar kompensim financiar për sipërfaqen e tokës me përmasë 750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w:t>
      </w:r>
    </w:p>
    <w:p w:rsidR="002E761F" w:rsidRDefault="00035AFA" w:rsidP="00035AFA">
      <w:pPr>
        <w:pStyle w:val="NoSpacing"/>
        <w:spacing w:line="276" w:lineRule="auto"/>
        <w:ind w:left="720"/>
        <w:jc w:val="both"/>
        <w:rPr>
          <w:rFonts w:ascii="Times New Roman" w:hAnsi="Times New Roman"/>
          <w:sz w:val="24"/>
          <w:szCs w:val="24"/>
          <w:lang w:val="sq-AL"/>
        </w:rPr>
      </w:pPr>
      <w:r w:rsidRPr="00A1094A">
        <w:rPr>
          <w:rFonts w:ascii="Times New Roman" w:hAnsi="Times New Roman"/>
          <w:sz w:val="24"/>
          <w:szCs w:val="24"/>
          <w:lang w:val="sq-AL"/>
        </w:rPr>
        <w:t>Në lidhje me kompensimin në natyrë për sipërfaqen e tokës prej 10,000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Gjykata do t’i referohej parashtrimit të Qeverisë të bërë në kontekstin e procedimeve në çështjen </w:t>
      </w:r>
      <w:r w:rsidRPr="00A1094A">
        <w:rPr>
          <w:rFonts w:ascii="Times New Roman" w:hAnsi="Times New Roman"/>
          <w:i/>
          <w:sz w:val="24"/>
          <w:szCs w:val="24"/>
          <w:lang w:val="sq-AL"/>
        </w:rPr>
        <w:t xml:space="preserve">Manushaqe Puto dhe të Tjerët, </w:t>
      </w:r>
      <w:r w:rsidR="002E761F">
        <w:rPr>
          <w:rFonts w:ascii="Times New Roman" w:hAnsi="Times New Roman"/>
          <w:sz w:val="24"/>
          <w:szCs w:val="24"/>
          <w:lang w:val="sq-AL"/>
        </w:rPr>
        <w:t>cituar më</w:t>
      </w:r>
      <w:r w:rsidRPr="00A1094A">
        <w:rPr>
          <w:rFonts w:ascii="Times New Roman" w:hAnsi="Times New Roman"/>
          <w:sz w:val="24"/>
          <w:szCs w:val="24"/>
          <w:lang w:val="sq-AL"/>
        </w:rPr>
        <w:t xml:space="preserve">sipër, § 68, sipas së cilit asnjë kompensim në natyrë nuk </w:t>
      </w:r>
      <w:r w:rsidR="002E761F" w:rsidRPr="00A1094A">
        <w:rPr>
          <w:rFonts w:ascii="Times New Roman" w:hAnsi="Times New Roman"/>
          <w:sz w:val="24"/>
          <w:szCs w:val="24"/>
          <w:lang w:val="sq-AL"/>
        </w:rPr>
        <w:t>ishte</w:t>
      </w:r>
      <w:r w:rsidRPr="00A1094A">
        <w:rPr>
          <w:rFonts w:ascii="Times New Roman" w:hAnsi="Times New Roman"/>
          <w:sz w:val="24"/>
          <w:szCs w:val="24"/>
          <w:lang w:val="sq-AL"/>
        </w:rPr>
        <w:t xml:space="preserve"> bërë ndon</w:t>
      </w:r>
      <w:r w:rsidR="002E761F">
        <w:rPr>
          <w:rFonts w:ascii="Times New Roman" w:hAnsi="Times New Roman"/>
          <w:sz w:val="24"/>
          <w:szCs w:val="24"/>
          <w:lang w:val="sq-AL"/>
        </w:rPr>
        <w:t>jëherë efektiv. Për më tepër, ajo</w:t>
      </w:r>
      <w:r w:rsidRPr="00A1094A">
        <w:rPr>
          <w:rFonts w:ascii="Times New Roman" w:hAnsi="Times New Roman"/>
          <w:sz w:val="24"/>
          <w:szCs w:val="24"/>
          <w:lang w:val="sq-AL"/>
        </w:rPr>
        <w:t xml:space="preserve"> </w:t>
      </w:r>
      <w:r w:rsidR="002E761F" w:rsidRPr="00A1094A">
        <w:rPr>
          <w:rFonts w:ascii="Times New Roman" w:hAnsi="Times New Roman"/>
          <w:sz w:val="24"/>
          <w:szCs w:val="24"/>
          <w:lang w:val="sq-AL"/>
        </w:rPr>
        <w:t>përsërit</w:t>
      </w:r>
      <w:r w:rsidRPr="00A1094A">
        <w:rPr>
          <w:rFonts w:ascii="Times New Roman" w:hAnsi="Times New Roman"/>
          <w:sz w:val="24"/>
          <w:szCs w:val="24"/>
          <w:lang w:val="sq-AL"/>
        </w:rPr>
        <w:t xml:space="preserve"> gjetjet e </w:t>
      </w:r>
      <w:r w:rsidR="002E761F">
        <w:rPr>
          <w:rFonts w:ascii="Times New Roman" w:hAnsi="Times New Roman"/>
          <w:sz w:val="24"/>
          <w:szCs w:val="24"/>
          <w:lang w:val="sq-AL"/>
        </w:rPr>
        <w:t>saj</w:t>
      </w:r>
      <w:r w:rsidRPr="00A1094A">
        <w:rPr>
          <w:rFonts w:ascii="Times New Roman" w:hAnsi="Times New Roman"/>
          <w:sz w:val="24"/>
          <w:szCs w:val="24"/>
          <w:lang w:val="sq-AL"/>
        </w:rPr>
        <w:t xml:space="preserve"> në çështjen </w:t>
      </w:r>
      <w:r w:rsidRPr="00A1094A">
        <w:rPr>
          <w:rFonts w:ascii="Times New Roman" w:hAnsi="Times New Roman"/>
          <w:i/>
          <w:sz w:val="24"/>
          <w:szCs w:val="24"/>
          <w:lang w:val="sq-AL"/>
        </w:rPr>
        <w:t>Çaush Driza</w:t>
      </w:r>
      <w:r w:rsidRPr="00A1094A">
        <w:rPr>
          <w:rFonts w:ascii="Times New Roman" w:hAnsi="Times New Roman"/>
          <w:sz w:val="24"/>
          <w:szCs w:val="24"/>
          <w:lang w:val="sq-AL"/>
        </w:rPr>
        <w:t>, cituar më sipë</w:t>
      </w:r>
      <w:r w:rsidR="002E761F">
        <w:rPr>
          <w:rFonts w:ascii="Times New Roman" w:hAnsi="Times New Roman"/>
          <w:sz w:val="24"/>
          <w:szCs w:val="24"/>
          <w:lang w:val="sq-AL"/>
        </w:rPr>
        <w:t>r</w:t>
      </w:r>
      <w:r w:rsidRPr="00A1094A">
        <w:rPr>
          <w:rFonts w:ascii="Times New Roman" w:hAnsi="Times New Roman"/>
          <w:sz w:val="24"/>
          <w:szCs w:val="24"/>
          <w:lang w:val="sq-AL"/>
        </w:rPr>
        <w:t xml:space="preserve">, për faktin se kjo formë kompensimi nuk ishte efikase (shiko </w:t>
      </w:r>
      <w:r w:rsidRPr="00A1094A">
        <w:rPr>
          <w:rFonts w:ascii="Times New Roman" w:hAnsi="Times New Roman"/>
          <w:i/>
          <w:sz w:val="24"/>
          <w:szCs w:val="24"/>
          <w:lang w:val="sq-AL"/>
        </w:rPr>
        <w:t>Çaush Driza kundër Shqipërisë</w:t>
      </w:r>
      <w:r w:rsidR="002E761F">
        <w:rPr>
          <w:rFonts w:ascii="Times New Roman" w:hAnsi="Times New Roman"/>
          <w:sz w:val="24"/>
          <w:szCs w:val="24"/>
          <w:lang w:val="sq-AL"/>
        </w:rPr>
        <w:t>, cituar më</w:t>
      </w:r>
      <w:r w:rsidRPr="00A1094A">
        <w:rPr>
          <w:rFonts w:ascii="Times New Roman" w:hAnsi="Times New Roman"/>
          <w:sz w:val="24"/>
          <w:szCs w:val="24"/>
          <w:lang w:val="sq-AL"/>
        </w:rPr>
        <w:t>sipër, §§ 77-83). Për këtë arsye, duhet akorduar kompensim financiar edhe për sipërfaqen e tokës prej 10,000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w:t>
      </w:r>
    </w:p>
    <w:p w:rsidR="00035AFA" w:rsidRPr="00A1094A" w:rsidRDefault="00035AFA" w:rsidP="00035AFA">
      <w:pPr>
        <w:pStyle w:val="NoSpacing"/>
        <w:spacing w:line="276" w:lineRule="auto"/>
        <w:ind w:left="720"/>
        <w:jc w:val="both"/>
        <w:rPr>
          <w:rFonts w:ascii="Times New Roman" w:hAnsi="Times New Roman"/>
          <w:sz w:val="24"/>
          <w:szCs w:val="24"/>
          <w:lang w:val="sq-AL"/>
        </w:rPr>
      </w:pPr>
      <w:r w:rsidRPr="00A1094A">
        <w:rPr>
          <w:rFonts w:ascii="Times New Roman" w:hAnsi="Times New Roman"/>
          <w:sz w:val="24"/>
          <w:szCs w:val="24"/>
          <w:lang w:val="sq-AL"/>
        </w:rPr>
        <w:t>Gjykata konstaton se ankuesit i duhet akorduar kompensim në lidhje me një të pesëmbëdhjetën e të dyja sipërfaqeve të tokës, në një total prej 10,750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Për sa i përket materialit që zotëron, Gjykata e mendon të arsyeshme t’i japë shpërblimet për dëmin monetar dhe atë jo monetar siç paraqitet në tabelë në Shtojcën Nr.3.</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30"/>
        </w:numPr>
        <w:spacing w:line="276" w:lineRule="auto"/>
        <w:jc w:val="both"/>
        <w:rPr>
          <w:rFonts w:ascii="Times New Roman" w:hAnsi="Times New Roman"/>
          <w:b/>
          <w:sz w:val="24"/>
          <w:szCs w:val="24"/>
          <w:lang w:val="sq-AL"/>
        </w:rPr>
      </w:pPr>
      <w:r w:rsidRPr="00A1094A">
        <w:rPr>
          <w:rFonts w:ascii="Times New Roman" w:hAnsi="Times New Roman"/>
          <w:b/>
          <w:sz w:val="24"/>
          <w:szCs w:val="24"/>
          <w:lang w:val="sq-AL"/>
        </w:rPr>
        <w:t>Kostot dhe shpenzimet</w:t>
      </w:r>
    </w:p>
    <w:p w:rsidR="00035AFA" w:rsidRPr="00A1094A" w:rsidRDefault="00035AFA" w:rsidP="00035AFA">
      <w:pPr>
        <w:pStyle w:val="NoSpacing"/>
        <w:spacing w:line="276" w:lineRule="auto"/>
        <w:jc w:val="both"/>
        <w:rPr>
          <w:rFonts w:ascii="Times New Roman" w:hAnsi="Times New Roman"/>
          <w:b/>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Ankuesit bënë kërkesa në lidhje me kostot</w:t>
      </w:r>
      <w:r w:rsidR="00DF3BF7">
        <w:rPr>
          <w:rFonts w:ascii="Times New Roman" w:hAnsi="Times New Roman"/>
          <w:sz w:val="24"/>
          <w:szCs w:val="24"/>
          <w:lang w:val="sq-AL"/>
        </w:rPr>
        <w:t xml:space="preserve"> </w:t>
      </w:r>
      <w:r w:rsidRPr="00A1094A">
        <w:rPr>
          <w:rFonts w:ascii="Times New Roman" w:hAnsi="Times New Roman"/>
          <w:sz w:val="24"/>
          <w:szCs w:val="24"/>
          <w:lang w:val="sq-AL"/>
        </w:rPr>
        <w:t xml:space="preserve">dhe shpenzimet, siç paraqitet në tabelën në Shtojcën Nr.2.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Në lidhje me ankimet nr. 78960/11 ku citohet </w:t>
      </w:r>
      <w:r w:rsidRPr="00A1094A">
        <w:rPr>
          <w:rFonts w:ascii="Times New Roman" w:hAnsi="Times New Roman"/>
          <w:i/>
          <w:sz w:val="24"/>
          <w:szCs w:val="24"/>
          <w:lang w:val="sq-AL"/>
        </w:rPr>
        <w:t xml:space="preserve">Gjyli kundër Shqipërisë </w:t>
      </w:r>
      <w:r w:rsidRPr="00A1094A">
        <w:rPr>
          <w:rFonts w:ascii="Times New Roman" w:hAnsi="Times New Roman"/>
          <w:sz w:val="24"/>
          <w:szCs w:val="24"/>
          <w:lang w:val="sq-AL"/>
        </w:rPr>
        <w:t xml:space="preserve">(nr. 32907/07, § 72, 29 Shtator 2009), sipas së cilës kostot dhe shpenzimet duhet jenë të paguara faktikisht dhe domosdoshmërisht dhe të jenë të arsyeshme, Qeveria ia la çështjen në mirëbesim Gjykatës për të vendosur shumën që do të akordohet për këtë rast. </w:t>
      </w:r>
    </w:p>
    <w:p w:rsidR="00D3205D"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Sipas vendimeve të Gjykatës, “një ankues ka të drejtën të rimbursohet për kostot dhe shpenzimet vetëm për aq kohë sa tregohet se këto janë bërë në të vërtetë dhe sepse kanë qenë të nevojshme, dhe se janë të arsyeshme” (shiko </w:t>
      </w:r>
      <w:r w:rsidRPr="00A1094A">
        <w:rPr>
          <w:rFonts w:ascii="Times New Roman" w:hAnsi="Times New Roman"/>
          <w:i/>
          <w:sz w:val="24"/>
          <w:szCs w:val="24"/>
          <w:lang w:val="sq-AL"/>
        </w:rPr>
        <w:t>Gjyli kundër Shqipërisë</w:t>
      </w:r>
      <w:r w:rsidRPr="00A1094A">
        <w:rPr>
          <w:rFonts w:ascii="Times New Roman" w:hAnsi="Times New Roman"/>
          <w:sz w:val="24"/>
          <w:szCs w:val="24"/>
          <w:lang w:val="sq-AL"/>
        </w:rPr>
        <w:t xml:space="preserve">, cituar mësipër, § 72). Në këtë këndvështrim, Rregulli 60 §§ 2 dhe 3 i Rregullores së Gjykatës parashikon se ankuesit duhet të bashkëlidhin me kërkesat e tyre për kompensim të drejtë “çdo dokument mbështetës të lidhur me çështjen”. </w:t>
      </w:r>
    </w:p>
    <w:p w:rsidR="00D3205D" w:rsidRDefault="00D3205D" w:rsidP="00D3205D">
      <w:pPr>
        <w:pStyle w:val="NoSpacing"/>
        <w:spacing w:line="276" w:lineRule="auto"/>
        <w:ind w:left="720"/>
        <w:jc w:val="center"/>
        <w:rPr>
          <w:rFonts w:ascii="Times New Roman" w:hAnsi="Times New Roman"/>
          <w:sz w:val="18"/>
          <w:szCs w:val="18"/>
          <w:lang w:val="sq-AL"/>
        </w:rPr>
      </w:pPr>
    </w:p>
    <w:p w:rsidR="00D3205D" w:rsidRDefault="00D3205D" w:rsidP="00D3205D">
      <w:pPr>
        <w:pStyle w:val="NoSpacing"/>
        <w:spacing w:line="276" w:lineRule="auto"/>
        <w:ind w:left="720"/>
        <w:jc w:val="center"/>
        <w:rPr>
          <w:rFonts w:ascii="Times New Roman" w:hAnsi="Times New Roman"/>
          <w:sz w:val="18"/>
          <w:szCs w:val="18"/>
          <w:lang w:val="sq-AL"/>
        </w:rPr>
      </w:pPr>
    </w:p>
    <w:p w:rsidR="00D3205D" w:rsidRPr="00A1094A" w:rsidRDefault="00D3205D" w:rsidP="00D3205D">
      <w:pPr>
        <w:pStyle w:val="NoSpacing"/>
        <w:spacing w:line="276" w:lineRule="auto"/>
        <w:ind w:left="720"/>
        <w:jc w:val="center"/>
        <w:rPr>
          <w:rFonts w:ascii="Times New Roman" w:hAnsi="Times New Roman"/>
          <w:sz w:val="18"/>
          <w:szCs w:val="18"/>
          <w:lang w:val="sq-AL"/>
        </w:rPr>
      </w:pPr>
      <w:r w:rsidRPr="00A1094A">
        <w:rPr>
          <w:rFonts w:ascii="Times New Roman" w:hAnsi="Times New Roman"/>
          <w:sz w:val="18"/>
          <w:szCs w:val="18"/>
          <w:lang w:val="sq-AL"/>
        </w:rPr>
        <w:t>VENDIMI ALIÇKA DHE TË TJERËT KUNDËR SHQIPËRISË</w:t>
      </w:r>
    </w:p>
    <w:p w:rsidR="00D3205D" w:rsidRDefault="00D3205D" w:rsidP="00D3205D">
      <w:pPr>
        <w:pStyle w:val="NoSpacing"/>
        <w:spacing w:line="276" w:lineRule="auto"/>
        <w:ind w:left="720"/>
        <w:jc w:val="both"/>
        <w:rPr>
          <w:rFonts w:ascii="Times New Roman" w:hAnsi="Times New Roman"/>
          <w:sz w:val="24"/>
          <w:szCs w:val="24"/>
          <w:lang w:val="sq-AL"/>
        </w:rPr>
      </w:pPr>
    </w:p>
    <w:p w:rsidR="00035AFA" w:rsidRPr="00D3205D" w:rsidRDefault="00035AFA" w:rsidP="00D3205D">
      <w:pPr>
        <w:pStyle w:val="NoSpacing"/>
        <w:spacing w:line="276" w:lineRule="auto"/>
        <w:ind w:left="720"/>
        <w:jc w:val="both"/>
        <w:rPr>
          <w:rFonts w:ascii="Times New Roman" w:hAnsi="Times New Roman"/>
          <w:sz w:val="24"/>
          <w:szCs w:val="24"/>
          <w:lang w:val="sq-AL"/>
        </w:rPr>
      </w:pPr>
      <w:r w:rsidRPr="00D3205D">
        <w:rPr>
          <w:rFonts w:ascii="Times New Roman" w:hAnsi="Times New Roman"/>
          <w:sz w:val="24"/>
          <w:szCs w:val="24"/>
          <w:lang w:val="sq-AL"/>
        </w:rPr>
        <w:t xml:space="preserve">Nëse kjo gjë nuk realizohet, Gjykata “mund t’i kundërshtojë kërkesat plotësisht ose pjesërisht”.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Në lidhje me ankimet nr. 33148/11, 33151/11, 46103/11 dhe 72334/11, Gjykata nuk do të ofrojë kompensim për kostot dhe shpenzimet, duke qenë se nuk është paraqitur asnjë dokument mbështetës.</w:t>
      </w:r>
      <w:r w:rsidR="00DF3BF7">
        <w:rPr>
          <w:rFonts w:ascii="Times New Roman" w:hAnsi="Times New Roman"/>
          <w:sz w:val="24"/>
          <w:szCs w:val="24"/>
          <w:lang w:val="sq-AL"/>
        </w:rPr>
        <w:t xml:space="preserve"> </w:t>
      </w: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Në lidhje me gjetjet e saj në paragrafët 28-29, natyra përsëritëse e ankesave të ngritura në ankimet e mësipërme, përfaqësimi i disa prej ankuesve nga i njëjti avokat dhe </w:t>
      </w:r>
      <w:r w:rsidR="002E761F" w:rsidRPr="00A1094A">
        <w:rPr>
          <w:rFonts w:ascii="Times New Roman" w:hAnsi="Times New Roman"/>
          <w:sz w:val="24"/>
          <w:szCs w:val="24"/>
          <w:lang w:val="sq-AL"/>
        </w:rPr>
        <w:t>këndvështrimi</w:t>
      </w:r>
      <w:r w:rsidRPr="00A1094A">
        <w:rPr>
          <w:rFonts w:ascii="Times New Roman" w:hAnsi="Times New Roman"/>
          <w:sz w:val="24"/>
          <w:szCs w:val="24"/>
          <w:lang w:val="sq-AL"/>
        </w:rPr>
        <w:t xml:space="preserve"> i Gjykatës se shumica e kostove dhe shpenzimeve të kërkuara nuk ishin të justifikueshme për kuant, Gjykata e gjykon të arsyeshme të akordojë kompensime në lidhje me kostot dhe shpenzimet, siç paraqitet në tabelën në Shtojcën Nr. 3.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30"/>
        </w:numPr>
        <w:spacing w:line="276" w:lineRule="auto"/>
        <w:jc w:val="both"/>
        <w:rPr>
          <w:rFonts w:ascii="Times New Roman" w:hAnsi="Times New Roman"/>
          <w:sz w:val="24"/>
          <w:szCs w:val="24"/>
          <w:lang w:val="sq-AL"/>
        </w:rPr>
      </w:pPr>
      <w:r w:rsidRPr="00A1094A">
        <w:rPr>
          <w:rFonts w:ascii="Times New Roman" w:hAnsi="Times New Roman"/>
          <w:b/>
          <w:sz w:val="24"/>
          <w:szCs w:val="24"/>
          <w:lang w:val="sq-AL"/>
        </w:rPr>
        <w:t xml:space="preserve">INTERESI I PAPAGUAR </w:t>
      </w:r>
    </w:p>
    <w:p w:rsidR="00035AFA" w:rsidRPr="00A1094A" w:rsidRDefault="00035AFA" w:rsidP="00035AFA">
      <w:pPr>
        <w:pStyle w:val="NoSpacing"/>
        <w:spacing w:line="276" w:lineRule="auto"/>
        <w:jc w:val="both"/>
        <w:rPr>
          <w:rFonts w:ascii="Times New Roman" w:hAnsi="Times New Roman"/>
          <w:b/>
          <w:sz w:val="24"/>
          <w:szCs w:val="24"/>
          <w:lang w:val="sq-AL"/>
        </w:rPr>
      </w:pPr>
    </w:p>
    <w:p w:rsidR="00035AFA" w:rsidRPr="00A1094A" w:rsidRDefault="00035AFA" w:rsidP="00035AFA">
      <w:pPr>
        <w:pStyle w:val="NoSpacing"/>
        <w:numPr>
          <w:ilvl w:val="0"/>
          <w:numId w:val="1"/>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Gjykata e konsideron si të përshtatshme që norma e interesit të papaguar duhet të bazohet në normën marxhinale huadhënëse të Bankës Qendrore </w:t>
      </w:r>
      <w:r w:rsidR="002E761F" w:rsidRPr="00A1094A">
        <w:rPr>
          <w:rFonts w:ascii="Times New Roman" w:hAnsi="Times New Roman"/>
          <w:sz w:val="24"/>
          <w:szCs w:val="24"/>
          <w:lang w:val="sq-AL"/>
        </w:rPr>
        <w:t>Evropiane</w:t>
      </w:r>
      <w:r w:rsidRPr="00A1094A">
        <w:rPr>
          <w:rFonts w:ascii="Times New Roman" w:hAnsi="Times New Roman"/>
          <w:sz w:val="24"/>
          <w:szCs w:val="24"/>
          <w:lang w:val="sq-AL"/>
        </w:rPr>
        <w:t xml:space="preserve">, së cilës duhet t’i shtohen tre përqind.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PËR KËTO ARSYE, GJYKATA, NË MËNYRË UNANIME,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35"/>
        </w:numPr>
        <w:spacing w:line="276" w:lineRule="auto"/>
        <w:jc w:val="both"/>
        <w:rPr>
          <w:rFonts w:ascii="Times New Roman" w:hAnsi="Times New Roman"/>
          <w:sz w:val="24"/>
          <w:szCs w:val="24"/>
          <w:lang w:val="sq-AL"/>
        </w:rPr>
      </w:pPr>
      <w:r w:rsidRPr="00A1094A">
        <w:rPr>
          <w:rFonts w:ascii="Times New Roman" w:hAnsi="Times New Roman"/>
          <w:i/>
          <w:sz w:val="24"/>
          <w:szCs w:val="24"/>
          <w:lang w:val="sq-AL"/>
        </w:rPr>
        <w:t xml:space="preserve">Vendos </w:t>
      </w:r>
      <w:r w:rsidRPr="00A1094A">
        <w:rPr>
          <w:rFonts w:ascii="Times New Roman" w:hAnsi="Times New Roman"/>
          <w:sz w:val="24"/>
          <w:szCs w:val="24"/>
          <w:lang w:val="sq-AL"/>
        </w:rPr>
        <w:t xml:space="preserve">t’i bashkojë të gjitha ankimet; </w:t>
      </w:r>
    </w:p>
    <w:p w:rsidR="00035AFA" w:rsidRPr="00A1094A" w:rsidRDefault="00035AFA" w:rsidP="00035AFA">
      <w:pPr>
        <w:pStyle w:val="NoSpacing"/>
        <w:spacing w:line="276" w:lineRule="auto"/>
        <w:ind w:left="720"/>
        <w:jc w:val="both"/>
        <w:rPr>
          <w:rFonts w:ascii="Times New Roman" w:hAnsi="Times New Roman"/>
          <w:sz w:val="24"/>
          <w:szCs w:val="24"/>
          <w:lang w:val="sq-AL"/>
        </w:rPr>
      </w:pPr>
    </w:p>
    <w:p w:rsidR="00035AFA" w:rsidRPr="00A1094A" w:rsidRDefault="00035AFA" w:rsidP="00035AFA">
      <w:pPr>
        <w:pStyle w:val="NoSpacing"/>
        <w:numPr>
          <w:ilvl w:val="0"/>
          <w:numId w:val="35"/>
        </w:numPr>
        <w:spacing w:line="276" w:lineRule="auto"/>
        <w:jc w:val="both"/>
        <w:rPr>
          <w:rFonts w:ascii="Times New Roman" w:hAnsi="Times New Roman"/>
          <w:sz w:val="24"/>
          <w:szCs w:val="24"/>
          <w:lang w:val="sq-AL"/>
        </w:rPr>
      </w:pPr>
      <w:r w:rsidRPr="00A1094A">
        <w:rPr>
          <w:rFonts w:ascii="Times New Roman" w:hAnsi="Times New Roman"/>
          <w:i/>
          <w:sz w:val="24"/>
          <w:szCs w:val="24"/>
          <w:lang w:val="sq-AL"/>
        </w:rPr>
        <w:t>E deklaron</w:t>
      </w:r>
      <w:r w:rsidRPr="00A1094A">
        <w:rPr>
          <w:rFonts w:ascii="Times New Roman" w:hAnsi="Times New Roman"/>
          <w:sz w:val="24"/>
          <w:szCs w:val="24"/>
          <w:lang w:val="sq-AL"/>
        </w:rPr>
        <w:t xml:space="preserve"> të papranueshëm ankimin në lidhje me mos zbatimin e vendimit në lidhje me sipërfaqen e tokës me </w:t>
      </w:r>
      <w:r w:rsidR="002E761F" w:rsidRPr="00A1094A">
        <w:rPr>
          <w:rFonts w:ascii="Times New Roman" w:hAnsi="Times New Roman"/>
          <w:sz w:val="24"/>
          <w:szCs w:val="24"/>
          <w:lang w:val="sq-AL"/>
        </w:rPr>
        <w:t>përmasë</w:t>
      </w:r>
      <w:r w:rsidRPr="00A1094A">
        <w:rPr>
          <w:rFonts w:ascii="Times New Roman" w:hAnsi="Times New Roman"/>
          <w:sz w:val="24"/>
          <w:szCs w:val="24"/>
          <w:lang w:val="sq-AL"/>
        </w:rPr>
        <w:t xml:space="preserve"> 300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në lidhje me ankimin nr. 33151/11 dhe ankimin në lidhje me mungesën e kompensimit në lidhje me sipërfaqen e tokës me përmasë 6,750 m</w:t>
      </w:r>
      <w:r w:rsidRPr="00A1094A">
        <w:rPr>
          <w:rFonts w:ascii="Times New Roman" w:hAnsi="Times New Roman"/>
          <w:sz w:val="24"/>
          <w:szCs w:val="24"/>
          <w:vertAlign w:val="superscript"/>
          <w:lang w:val="sq-AL"/>
        </w:rPr>
        <w:t>2</w:t>
      </w:r>
      <w:r w:rsidRPr="00A1094A">
        <w:rPr>
          <w:rFonts w:ascii="Times New Roman" w:hAnsi="Times New Roman"/>
          <w:sz w:val="24"/>
          <w:szCs w:val="24"/>
          <w:lang w:val="sq-AL"/>
        </w:rPr>
        <w:t xml:space="preserve"> referuar ankimit nr. 46103/11; </w:t>
      </w:r>
    </w:p>
    <w:p w:rsidR="00035AFA" w:rsidRPr="00A1094A" w:rsidRDefault="00035AFA" w:rsidP="00035AFA">
      <w:pPr>
        <w:pStyle w:val="ListParagraph"/>
        <w:rPr>
          <w:rFonts w:ascii="Times New Roman" w:hAnsi="Times New Roman"/>
          <w:sz w:val="24"/>
          <w:szCs w:val="24"/>
          <w:lang w:val="sq-AL"/>
        </w:rPr>
      </w:pPr>
    </w:p>
    <w:p w:rsidR="00035AFA" w:rsidRPr="00A1094A" w:rsidRDefault="00035AFA" w:rsidP="00035AFA">
      <w:pPr>
        <w:pStyle w:val="NoSpacing"/>
        <w:numPr>
          <w:ilvl w:val="0"/>
          <w:numId w:val="35"/>
        </w:numPr>
        <w:spacing w:line="276" w:lineRule="auto"/>
        <w:jc w:val="both"/>
        <w:rPr>
          <w:rFonts w:ascii="Times New Roman" w:hAnsi="Times New Roman"/>
          <w:sz w:val="24"/>
          <w:szCs w:val="24"/>
          <w:lang w:val="sq-AL"/>
        </w:rPr>
      </w:pPr>
      <w:r w:rsidRPr="00A1094A">
        <w:rPr>
          <w:rFonts w:ascii="Times New Roman" w:hAnsi="Times New Roman"/>
          <w:i/>
          <w:sz w:val="24"/>
          <w:szCs w:val="24"/>
          <w:lang w:val="sq-AL"/>
        </w:rPr>
        <w:t xml:space="preserve">I deklaron </w:t>
      </w:r>
      <w:r w:rsidRPr="00A1094A">
        <w:rPr>
          <w:rFonts w:ascii="Times New Roman" w:hAnsi="Times New Roman"/>
          <w:sz w:val="24"/>
          <w:szCs w:val="24"/>
          <w:lang w:val="sq-AL"/>
        </w:rPr>
        <w:t xml:space="preserve">ankimet e mbetura bazuar në Nenet 6 § 1 dhe 13 të Konventës si edhe të Nenit 1 të Protokollit Nr. 1 të Konventës në lidhje me moszbatimin e vendimeve vendase të formës së prerë dhe kohëzgjatjen e procedurave të pranueshme; </w:t>
      </w:r>
    </w:p>
    <w:p w:rsidR="00035AFA" w:rsidRPr="00A1094A" w:rsidRDefault="00035AFA" w:rsidP="00035AFA">
      <w:pPr>
        <w:pStyle w:val="NoSpacing"/>
        <w:spacing w:line="276" w:lineRule="auto"/>
        <w:jc w:val="both"/>
        <w:rPr>
          <w:rFonts w:ascii="Times New Roman" w:hAnsi="Times New Roman"/>
          <w:i/>
          <w:sz w:val="24"/>
          <w:szCs w:val="24"/>
          <w:lang w:val="sq-AL"/>
        </w:rPr>
      </w:pPr>
    </w:p>
    <w:p w:rsidR="00035AFA" w:rsidRPr="00A1094A" w:rsidRDefault="00035AFA" w:rsidP="00035AFA">
      <w:pPr>
        <w:pStyle w:val="NoSpacing"/>
        <w:numPr>
          <w:ilvl w:val="0"/>
          <w:numId w:val="35"/>
        </w:numPr>
        <w:spacing w:line="276" w:lineRule="auto"/>
        <w:jc w:val="both"/>
        <w:rPr>
          <w:rFonts w:ascii="Times New Roman" w:hAnsi="Times New Roman"/>
          <w:sz w:val="24"/>
          <w:szCs w:val="24"/>
          <w:lang w:val="sq-AL"/>
        </w:rPr>
      </w:pPr>
      <w:r w:rsidRPr="00A1094A">
        <w:rPr>
          <w:rFonts w:ascii="Times New Roman" w:hAnsi="Times New Roman"/>
          <w:i/>
          <w:sz w:val="24"/>
          <w:szCs w:val="24"/>
          <w:lang w:val="sq-AL"/>
        </w:rPr>
        <w:t xml:space="preserve">Gjykon </w:t>
      </w:r>
      <w:r w:rsidRPr="00A1094A">
        <w:rPr>
          <w:rFonts w:ascii="Times New Roman" w:hAnsi="Times New Roman"/>
          <w:sz w:val="24"/>
          <w:szCs w:val="24"/>
          <w:lang w:val="sq-AL"/>
        </w:rPr>
        <w:t>se ka pasur një shkelje të Neneve 6 § 1 dhe 13 të Konventës si edhe të Nenit 1 të Protokollit Nr. 1 të Konventës në lidhje me moszbatimin e vendimeve vendase të formës së prerë;</w:t>
      </w:r>
      <w:r w:rsidR="00DF3BF7">
        <w:rPr>
          <w:rFonts w:ascii="Times New Roman" w:hAnsi="Times New Roman"/>
          <w:sz w:val="24"/>
          <w:szCs w:val="24"/>
          <w:lang w:val="sq-AL"/>
        </w:rPr>
        <w:t xml:space="preserve"> </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35"/>
        </w:numPr>
        <w:spacing w:line="276" w:lineRule="auto"/>
        <w:jc w:val="both"/>
        <w:rPr>
          <w:rFonts w:ascii="Times New Roman" w:hAnsi="Times New Roman"/>
          <w:sz w:val="24"/>
          <w:szCs w:val="24"/>
          <w:lang w:val="sq-AL"/>
        </w:rPr>
      </w:pPr>
      <w:r w:rsidRPr="00A1094A">
        <w:rPr>
          <w:rFonts w:ascii="Times New Roman" w:hAnsi="Times New Roman"/>
          <w:i/>
          <w:sz w:val="24"/>
          <w:szCs w:val="24"/>
          <w:lang w:val="sq-AL"/>
        </w:rPr>
        <w:t xml:space="preserve">Gjykon </w:t>
      </w:r>
      <w:r w:rsidRPr="00A1094A">
        <w:rPr>
          <w:rFonts w:ascii="Times New Roman" w:hAnsi="Times New Roman"/>
          <w:sz w:val="24"/>
          <w:szCs w:val="24"/>
          <w:lang w:val="sq-AL"/>
        </w:rPr>
        <w:t xml:space="preserve">se nuk është e nevojshme të shqyrtohet ankesa sipas kuptimit të Nenit 6 § 1 të Konventës në lidhje me kohëzgjatjen e procedurave; </w:t>
      </w:r>
    </w:p>
    <w:p w:rsidR="00D3205D" w:rsidRDefault="00D3205D" w:rsidP="00D3205D">
      <w:pPr>
        <w:pStyle w:val="NoSpacing"/>
        <w:spacing w:line="276" w:lineRule="auto"/>
        <w:ind w:left="720"/>
        <w:jc w:val="center"/>
        <w:rPr>
          <w:rFonts w:ascii="Times New Roman" w:hAnsi="Times New Roman"/>
          <w:sz w:val="18"/>
          <w:szCs w:val="18"/>
          <w:lang w:val="sq-AL"/>
        </w:rPr>
      </w:pPr>
    </w:p>
    <w:p w:rsidR="00D3205D" w:rsidRPr="00A1094A" w:rsidRDefault="00D3205D" w:rsidP="00D3205D">
      <w:pPr>
        <w:pStyle w:val="NoSpacing"/>
        <w:spacing w:line="276" w:lineRule="auto"/>
        <w:ind w:left="720"/>
        <w:jc w:val="center"/>
        <w:rPr>
          <w:rFonts w:ascii="Times New Roman" w:hAnsi="Times New Roman"/>
          <w:sz w:val="18"/>
          <w:szCs w:val="18"/>
          <w:lang w:val="sq-AL"/>
        </w:rPr>
      </w:pPr>
      <w:r w:rsidRPr="00A1094A">
        <w:rPr>
          <w:rFonts w:ascii="Times New Roman" w:hAnsi="Times New Roman"/>
          <w:sz w:val="18"/>
          <w:szCs w:val="18"/>
          <w:lang w:val="sq-AL"/>
        </w:rPr>
        <w:t>VENDIMI ALIÇKA DHE TË TJERËT KUNDËR SHQIPËRISË</w:t>
      </w:r>
    </w:p>
    <w:p w:rsidR="00035AFA" w:rsidRPr="00A1094A" w:rsidRDefault="00035AFA" w:rsidP="00035AFA">
      <w:pPr>
        <w:pStyle w:val="NoSpacing"/>
        <w:spacing w:line="276" w:lineRule="auto"/>
        <w:jc w:val="both"/>
        <w:rPr>
          <w:rFonts w:ascii="Times New Roman" w:hAnsi="Times New Roman"/>
          <w:sz w:val="24"/>
          <w:szCs w:val="24"/>
          <w:lang w:val="sq-AL"/>
        </w:rPr>
      </w:pPr>
    </w:p>
    <w:p w:rsidR="00035AFA" w:rsidRPr="00A1094A" w:rsidRDefault="00035AFA" w:rsidP="00035AFA">
      <w:pPr>
        <w:pStyle w:val="NoSpacing"/>
        <w:numPr>
          <w:ilvl w:val="0"/>
          <w:numId w:val="35"/>
        </w:numPr>
        <w:spacing w:line="276" w:lineRule="auto"/>
        <w:jc w:val="both"/>
        <w:rPr>
          <w:rFonts w:ascii="Times New Roman" w:hAnsi="Times New Roman"/>
          <w:sz w:val="24"/>
          <w:szCs w:val="24"/>
          <w:lang w:val="sq-AL"/>
        </w:rPr>
      </w:pPr>
      <w:r w:rsidRPr="00A1094A">
        <w:rPr>
          <w:rFonts w:ascii="Times New Roman" w:hAnsi="Times New Roman"/>
          <w:i/>
          <w:sz w:val="24"/>
          <w:szCs w:val="24"/>
          <w:lang w:val="sq-AL"/>
        </w:rPr>
        <w:t>Gjykon</w:t>
      </w:r>
    </w:p>
    <w:p w:rsidR="00035AFA" w:rsidRPr="00A1094A" w:rsidRDefault="00035AFA" w:rsidP="00035AFA">
      <w:pPr>
        <w:pStyle w:val="NoSpacing"/>
        <w:numPr>
          <w:ilvl w:val="0"/>
          <w:numId w:val="37"/>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Se Shteti i paditur duhet të sigurojë, me anë të mjeteve të duhura, zbatimin e vendimeve të Komisionit të dhëna në favor të ankuesit në ankimin nr. 33151/11, për pjesën e tij të tokës, brenda tre muajve; </w:t>
      </w:r>
    </w:p>
    <w:p w:rsidR="00035AFA" w:rsidRPr="00A1094A" w:rsidRDefault="00035AFA" w:rsidP="00035AFA">
      <w:pPr>
        <w:pStyle w:val="NoSpacing"/>
        <w:numPr>
          <w:ilvl w:val="0"/>
          <w:numId w:val="37"/>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Se Shteti i paditur duhet t’i paguajë ankuesve në ankimet nr. 33823/11, 46103/11 dhe 78960/11 brenda tre muajve, shumat e referuara në paragrafët 50 dhe 55 të vendimit dhe të paraqitura në tabelë në Shtojcën 3, plus çdo taksë që mund të jetë e tarifueshme, për t’u shkëmbyer në monedhën vendase në normën e zbatueshme në datën e shlyerjes; </w:t>
      </w:r>
    </w:p>
    <w:p w:rsidR="00035AFA" w:rsidRPr="00A1094A" w:rsidRDefault="00035AFA" w:rsidP="00035AFA">
      <w:pPr>
        <w:pStyle w:val="NoSpacing"/>
        <w:numPr>
          <w:ilvl w:val="0"/>
          <w:numId w:val="37"/>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Se Shteti i paditur duhet t’iu paguajë ankuesve së bashku, në ankimet nr. 33148/11 dhe 72334/11 brenda tre muajve, shumat e referuara në paragrafët 50 dhe 55 të vendimit dhe të paraqitura në tabelën në Shtojcën 3, plus çdo taksë që mund të jetë e tarifueshme, për t’u shkëmbyer në monedhën vendase në normën e zbatueshme në datën e shlyerjes; </w:t>
      </w:r>
    </w:p>
    <w:p w:rsidR="00035AFA" w:rsidRPr="00A1094A" w:rsidRDefault="00035AFA" w:rsidP="00035AFA">
      <w:pPr>
        <w:pStyle w:val="NoSpacing"/>
        <w:numPr>
          <w:ilvl w:val="0"/>
          <w:numId w:val="37"/>
        </w:numPr>
        <w:spacing w:line="276" w:lineRule="auto"/>
        <w:jc w:val="both"/>
        <w:rPr>
          <w:rFonts w:ascii="Times New Roman" w:hAnsi="Times New Roman"/>
          <w:sz w:val="24"/>
          <w:szCs w:val="24"/>
          <w:lang w:val="sq-AL"/>
        </w:rPr>
      </w:pPr>
      <w:r w:rsidRPr="00A1094A">
        <w:rPr>
          <w:rFonts w:ascii="Times New Roman" w:hAnsi="Times New Roman"/>
          <w:sz w:val="24"/>
          <w:szCs w:val="24"/>
          <w:lang w:val="sq-AL"/>
        </w:rPr>
        <w:t xml:space="preserve">Se që nga kalimi i periudhës tre-mujore të sipërpërmendur deri në pagimin e kompensimit, interesi i thjeshtë do të jetë i pagueshëm në shumat e mësipërme në një normë të barabartë me normën marxhinale huadhënëse të Bankës Qenrore Europiane gjatë periudhës së vonesës plus tre përqind; </w:t>
      </w:r>
    </w:p>
    <w:p w:rsidR="00035AFA" w:rsidRPr="00A1094A" w:rsidRDefault="00035AFA" w:rsidP="00035AFA">
      <w:pPr>
        <w:pStyle w:val="NoSpacing"/>
        <w:numPr>
          <w:ilvl w:val="0"/>
          <w:numId w:val="35"/>
        </w:numPr>
        <w:spacing w:line="276" w:lineRule="auto"/>
        <w:jc w:val="both"/>
        <w:rPr>
          <w:rFonts w:ascii="Times New Roman" w:hAnsi="Times New Roman"/>
          <w:i/>
          <w:sz w:val="24"/>
          <w:szCs w:val="24"/>
          <w:lang w:val="sq-AL"/>
        </w:rPr>
      </w:pPr>
      <w:r w:rsidRPr="00A1094A">
        <w:rPr>
          <w:rFonts w:ascii="Times New Roman" w:hAnsi="Times New Roman"/>
          <w:i/>
          <w:sz w:val="24"/>
          <w:szCs w:val="24"/>
          <w:lang w:val="sq-AL"/>
        </w:rPr>
        <w:t xml:space="preserve">Rrëzon </w:t>
      </w:r>
      <w:r w:rsidRPr="00A1094A">
        <w:rPr>
          <w:rFonts w:ascii="Times New Roman" w:hAnsi="Times New Roman"/>
          <w:sz w:val="24"/>
          <w:szCs w:val="24"/>
          <w:lang w:val="sq-AL"/>
        </w:rPr>
        <w:t xml:space="preserve">pjesën e mbetur të kërkesës së ankuesve për kompensim të drejtë. </w:t>
      </w:r>
    </w:p>
    <w:p w:rsidR="00035AFA" w:rsidRPr="00A1094A" w:rsidRDefault="00035AFA" w:rsidP="00035AFA">
      <w:pPr>
        <w:pStyle w:val="NoSpacing"/>
        <w:spacing w:line="276" w:lineRule="auto"/>
        <w:ind w:left="720"/>
        <w:jc w:val="both"/>
        <w:rPr>
          <w:rFonts w:ascii="Times New Roman" w:hAnsi="Times New Roman"/>
          <w:sz w:val="24"/>
          <w:szCs w:val="24"/>
          <w:lang w:val="sq-AL"/>
        </w:rPr>
      </w:pPr>
    </w:p>
    <w:p w:rsidR="00035AFA" w:rsidRPr="00A1094A" w:rsidRDefault="00035AFA" w:rsidP="00035AFA">
      <w:pPr>
        <w:pStyle w:val="NoSpacing"/>
        <w:spacing w:line="276" w:lineRule="auto"/>
        <w:ind w:left="720"/>
        <w:jc w:val="both"/>
        <w:rPr>
          <w:rFonts w:ascii="Times New Roman" w:hAnsi="Times New Roman"/>
          <w:sz w:val="24"/>
          <w:szCs w:val="24"/>
          <w:lang w:val="sq-AL"/>
        </w:rPr>
      </w:pPr>
      <w:r w:rsidRPr="00A1094A">
        <w:rPr>
          <w:rFonts w:ascii="Times New Roman" w:hAnsi="Times New Roman"/>
          <w:sz w:val="24"/>
          <w:szCs w:val="24"/>
          <w:lang w:val="sq-AL"/>
        </w:rPr>
        <w:t xml:space="preserve">Përgatitur në anglisht dhe njoftuar me shkrim më 7 Prill 2016, sipas Rregullit 77 §§ 2 dhe 3 të Rregullores së Gjykatës. </w:t>
      </w:r>
    </w:p>
    <w:p w:rsidR="00035AFA" w:rsidRPr="00A1094A" w:rsidRDefault="00035AFA" w:rsidP="00035AFA">
      <w:pPr>
        <w:pStyle w:val="NoSpacing"/>
        <w:spacing w:line="276" w:lineRule="auto"/>
        <w:ind w:left="720"/>
        <w:jc w:val="both"/>
        <w:rPr>
          <w:rFonts w:ascii="Times New Roman" w:hAnsi="Times New Roman"/>
          <w:sz w:val="24"/>
          <w:szCs w:val="24"/>
          <w:lang w:val="sq-AL"/>
        </w:rPr>
      </w:pPr>
    </w:p>
    <w:p w:rsidR="00035AFA" w:rsidRPr="00A1094A" w:rsidRDefault="00DF3BF7" w:rsidP="00035AFA">
      <w:pPr>
        <w:pStyle w:val="NoSpacing"/>
        <w:tabs>
          <w:tab w:val="left" w:pos="6725"/>
        </w:tabs>
        <w:spacing w:line="276" w:lineRule="auto"/>
        <w:jc w:val="both"/>
        <w:rPr>
          <w:rFonts w:ascii="Times New Roman" w:hAnsi="Times New Roman"/>
          <w:sz w:val="24"/>
          <w:szCs w:val="24"/>
          <w:lang w:val="sq-AL"/>
        </w:rPr>
      </w:pPr>
      <w:r>
        <w:rPr>
          <w:rFonts w:ascii="Times New Roman" w:hAnsi="Times New Roman"/>
          <w:sz w:val="24"/>
          <w:szCs w:val="24"/>
          <w:lang w:val="sq-AL"/>
        </w:rPr>
        <w:t xml:space="preserve"> </w:t>
      </w:r>
      <w:r w:rsidR="00035AFA" w:rsidRPr="00A1094A">
        <w:rPr>
          <w:rFonts w:ascii="Times New Roman" w:hAnsi="Times New Roman"/>
          <w:sz w:val="24"/>
          <w:szCs w:val="24"/>
          <w:lang w:val="sq-AL"/>
        </w:rPr>
        <w:t>(</w:t>
      </w:r>
      <w:r w:rsidR="00035AFA" w:rsidRPr="00A1094A">
        <w:rPr>
          <w:rFonts w:ascii="Times New Roman" w:hAnsi="Times New Roman"/>
          <w:i/>
          <w:sz w:val="24"/>
          <w:szCs w:val="24"/>
          <w:lang w:val="sq-AL"/>
        </w:rPr>
        <w:t>Firmosur</w:t>
      </w:r>
      <w:r w:rsidR="00035AFA" w:rsidRPr="00A1094A">
        <w:rPr>
          <w:rFonts w:ascii="Times New Roman" w:hAnsi="Times New Roman"/>
          <w:sz w:val="24"/>
          <w:szCs w:val="24"/>
          <w:lang w:val="sq-AL"/>
        </w:rPr>
        <w:t>)</w:t>
      </w:r>
      <w:r w:rsidR="00035AFA" w:rsidRPr="00A1094A">
        <w:rPr>
          <w:rFonts w:ascii="Times New Roman" w:hAnsi="Times New Roman"/>
          <w:sz w:val="24"/>
          <w:szCs w:val="24"/>
          <w:lang w:val="sq-AL"/>
        </w:rPr>
        <w:tab/>
        <w:t>(</w:t>
      </w:r>
      <w:r w:rsidR="00035AFA" w:rsidRPr="00A1094A">
        <w:rPr>
          <w:rFonts w:ascii="Times New Roman" w:hAnsi="Times New Roman"/>
          <w:i/>
          <w:sz w:val="24"/>
          <w:szCs w:val="24"/>
          <w:lang w:val="sq-AL"/>
        </w:rPr>
        <w:t>Firmosur</w:t>
      </w:r>
      <w:r w:rsidR="00035AFA" w:rsidRPr="00A1094A">
        <w:rPr>
          <w:rFonts w:ascii="Times New Roman" w:hAnsi="Times New Roman"/>
          <w:sz w:val="24"/>
          <w:szCs w:val="24"/>
          <w:lang w:val="sq-AL"/>
        </w:rPr>
        <w:t>)</w:t>
      </w:r>
    </w:p>
    <w:p w:rsidR="00035AFA" w:rsidRPr="00A1094A" w:rsidRDefault="00D3205D" w:rsidP="00035AFA">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André W</w:t>
      </w:r>
      <w:r w:rsidR="00035AFA" w:rsidRPr="00A1094A">
        <w:rPr>
          <w:rFonts w:ascii="Times New Roman" w:hAnsi="Times New Roman"/>
          <w:sz w:val="24"/>
          <w:szCs w:val="24"/>
          <w:lang w:val="sq-AL"/>
        </w:rPr>
        <w:t xml:space="preserve">ampach </w:t>
      </w:r>
      <w:r w:rsidR="00035AFA" w:rsidRPr="00A1094A">
        <w:rPr>
          <w:rFonts w:ascii="Times New Roman" w:hAnsi="Times New Roman"/>
          <w:sz w:val="24"/>
          <w:szCs w:val="24"/>
          <w:lang w:val="sq-AL"/>
        </w:rPr>
        <w:tab/>
      </w:r>
      <w:r w:rsidR="00035AFA" w:rsidRPr="00A1094A">
        <w:rPr>
          <w:rFonts w:ascii="Times New Roman" w:hAnsi="Times New Roman"/>
          <w:sz w:val="24"/>
          <w:szCs w:val="24"/>
          <w:lang w:val="sq-AL"/>
        </w:rPr>
        <w:tab/>
      </w:r>
      <w:r w:rsidR="00035AFA" w:rsidRPr="00A1094A">
        <w:rPr>
          <w:rFonts w:ascii="Times New Roman" w:hAnsi="Times New Roman"/>
          <w:sz w:val="24"/>
          <w:szCs w:val="24"/>
          <w:lang w:val="sq-AL"/>
        </w:rPr>
        <w:tab/>
      </w:r>
      <w:r w:rsidR="00035AFA" w:rsidRPr="00A1094A">
        <w:rPr>
          <w:rFonts w:ascii="Times New Roman" w:hAnsi="Times New Roman"/>
          <w:sz w:val="24"/>
          <w:szCs w:val="24"/>
          <w:lang w:val="sq-AL"/>
        </w:rPr>
        <w:tab/>
      </w:r>
      <w:r w:rsidR="00035AFA" w:rsidRPr="00A1094A">
        <w:rPr>
          <w:rFonts w:ascii="Times New Roman" w:hAnsi="Times New Roman"/>
          <w:sz w:val="24"/>
          <w:szCs w:val="24"/>
          <w:lang w:val="sq-AL"/>
        </w:rPr>
        <w:tab/>
      </w:r>
      <w:r w:rsidR="00035AFA" w:rsidRPr="00A1094A">
        <w:rPr>
          <w:rFonts w:ascii="Times New Roman" w:hAnsi="Times New Roman"/>
          <w:sz w:val="24"/>
          <w:szCs w:val="24"/>
          <w:lang w:val="sq-AL"/>
        </w:rPr>
        <w:tab/>
      </w:r>
      <w:r w:rsidR="00035AFA" w:rsidRPr="00A1094A">
        <w:rPr>
          <w:rFonts w:ascii="Times New Roman" w:hAnsi="Times New Roman"/>
          <w:sz w:val="24"/>
          <w:szCs w:val="24"/>
          <w:lang w:val="sq-AL"/>
        </w:rPr>
        <w:tab/>
        <w:t>Kristina Pardalos</w:t>
      </w:r>
      <w:r w:rsidR="00DF3BF7">
        <w:rPr>
          <w:rFonts w:ascii="Times New Roman" w:hAnsi="Times New Roman"/>
          <w:sz w:val="24"/>
          <w:szCs w:val="24"/>
          <w:lang w:val="sq-AL"/>
        </w:rPr>
        <w:t xml:space="preserve"> </w:t>
      </w:r>
    </w:p>
    <w:p w:rsidR="00035AFA" w:rsidRPr="00A1094A" w:rsidRDefault="00035AFA" w:rsidP="00035AFA">
      <w:pPr>
        <w:pStyle w:val="NoSpacing"/>
        <w:spacing w:line="276" w:lineRule="auto"/>
        <w:rPr>
          <w:rFonts w:ascii="Times New Roman" w:hAnsi="Times New Roman"/>
          <w:sz w:val="24"/>
          <w:szCs w:val="24"/>
          <w:lang w:val="sq-AL"/>
        </w:rPr>
      </w:pPr>
      <w:r w:rsidRPr="00A1094A">
        <w:rPr>
          <w:rFonts w:ascii="Times New Roman" w:hAnsi="Times New Roman"/>
          <w:sz w:val="24"/>
          <w:szCs w:val="24"/>
          <w:lang w:val="sq-AL"/>
        </w:rPr>
        <w:t>Zëvendës regjistrar</w:t>
      </w:r>
      <w:r w:rsidRPr="00A1094A">
        <w:rPr>
          <w:rFonts w:ascii="Times New Roman" w:hAnsi="Times New Roman"/>
          <w:sz w:val="24"/>
          <w:szCs w:val="24"/>
          <w:lang w:val="sq-AL"/>
        </w:rPr>
        <w:tab/>
      </w:r>
      <w:r w:rsidRPr="00A1094A">
        <w:rPr>
          <w:rFonts w:ascii="Times New Roman" w:hAnsi="Times New Roman"/>
          <w:sz w:val="24"/>
          <w:szCs w:val="24"/>
          <w:lang w:val="sq-AL"/>
        </w:rPr>
        <w:tab/>
      </w:r>
      <w:r w:rsidRPr="00A1094A">
        <w:rPr>
          <w:rFonts w:ascii="Times New Roman" w:hAnsi="Times New Roman"/>
          <w:sz w:val="24"/>
          <w:szCs w:val="24"/>
          <w:lang w:val="sq-AL"/>
        </w:rPr>
        <w:tab/>
      </w:r>
      <w:r w:rsidRPr="00A1094A">
        <w:rPr>
          <w:rFonts w:ascii="Times New Roman" w:hAnsi="Times New Roman"/>
          <w:sz w:val="24"/>
          <w:szCs w:val="24"/>
          <w:lang w:val="sq-AL"/>
        </w:rPr>
        <w:tab/>
      </w:r>
      <w:r w:rsidRPr="00A1094A">
        <w:rPr>
          <w:rFonts w:ascii="Times New Roman" w:hAnsi="Times New Roman"/>
          <w:sz w:val="24"/>
          <w:szCs w:val="24"/>
          <w:lang w:val="sq-AL"/>
        </w:rPr>
        <w:tab/>
      </w:r>
      <w:r w:rsidRPr="00A1094A">
        <w:rPr>
          <w:rFonts w:ascii="Times New Roman" w:hAnsi="Times New Roman"/>
          <w:sz w:val="24"/>
          <w:szCs w:val="24"/>
          <w:lang w:val="sq-AL"/>
        </w:rPr>
        <w:tab/>
      </w:r>
      <w:r w:rsidRPr="00A1094A">
        <w:rPr>
          <w:rFonts w:ascii="Times New Roman" w:hAnsi="Times New Roman"/>
          <w:sz w:val="24"/>
          <w:szCs w:val="24"/>
          <w:lang w:val="sq-AL"/>
        </w:rPr>
        <w:tab/>
      </w:r>
      <w:r w:rsidR="00DF3BF7">
        <w:rPr>
          <w:rFonts w:ascii="Times New Roman" w:hAnsi="Times New Roman"/>
          <w:sz w:val="24"/>
          <w:szCs w:val="24"/>
          <w:lang w:val="sq-AL"/>
        </w:rPr>
        <w:t xml:space="preserve"> </w:t>
      </w:r>
      <w:r w:rsidRPr="00A1094A">
        <w:rPr>
          <w:rFonts w:ascii="Times New Roman" w:hAnsi="Times New Roman"/>
          <w:sz w:val="24"/>
          <w:szCs w:val="24"/>
          <w:lang w:val="sq-AL"/>
        </w:rPr>
        <w:t>Presidente</w:t>
      </w: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sz w:val="18"/>
          <w:szCs w:val="18"/>
          <w:lang w:val="sq-AL"/>
        </w:rPr>
      </w:pPr>
    </w:p>
    <w:p w:rsidR="00D3205D" w:rsidRPr="00A1094A" w:rsidRDefault="00D3205D" w:rsidP="00D3205D">
      <w:pPr>
        <w:pStyle w:val="NoSpacing"/>
        <w:spacing w:line="276" w:lineRule="auto"/>
        <w:jc w:val="center"/>
        <w:rPr>
          <w:rFonts w:ascii="Times New Roman" w:hAnsi="Times New Roman"/>
          <w:sz w:val="18"/>
          <w:szCs w:val="18"/>
          <w:lang w:val="sq-AL"/>
        </w:rPr>
      </w:pPr>
      <w:r w:rsidRPr="00A1094A">
        <w:rPr>
          <w:rFonts w:ascii="Times New Roman" w:hAnsi="Times New Roman"/>
          <w:sz w:val="18"/>
          <w:szCs w:val="18"/>
          <w:lang w:val="sq-AL"/>
        </w:rPr>
        <w:lastRenderedPageBreak/>
        <w:t>VENDIMI ALIÇKA DHE TË TJERËT KUNDËR SHQIPËRISË</w:t>
      </w:r>
    </w:p>
    <w:p w:rsidR="00035AFA" w:rsidRPr="00A1094A" w:rsidRDefault="00035AFA" w:rsidP="00035AFA">
      <w:pPr>
        <w:pStyle w:val="NoSpacing"/>
        <w:spacing w:line="276" w:lineRule="auto"/>
        <w:jc w:val="center"/>
        <w:rPr>
          <w:rFonts w:ascii="Times New Roman" w:hAnsi="Times New Roman"/>
          <w:sz w:val="18"/>
          <w:szCs w:val="18"/>
          <w:lang w:val="sq-AL"/>
        </w:rPr>
      </w:pPr>
    </w:p>
    <w:p w:rsidR="00035AFA" w:rsidRPr="00A1094A" w:rsidRDefault="00035AFA" w:rsidP="00035AFA">
      <w:pPr>
        <w:pStyle w:val="NoSpacing"/>
        <w:spacing w:line="276" w:lineRule="auto"/>
        <w:jc w:val="center"/>
        <w:rPr>
          <w:rFonts w:ascii="Times New Roman" w:hAnsi="Times New Roman"/>
          <w:b/>
          <w:sz w:val="24"/>
          <w:szCs w:val="24"/>
          <w:lang w:val="sq-AL"/>
        </w:rPr>
      </w:pPr>
      <w:r w:rsidRPr="00A1094A">
        <w:rPr>
          <w:rFonts w:ascii="Times New Roman" w:hAnsi="Times New Roman"/>
          <w:b/>
          <w:sz w:val="24"/>
          <w:szCs w:val="24"/>
          <w:lang w:val="sq-AL"/>
        </w:rPr>
        <w:t xml:space="preserve">SHTOJCA 1 – LISTA E ANKUESVE </w:t>
      </w:r>
    </w:p>
    <w:p w:rsidR="00035AFA" w:rsidRPr="00A1094A" w:rsidRDefault="00035AFA" w:rsidP="00035AFA">
      <w:pPr>
        <w:pStyle w:val="NoSpacing"/>
        <w:spacing w:line="276" w:lineRule="auto"/>
        <w:jc w:val="center"/>
        <w:rPr>
          <w:rFonts w:ascii="Times New Roman" w:hAnsi="Times New Roman"/>
          <w:b/>
          <w:sz w:val="24"/>
          <w:szCs w:val="24"/>
          <w:lang w:val="sq-AL"/>
        </w:rPr>
      </w:pPr>
    </w:p>
    <w:tbl>
      <w:tblPr>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890"/>
        <w:gridCol w:w="2070"/>
        <w:gridCol w:w="2160"/>
        <w:gridCol w:w="1620"/>
        <w:gridCol w:w="1980"/>
      </w:tblGrid>
      <w:tr w:rsidR="00035AFA" w:rsidRPr="005B6F20" w:rsidTr="00035AFA">
        <w:tc>
          <w:tcPr>
            <w:tcW w:w="630"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Nr.</w:t>
            </w:r>
          </w:p>
        </w:tc>
        <w:tc>
          <w:tcPr>
            <w:tcW w:w="1890"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Emri dhe numri i çështjes</w:t>
            </w:r>
          </w:p>
        </w:tc>
        <w:tc>
          <w:tcPr>
            <w:tcW w:w="2070"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Emri i ankuesit (viti i lindjes)</w:t>
            </w:r>
          </w:p>
        </w:tc>
        <w:tc>
          <w:tcPr>
            <w:tcW w:w="2160"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Shteti ku banojnë</w:t>
            </w:r>
          </w:p>
        </w:tc>
        <w:tc>
          <w:tcPr>
            <w:tcW w:w="1620"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Përfaqësuar nga</w:t>
            </w:r>
          </w:p>
        </w:tc>
        <w:tc>
          <w:tcPr>
            <w:tcW w:w="1980"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Data e prezantimit</w:t>
            </w:r>
          </w:p>
        </w:tc>
      </w:tr>
      <w:tr w:rsidR="00035AFA" w:rsidRPr="005B6F20" w:rsidTr="00035AFA">
        <w:tc>
          <w:tcPr>
            <w:tcW w:w="630" w:type="dxa"/>
          </w:tcPr>
          <w:p w:rsidR="00035AFA" w:rsidRPr="00A1094A" w:rsidRDefault="00035AFA" w:rsidP="00035AFA">
            <w:pPr>
              <w:pStyle w:val="NoSpacing"/>
              <w:spacing w:line="276" w:lineRule="auto"/>
              <w:jc w:val="both"/>
              <w:rPr>
                <w:rFonts w:ascii="Times New Roman" w:hAnsi="Times New Roman"/>
                <w:sz w:val="20"/>
                <w:szCs w:val="20"/>
                <w:lang w:val="sq-AL"/>
              </w:rPr>
            </w:pPr>
            <w:r w:rsidRPr="00A1094A">
              <w:rPr>
                <w:rFonts w:ascii="Times New Roman" w:hAnsi="Times New Roman"/>
                <w:sz w:val="20"/>
                <w:szCs w:val="20"/>
                <w:lang w:val="sq-AL"/>
              </w:rPr>
              <w:t>1</w:t>
            </w:r>
          </w:p>
        </w:tc>
        <w:tc>
          <w:tcPr>
            <w:tcW w:w="189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 xml:space="preserve">Aliçka dhe Vasha, </w:t>
            </w:r>
            <w:r w:rsidRPr="00A1094A">
              <w:rPr>
                <w:rFonts w:ascii="Times New Roman" w:hAnsi="Times New Roman"/>
                <w:sz w:val="20"/>
                <w:szCs w:val="20"/>
                <w:lang w:val="sq-AL"/>
              </w:rPr>
              <w:t>nr. 33148/11</w:t>
            </w:r>
          </w:p>
        </w:tc>
        <w:tc>
          <w:tcPr>
            <w:tcW w:w="207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Velisha Aliçka (1940)</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Adriatik Aliçka (1949)</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Nafije Vasha, mbiemri i vajzërisë Aliçka (1942)</w:t>
            </w:r>
          </w:p>
        </w:tc>
        <w:tc>
          <w:tcPr>
            <w:tcW w:w="216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Shqipëri </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Shqipëri</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Shqipëri</w:t>
            </w:r>
          </w:p>
        </w:tc>
        <w:tc>
          <w:tcPr>
            <w:tcW w:w="162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S, Dodbiba, avokat </w:t>
            </w:r>
          </w:p>
        </w:tc>
        <w:tc>
          <w:tcPr>
            <w:tcW w:w="198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17 Maj 2011</w:t>
            </w:r>
          </w:p>
        </w:tc>
      </w:tr>
      <w:tr w:rsidR="00035AFA" w:rsidRPr="005B6F20" w:rsidTr="00035AFA">
        <w:tc>
          <w:tcPr>
            <w:tcW w:w="630" w:type="dxa"/>
          </w:tcPr>
          <w:p w:rsidR="00035AFA" w:rsidRPr="00A1094A" w:rsidRDefault="00035AFA" w:rsidP="00035AFA">
            <w:pPr>
              <w:pStyle w:val="NoSpacing"/>
              <w:spacing w:line="276" w:lineRule="auto"/>
              <w:jc w:val="both"/>
              <w:rPr>
                <w:rFonts w:ascii="Times New Roman" w:hAnsi="Times New Roman"/>
                <w:sz w:val="20"/>
                <w:szCs w:val="20"/>
                <w:lang w:val="sq-AL"/>
              </w:rPr>
            </w:pPr>
            <w:r w:rsidRPr="00A1094A">
              <w:rPr>
                <w:rFonts w:ascii="Times New Roman" w:hAnsi="Times New Roman"/>
                <w:sz w:val="20"/>
                <w:szCs w:val="20"/>
                <w:lang w:val="sq-AL"/>
              </w:rPr>
              <w:t>2</w:t>
            </w:r>
          </w:p>
        </w:tc>
        <w:tc>
          <w:tcPr>
            <w:tcW w:w="189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Kreka,</w:t>
            </w:r>
            <w:r w:rsidR="00DF3BF7">
              <w:rPr>
                <w:rFonts w:ascii="Times New Roman" w:hAnsi="Times New Roman"/>
                <w:i/>
                <w:sz w:val="20"/>
                <w:szCs w:val="20"/>
                <w:lang w:val="sq-AL"/>
              </w:rPr>
              <w:t xml:space="preserve"> </w:t>
            </w:r>
            <w:r w:rsidRPr="00A1094A">
              <w:rPr>
                <w:rFonts w:ascii="Times New Roman" w:hAnsi="Times New Roman"/>
                <w:sz w:val="20"/>
                <w:szCs w:val="20"/>
                <w:lang w:val="sq-AL"/>
              </w:rPr>
              <w:t>nr. 33151/11</w:t>
            </w:r>
          </w:p>
        </w:tc>
        <w:tc>
          <w:tcPr>
            <w:tcW w:w="207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Selami Kreka (1925) </w:t>
            </w:r>
          </w:p>
        </w:tc>
        <w:tc>
          <w:tcPr>
            <w:tcW w:w="216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Shqipëri </w:t>
            </w:r>
          </w:p>
        </w:tc>
        <w:tc>
          <w:tcPr>
            <w:tcW w:w="162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Asnjë </w:t>
            </w:r>
          </w:p>
        </w:tc>
        <w:tc>
          <w:tcPr>
            <w:tcW w:w="198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13 Maj 2011</w:t>
            </w:r>
          </w:p>
        </w:tc>
      </w:tr>
      <w:tr w:rsidR="00035AFA" w:rsidRPr="005B6F20" w:rsidTr="00035AFA">
        <w:tc>
          <w:tcPr>
            <w:tcW w:w="630" w:type="dxa"/>
          </w:tcPr>
          <w:p w:rsidR="00035AFA" w:rsidRPr="00A1094A" w:rsidRDefault="00035AFA" w:rsidP="00035AFA">
            <w:pPr>
              <w:pStyle w:val="NoSpacing"/>
              <w:spacing w:line="276" w:lineRule="auto"/>
              <w:jc w:val="both"/>
              <w:rPr>
                <w:rFonts w:ascii="Times New Roman" w:hAnsi="Times New Roman"/>
                <w:sz w:val="20"/>
                <w:szCs w:val="20"/>
                <w:lang w:val="sq-AL"/>
              </w:rPr>
            </w:pPr>
            <w:r w:rsidRPr="00A1094A">
              <w:rPr>
                <w:rFonts w:ascii="Times New Roman" w:hAnsi="Times New Roman"/>
                <w:sz w:val="20"/>
                <w:szCs w:val="20"/>
                <w:lang w:val="sq-AL"/>
              </w:rPr>
              <w:t>3</w:t>
            </w:r>
          </w:p>
        </w:tc>
        <w:tc>
          <w:tcPr>
            <w:tcW w:w="189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Tahiri</w:t>
            </w:r>
            <w:r w:rsidRPr="00A1094A">
              <w:rPr>
                <w:rFonts w:ascii="Times New Roman" w:hAnsi="Times New Roman"/>
                <w:sz w:val="20"/>
                <w:szCs w:val="20"/>
                <w:lang w:val="sq-AL"/>
              </w:rPr>
              <w:t>, nr. 33823/11</w:t>
            </w:r>
          </w:p>
        </w:tc>
        <w:tc>
          <w:tcPr>
            <w:tcW w:w="207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Dilaver Tahiri (1944)</w:t>
            </w:r>
          </w:p>
        </w:tc>
        <w:tc>
          <w:tcPr>
            <w:tcW w:w="216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Shqipëri</w:t>
            </w:r>
          </w:p>
        </w:tc>
        <w:tc>
          <w:tcPr>
            <w:tcW w:w="162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V.Gumi, </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avokat</w:t>
            </w:r>
          </w:p>
        </w:tc>
        <w:tc>
          <w:tcPr>
            <w:tcW w:w="198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24 Prill 2011</w:t>
            </w:r>
          </w:p>
        </w:tc>
      </w:tr>
      <w:tr w:rsidR="00035AFA" w:rsidRPr="005B6F20" w:rsidTr="00035AFA">
        <w:tc>
          <w:tcPr>
            <w:tcW w:w="630" w:type="dxa"/>
          </w:tcPr>
          <w:p w:rsidR="00035AFA" w:rsidRPr="00A1094A" w:rsidRDefault="00035AFA" w:rsidP="00035AFA">
            <w:pPr>
              <w:pStyle w:val="NoSpacing"/>
              <w:spacing w:line="276" w:lineRule="auto"/>
              <w:jc w:val="both"/>
              <w:rPr>
                <w:rFonts w:ascii="Times New Roman" w:hAnsi="Times New Roman"/>
                <w:sz w:val="20"/>
                <w:szCs w:val="20"/>
                <w:lang w:val="sq-AL"/>
              </w:rPr>
            </w:pPr>
            <w:r w:rsidRPr="00A1094A">
              <w:rPr>
                <w:rFonts w:ascii="Times New Roman" w:hAnsi="Times New Roman"/>
                <w:sz w:val="20"/>
                <w:szCs w:val="20"/>
                <w:lang w:val="sq-AL"/>
              </w:rPr>
              <w:t>4</w:t>
            </w:r>
          </w:p>
        </w:tc>
        <w:tc>
          <w:tcPr>
            <w:tcW w:w="189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Theodhosi</w:t>
            </w:r>
            <w:r w:rsidRPr="00A1094A">
              <w:rPr>
                <w:rFonts w:ascii="Times New Roman" w:hAnsi="Times New Roman"/>
                <w:sz w:val="20"/>
                <w:szCs w:val="20"/>
                <w:lang w:val="sq-AL"/>
              </w:rPr>
              <w:t>, nr. 46103/11</w:t>
            </w:r>
          </w:p>
        </w:tc>
        <w:tc>
          <w:tcPr>
            <w:tcW w:w="207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Afërdita Theodhosi (1951)</w:t>
            </w:r>
          </w:p>
        </w:tc>
        <w:tc>
          <w:tcPr>
            <w:tcW w:w="216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Shqipëri </w:t>
            </w:r>
          </w:p>
        </w:tc>
        <w:tc>
          <w:tcPr>
            <w:tcW w:w="162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Asnjë </w:t>
            </w:r>
          </w:p>
        </w:tc>
        <w:tc>
          <w:tcPr>
            <w:tcW w:w="198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6 Korrik 2011</w:t>
            </w:r>
          </w:p>
        </w:tc>
      </w:tr>
      <w:tr w:rsidR="00035AFA" w:rsidRPr="005B6F20" w:rsidTr="00035AFA">
        <w:tc>
          <w:tcPr>
            <w:tcW w:w="630" w:type="dxa"/>
          </w:tcPr>
          <w:p w:rsidR="00035AFA" w:rsidRPr="00A1094A" w:rsidRDefault="00035AFA" w:rsidP="00035AFA">
            <w:pPr>
              <w:pStyle w:val="NoSpacing"/>
              <w:spacing w:line="276" w:lineRule="auto"/>
              <w:jc w:val="both"/>
              <w:rPr>
                <w:rFonts w:ascii="Times New Roman" w:hAnsi="Times New Roman"/>
                <w:sz w:val="20"/>
                <w:szCs w:val="20"/>
                <w:lang w:val="sq-AL"/>
              </w:rPr>
            </w:pPr>
            <w:r w:rsidRPr="00A1094A">
              <w:rPr>
                <w:rFonts w:ascii="Times New Roman" w:hAnsi="Times New Roman"/>
                <w:sz w:val="20"/>
                <w:szCs w:val="20"/>
                <w:lang w:val="sq-AL"/>
              </w:rPr>
              <w:t>5</w:t>
            </w:r>
          </w:p>
        </w:tc>
        <w:tc>
          <w:tcPr>
            <w:tcW w:w="189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Nishe dhe të Tjerët¸</w:t>
            </w:r>
            <w:r w:rsidRPr="00A1094A">
              <w:rPr>
                <w:rFonts w:ascii="Times New Roman" w:hAnsi="Times New Roman"/>
                <w:sz w:val="20"/>
                <w:szCs w:val="20"/>
                <w:lang w:val="sq-AL"/>
              </w:rPr>
              <w:t xml:space="preserve"> nr. 72334/11</w:t>
            </w:r>
          </w:p>
        </w:tc>
        <w:tc>
          <w:tcPr>
            <w:tcW w:w="207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Petraq Nishe (1938)</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Irini Shkurti, mbiemri i vajzërisë Nishe (1936)</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Josif Nishe (1938)</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Ilia Çili (1954)</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Margarita Tole, mbiemri i vajzërisë Çili (1957)</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Sotir Çili (1962)</w:t>
            </w:r>
          </w:p>
        </w:tc>
        <w:tc>
          <w:tcPr>
            <w:tcW w:w="216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Shqipëri </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Shqipëri </w:t>
            </w:r>
          </w:p>
          <w:p w:rsidR="00035AFA" w:rsidRPr="00A1094A" w:rsidRDefault="00035AFA" w:rsidP="00035AFA">
            <w:pPr>
              <w:pStyle w:val="NoSpacing"/>
              <w:spacing w:line="276" w:lineRule="auto"/>
              <w:rPr>
                <w:rFonts w:ascii="Times New Roman" w:hAnsi="Times New Roman"/>
                <w:sz w:val="20"/>
                <w:szCs w:val="20"/>
                <w:lang w:val="sq-AL"/>
              </w:rPr>
            </w:pPr>
          </w:p>
          <w:p w:rsidR="00035AFA" w:rsidRPr="00A1094A" w:rsidRDefault="00035AFA" w:rsidP="00035AFA">
            <w:pPr>
              <w:pStyle w:val="NoSpacing"/>
              <w:spacing w:line="276" w:lineRule="auto"/>
              <w:rPr>
                <w:rFonts w:ascii="Times New Roman" w:hAnsi="Times New Roman"/>
                <w:sz w:val="20"/>
                <w:szCs w:val="20"/>
                <w:lang w:val="sq-AL"/>
              </w:rPr>
            </w:pP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Shqipëri</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Shqipëri </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Shqipëri </w:t>
            </w:r>
          </w:p>
          <w:p w:rsidR="00035AFA" w:rsidRPr="00A1094A" w:rsidRDefault="00035AFA" w:rsidP="00035AFA">
            <w:pPr>
              <w:pStyle w:val="NoSpacing"/>
              <w:spacing w:line="276" w:lineRule="auto"/>
              <w:rPr>
                <w:rFonts w:ascii="Times New Roman" w:hAnsi="Times New Roman"/>
                <w:sz w:val="20"/>
                <w:szCs w:val="20"/>
                <w:lang w:val="sq-AL"/>
              </w:rPr>
            </w:pPr>
          </w:p>
          <w:p w:rsidR="00035AFA" w:rsidRPr="00A1094A" w:rsidRDefault="00035AFA" w:rsidP="00035AFA">
            <w:pPr>
              <w:pStyle w:val="NoSpacing"/>
              <w:spacing w:line="276" w:lineRule="auto"/>
              <w:rPr>
                <w:rFonts w:ascii="Times New Roman" w:hAnsi="Times New Roman"/>
                <w:sz w:val="20"/>
                <w:szCs w:val="20"/>
                <w:lang w:val="sq-AL"/>
              </w:rPr>
            </w:pP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Shqipëri </w:t>
            </w:r>
          </w:p>
        </w:tc>
        <w:tc>
          <w:tcPr>
            <w:tcW w:w="162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S. Dodbiba, avokat</w:t>
            </w:r>
          </w:p>
        </w:tc>
        <w:tc>
          <w:tcPr>
            <w:tcW w:w="198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5 Tetor 2011</w:t>
            </w:r>
          </w:p>
        </w:tc>
      </w:tr>
      <w:tr w:rsidR="00035AFA" w:rsidRPr="005B6F20" w:rsidTr="00035AFA">
        <w:tc>
          <w:tcPr>
            <w:tcW w:w="630" w:type="dxa"/>
          </w:tcPr>
          <w:p w:rsidR="00035AFA" w:rsidRPr="00A1094A" w:rsidRDefault="00035AFA" w:rsidP="00035AFA">
            <w:pPr>
              <w:pStyle w:val="NoSpacing"/>
              <w:spacing w:line="276" w:lineRule="auto"/>
              <w:jc w:val="both"/>
              <w:rPr>
                <w:rFonts w:ascii="Times New Roman" w:hAnsi="Times New Roman"/>
                <w:sz w:val="20"/>
                <w:szCs w:val="20"/>
                <w:lang w:val="sq-AL"/>
              </w:rPr>
            </w:pPr>
            <w:r w:rsidRPr="00A1094A">
              <w:rPr>
                <w:rFonts w:ascii="Times New Roman" w:hAnsi="Times New Roman"/>
                <w:sz w:val="20"/>
                <w:szCs w:val="20"/>
                <w:lang w:val="sq-AL"/>
              </w:rPr>
              <w:t>6</w:t>
            </w:r>
          </w:p>
        </w:tc>
        <w:tc>
          <w:tcPr>
            <w:tcW w:w="189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 xml:space="preserve">Benussi, </w:t>
            </w:r>
            <w:r w:rsidRPr="00A1094A">
              <w:rPr>
                <w:rFonts w:ascii="Times New Roman" w:hAnsi="Times New Roman"/>
                <w:sz w:val="20"/>
                <w:szCs w:val="20"/>
                <w:lang w:val="sq-AL"/>
              </w:rPr>
              <w:t>nr. 78960/11</w:t>
            </w:r>
          </w:p>
        </w:tc>
        <w:tc>
          <w:tcPr>
            <w:tcW w:w="207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Anton Benussi (1938)</w:t>
            </w:r>
          </w:p>
        </w:tc>
        <w:tc>
          <w:tcPr>
            <w:tcW w:w="216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Shqipëri </w:t>
            </w:r>
          </w:p>
          <w:p w:rsidR="00035AFA" w:rsidRPr="00A1094A" w:rsidRDefault="00035AFA" w:rsidP="00035AFA">
            <w:pPr>
              <w:pStyle w:val="NoSpacing"/>
              <w:spacing w:line="276" w:lineRule="auto"/>
              <w:rPr>
                <w:rFonts w:ascii="Times New Roman" w:hAnsi="Times New Roman"/>
                <w:sz w:val="20"/>
                <w:szCs w:val="20"/>
                <w:lang w:val="sq-AL"/>
              </w:rPr>
            </w:pPr>
          </w:p>
        </w:tc>
        <w:tc>
          <w:tcPr>
            <w:tcW w:w="162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S. Puto, avokat</w:t>
            </w:r>
          </w:p>
        </w:tc>
        <w:tc>
          <w:tcPr>
            <w:tcW w:w="198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12 Mars 2012</w:t>
            </w:r>
          </w:p>
        </w:tc>
      </w:tr>
    </w:tbl>
    <w:p w:rsidR="00035AFA" w:rsidRPr="00A1094A" w:rsidRDefault="00035AFA" w:rsidP="00035AFA">
      <w:pPr>
        <w:pStyle w:val="NoSpacing"/>
        <w:spacing w:line="276" w:lineRule="auto"/>
        <w:jc w:val="both"/>
        <w:rPr>
          <w:rFonts w:ascii="Times New Roman" w:hAnsi="Times New Roman"/>
          <w:b/>
          <w:sz w:val="24"/>
          <w:szCs w:val="24"/>
          <w:lang w:val="sq-AL"/>
        </w:rPr>
      </w:pPr>
    </w:p>
    <w:p w:rsidR="00035AFA" w:rsidRDefault="00035AFA"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Default="00D3205D" w:rsidP="00035AFA">
      <w:pPr>
        <w:pStyle w:val="NoSpacing"/>
        <w:spacing w:line="276" w:lineRule="auto"/>
        <w:jc w:val="both"/>
        <w:rPr>
          <w:rFonts w:ascii="Times New Roman" w:hAnsi="Times New Roman"/>
          <w:b/>
          <w:sz w:val="24"/>
          <w:szCs w:val="24"/>
          <w:lang w:val="sq-AL"/>
        </w:rPr>
      </w:pPr>
    </w:p>
    <w:p w:rsidR="00D3205D" w:rsidRPr="00D3205D" w:rsidRDefault="00D3205D" w:rsidP="00D3205D">
      <w:pPr>
        <w:pStyle w:val="NoSpacing"/>
        <w:spacing w:line="276" w:lineRule="auto"/>
        <w:jc w:val="center"/>
        <w:rPr>
          <w:rFonts w:ascii="Times New Roman" w:hAnsi="Times New Roman"/>
          <w:sz w:val="18"/>
          <w:szCs w:val="18"/>
          <w:lang w:val="sq-AL"/>
        </w:rPr>
      </w:pPr>
      <w:r w:rsidRPr="00A1094A">
        <w:rPr>
          <w:rFonts w:ascii="Times New Roman" w:hAnsi="Times New Roman"/>
          <w:sz w:val="18"/>
          <w:szCs w:val="18"/>
          <w:lang w:val="sq-AL"/>
        </w:rPr>
        <w:lastRenderedPageBreak/>
        <w:t>VENDIMI ALIÇKA DHE TË TJERËT KUNDËR SHQIPËRISË</w:t>
      </w:r>
    </w:p>
    <w:p w:rsidR="00035AFA" w:rsidRPr="00A1094A" w:rsidRDefault="00035AFA" w:rsidP="00035AFA">
      <w:pPr>
        <w:pStyle w:val="NoSpacing"/>
        <w:spacing w:line="276" w:lineRule="auto"/>
        <w:jc w:val="both"/>
        <w:rPr>
          <w:rFonts w:ascii="Times New Roman" w:hAnsi="Times New Roman"/>
          <w:b/>
          <w:sz w:val="24"/>
          <w:szCs w:val="24"/>
          <w:lang w:val="sq-AL"/>
        </w:rPr>
      </w:pPr>
    </w:p>
    <w:p w:rsidR="00035AFA" w:rsidRPr="00A1094A" w:rsidRDefault="00035AFA" w:rsidP="00035AFA">
      <w:pPr>
        <w:pStyle w:val="NoSpacing"/>
        <w:spacing w:line="276" w:lineRule="auto"/>
        <w:jc w:val="center"/>
        <w:rPr>
          <w:rFonts w:ascii="Times New Roman" w:hAnsi="Times New Roman"/>
          <w:b/>
          <w:sz w:val="24"/>
          <w:szCs w:val="24"/>
          <w:lang w:val="sq-AL"/>
        </w:rPr>
      </w:pPr>
      <w:r w:rsidRPr="00A1094A">
        <w:rPr>
          <w:rFonts w:ascii="Times New Roman" w:hAnsi="Times New Roman"/>
          <w:b/>
          <w:sz w:val="24"/>
          <w:szCs w:val="24"/>
          <w:lang w:val="sq-AL"/>
        </w:rPr>
        <w:t xml:space="preserve">SHTOJCA 2 – KËRKESAT E ANKUESVE PËR KOMPENSIM TË DREJTË </w:t>
      </w:r>
    </w:p>
    <w:p w:rsidR="00035AFA" w:rsidRPr="00A1094A" w:rsidRDefault="00035AFA" w:rsidP="00035AFA">
      <w:pPr>
        <w:pStyle w:val="NoSpacing"/>
        <w:spacing w:line="276" w:lineRule="auto"/>
        <w:jc w:val="center"/>
        <w:rPr>
          <w:rFonts w:ascii="Times New Roman" w:hAnsi="Times New Roman"/>
          <w:b/>
          <w:sz w:val="24"/>
          <w:szCs w:val="24"/>
          <w:lang w:val="sq-AL"/>
        </w:rPr>
      </w:pPr>
      <w:r w:rsidRPr="00A1094A">
        <w:rPr>
          <w:rFonts w:ascii="Times New Roman" w:hAnsi="Times New Roman"/>
          <w:b/>
          <w:sz w:val="24"/>
          <w:szCs w:val="24"/>
          <w:lang w:val="sq-AL"/>
        </w:rPr>
        <w:t>SI EDHE PËR KOSTOT DHE SHPENZIMET</w:t>
      </w:r>
    </w:p>
    <w:p w:rsidR="00035AFA" w:rsidRPr="00A1094A" w:rsidRDefault="00035AFA" w:rsidP="00035AFA">
      <w:pPr>
        <w:pStyle w:val="NoSpacing"/>
        <w:spacing w:line="276" w:lineRule="auto"/>
        <w:jc w:val="center"/>
        <w:rPr>
          <w:rFonts w:ascii="Times New Roman" w:hAnsi="Times New Roman"/>
          <w:b/>
          <w:sz w:val="24"/>
          <w:szCs w:val="24"/>
          <w:lang w:val="sq-AL"/>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1620"/>
        <w:gridCol w:w="2700"/>
        <w:gridCol w:w="2206"/>
        <w:gridCol w:w="2114"/>
      </w:tblGrid>
      <w:tr w:rsidR="00035AFA" w:rsidRPr="005B6F20" w:rsidTr="00035AFA">
        <w:tc>
          <w:tcPr>
            <w:tcW w:w="558"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 xml:space="preserve">Nr. </w:t>
            </w:r>
          </w:p>
        </w:tc>
        <w:tc>
          <w:tcPr>
            <w:tcW w:w="1620"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 xml:space="preserve">Emri dhe numri i ankimit </w:t>
            </w:r>
          </w:p>
        </w:tc>
        <w:tc>
          <w:tcPr>
            <w:tcW w:w="2700"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 xml:space="preserve">Dëmi monetar </w:t>
            </w:r>
          </w:p>
        </w:tc>
        <w:tc>
          <w:tcPr>
            <w:tcW w:w="2206"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 xml:space="preserve">Dëmi jo monetar </w:t>
            </w:r>
          </w:p>
        </w:tc>
        <w:tc>
          <w:tcPr>
            <w:tcW w:w="2114"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Kosto dhe shpenzime</w:t>
            </w:r>
          </w:p>
        </w:tc>
      </w:tr>
      <w:tr w:rsidR="00035AFA" w:rsidRPr="005B6F20" w:rsidTr="00035AFA">
        <w:tc>
          <w:tcPr>
            <w:tcW w:w="558" w:type="dxa"/>
          </w:tcPr>
          <w:p w:rsidR="00035AFA" w:rsidRPr="00A1094A" w:rsidRDefault="00035AFA" w:rsidP="00035AFA">
            <w:pPr>
              <w:pStyle w:val="NoSpacing"/>
              <w:spacing w:line="276" w:lineRule="auto"/>
              <w:jc w:val="center"/>
              <w:rPr>
                <w:rFonts w:ascii="Times New Roman" w:hAnsi="Times New Roman"/>
                <w:sz w:val="20"/>
                <w:szCs w:val="20"/>
                <w:lang w:val="sq-AL"/>
              </w:rPr>
            </w:pPr>
            <w:r w:rsidRPr="00A1094A">
              <w:rPr>
                <w:rFonts w:ascii="Times New Roman" w:hAnsi="Times New Roman"/>
                <w:sz w:val="20"/>
                <w:szCs w:val="20"/>
                <w:lang w:val="sq-AL"/>
              </w:rPr>
              <w:t>1</w:t>
            </w:r>
          </w:p>
        </w:tc>
        <w:tc>
          <w:tcPr>
            <w:tcW w:w="1620" w:type="dxa"/>
          </w:tcPr>
          <w:p w:rsidR="00035AFA" w:rsidRPr="00A1094A" w:rsidRDefault="00035AFA" w:rsidP="00035AFA">
            <w:pPr>
              <w:pStyle w:val="NoSpacing"/>
              <w:spacing w:line="276" w:lineRule="auto"/>
              <w:rPr>
                <w:rFonts w:ascii="Times New Roman" w:hAnsi="Times New Roman"/>
                <w:i/>
                <w:sz w:val="20"/>
                <w:szCs w:val="20"/>
                <w:lang w:val="sq-AL"/>
              </w:rPr>
            </w:pPr>
            <w:r w:rsidRPr="00A1094A">
              <w:rPr>
                <w:rFonts w:ascii="Times New Roman" w:hAnsi="Times New Roman"/>
                <w:i/>
                <w:sz w:val="20"/>
                <w:szCs w:val="20"/>
                <w:lang w:val="sq-AL"/>
              </w:rPr>
              <w:t xml:space="preserve">Aliçka dhe Vasha, </w:t>
            </w:r>
            <w:r w:rsidRPr="00A1094A">
              <w:rPr>
                <w:rFonts w:ascii="Times New Roman" w:hAnsi="Times New Roman"/>
                <w:sz w:val="20"/>
                <w:szCs w:val="20"/>
                <w:lang w:val="sq-AL"/>
              </w:rPr>
              <w:t>nr. 33148/11</w:t>
            </w:r>
          </w:p>
        </w:tc>
        <w:tc>
          <w:tcPr>
            <w:tcW w:w="270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EUR849,500 në lidhje me vlerën e pronës së sipërfaqes së tokës me përmasë 655,400 m</w:t>
            </w:r>
            <w:r w:rsidRPr="00A1094A">
              <w:rPr>
                <w:rFonts w:ascii="Times New Roman" w:hAnsi="Times New Roman"/>
                <w:sz w:val="20"/>
                <w:szCs w:val="20"/>
                <w:vertAlign w:val="superscript"/>
                <w:lang w:val="sq-AL"/>
              </w:rPr>
              <w:t>2</w:t>
            </w:r>
            <w:r w:rsidRPr="00A1094A">
              <w:rPr>
                <w:rFonts w:ascii="Times New Roman" w:hAnsi="Times New Roman"/>
                <w:sz w:val="20"/>
                <w:szCs w:val="20"/>
                <w:lang w:val="sq-AL"/>
              </w:rPr>
              <w:t xml:space="preserve"> për pjesën e tokës që i takon ankuesve, bazuar në raportin e ekspertit</w:t>
            </w:r>
          </w:p>
        </w:tc>
        <w:tc>
          <w:tcPr>
            <w:tcW w:w="2206"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Asnjë </w:t>
            </w:r>
          </w:p>
        </w:tc>
        <w:tc>
          <w:tcPr>
            <w:tcW w:w="2114"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5,000 (nuk u dorëzua asnjë faturë)</w:t>
            </w:r>
          </w:p>
        </w:tc>
      </w:tr>
      <w:tr w:rsidR="00035AFA" w:rsidRPr="005B6F20" w:rsidTr="00035AFA">
        <w:tc>
          <w:tcPr>
            <w:tcW w:w="558" w:type="dxa"/>
          </w:tcPr>
          <w:p w:rsidR="00035AFA" w:rsidRPr="00A1094A" w:rsidRDefault="00035AFA" w:rsidP="00035AFA">
            <w:pPr>
              <w:pStyle w:val="NoSpacing"/>
              <w:spacing w:line="276" w:lineRule="auto"/>
              <w:jc w:val="center"/>
              <w:rPr>
                <w:rFonts w:ascii="Times New Roman" w:hAnsi="Times New Roman"/>
                <w:sz w:val="20"/>
                <w:szCs w:val="20"/>
                <w:lang w:val="sq-AL"/>
              </w:rPr>
            </w:pPr>
            <w:r w:rsidRPr="00A1094A">
              <w:rPr>
                <w:rFonts w:ascii="Times New Roman" w:hAnsi="Times New Roman"/>
                <w:sz w:val="20"/>
                <w:szCs w:val="20"/>
                <w:lang w:val="sq-AL"/>
              </w:rPr>
              <w:t>2</w:t>
            </w:r>
          </w:p>
        </w:tc>
        <w:tc>
          <w:tcPr>
            <w:tcW w:w="162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Kreka</w:t>
            </w:r>
            <w:r w:rsidRPr="00A1094A">
              <w:rPr>
                <w:rFonts w:ascii="Times New Roman" w:hAnsi="Times New Roman"/>
                <w:sz w:val="20"/>
                <w:szCs w:val="20"/>
                <w:lang w:val="sq-AL"/>
              </w:rPr>
              <w:t>, nr. 33151/11</w:t>
            </w:r>
          </w:p>
        </w:tc>
        <w:tc>
          <w:tcPr>
            <w:tcW w:w="270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106,714 në lidhje me vlerën e pronës së sipërfaqes së tokës me përmasë 8,300m</w:t>
            </w:r>
            <w:r w:rsidRPr="00A1094A">
              <w:rPr>
                <w:rFonts w:ascii="Times New Roman" w:hAnsi="Times New Roman"/>
                <w:sz w:val="20"/>
                <w:szCs w:val="20"/>
                <w:vertAlign w:val="superscript"/>
                <w:lang w:val="sq-AL"/>
              </w:rPr>
              <w:t>2</w:t>
            </w:r>
            <w:r w:rsidRPr="00A1094A">
              <w:rPr>
                <w:rFonts w:ascii="Times New Roman" w:hAnsi="Times New Roman"/>
                <w:sz w:val="20"/>
                <w:szCs w:val="20"/>
                <w:lang w:val="sq-AL"/>
              </w:rPr>
              <w:t xml:space="preserve"> </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3,428 në lidhje me humbjen e përfitimeve si rezultat i prerjes së pemëve të arrave</w:t>
            </w:r>
          </w:p>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34,285 në lidhje me humbjen e përfitimeve si rezultat i ndërtimeve pa leje</w:t>
            </w:r>
          </w:p>
        </w:tc>
        <w:tc>
          <w:tcPr>
            <w:tcW w:w="2206"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Asnjë </w:t>
            </w:r>
          </w:p>
        </w:tc>
        <w:tc>
          <w:tcPr>
            <w:tcW w:w="2114"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881 (nuk u dorëzua asnjë faturë)</w:t>
            </w:r>
          </w:p>
        </w:tc>
      </w:tr>
      <w:tr w:rsidR="00035AFA" w:rsidRPr="005B6F20" w:rsidTr="00035AFA">
        <w:tc>
          <w:tcPr>
            <w:tcW w:w="558" w:type="dxa"/>
          </w:tcPr>
          <w:p w:rsidR="00035AFA" w:rsidRPr="00A1094A" w:rsidRDefault="00035AFA" w:rsidP="00035AFA">
            <w:pPr>
              <w:pStyle w:val="NoSpacing"/>
              <w:spacing w:line="276" w:lineRule="auto"/>
              <w:jc w:val="center"/>
              <w:rPr>
                <w:rFonts w:ascii="Times New Roman" w:hAnsi="Times New Roman"/>
                <w:sz w:val="20"/>
                <w:szCs w:val="20"/>
                <w:lang w:val="sq-AL"/>
              </w:rPr>
            </w:pPr>
            <w:r w:rsidRPr="00A1094A">
              <w:rPr>
                <w:rFonts w:ascii="Times New Roman" w:hAnsi="Times New Roman"/>
                <w:sz w:val="20"/>
                <w:szCs w:val="20"/>
                <w:lang w:val="sq-AL"/>
              </w:rPr>
              <w:t>3</w:t>
            </w:r>
          </w:p>
        </w:tc>
        <w:tc>
          <w:tcPr>
            <w:tcW w:w="162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 xml:space="preserve">Tahiri, </w:t>
            </w:r>
            <w:r w:rsidRPr="00A1094A">
              <w:rPr>
                <w:rFonts w:ascii="Times New Roman" w:hAnsi="Times New Roman"/>
                <w:sz w:val="20"/>
                <w:szCs w:val="20"/>
                <w:lang w:val="sq-AL"/>
              </w:rPr>
              <w:t>nr. 33823/11</w:t>
            </w:r>
          </w:p>
        </w:tc>
        <w:tc>
          <w:tcPr>
            <w:tcW w:w="270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118,819 në lidhje me vlerën e sipërfaqes së tokës me përmasa 672 m</w:t>
            </w:r>
            <w:r w:rsidRPr="00A1094A">
              <w:rPr>
                <w:rFonts w:ascii="Times New Roman" w:hAnsi="Times New Roman"/>
                <w:sz w:val="20"/>
                <w:szCs w:val="20"/>
                <w:vertAlign w:val="superscript"/>
                <w:lang w:val="sq-AL"/>
              </w:rPr>
              <w:t>2</w:t>
            </w:r>
            <w:r w:rsidRPr="00A1094A">
              <w:rPr>
                <w:rFonts w:ascii="Times New Roman" w:hAnsi="Times New Roman"/>
                <w:sz w:val="20"/>
                <w:szCs w:val="20"/>
                <w:lang w:val="sq-AL"/>
              </w:rPr>
              <w:t xml:space="preserve"> bazuar në hartat e vlerësimit të vitit 2008, nuk u bë asnjë kërkesë specifike për këtë pjesë të pronës.</w:t>
            </w:r>
          </w:p>
        </w:tc>
        <w:tc>
          <w:tcPr>
            <w:tcW w:w="2206"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10,000</w:t>
            </w:r>
          </w:p>
        </w:tc>
        <w:tc>
          <w:tcPr>
            <w:tcW w:w="2114"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8,302 (janë dorëzuar faturat)</w:t>
            </w:r>
          </w:p>
        </w:tc>
      </w:tr>
      <w:tr w:rsidR="00035AFA" w:rsidRPr="005B6F20" w:rsidTr="00035AFA">
        <w:tc>
          <w:tcPr>
            <w:tcW w:w="558" w:type="dxa"/>
          </w:tcPr>
          <w:p w:rsidR="00035AFA" w:rsidRPr="00A1094A" w:rsidRDefault="00035AFA" w:rsidP="00035AFA">
            <w:pPr>
              <w:pStyle w:val="NoSpacing"/>
              <w:spacing w:line="276" w:lineRule="auto"/>
              <w:jc w:val="center"/>
              <w:rPr>
                <w:rFonts w:ascii="Times New Roman" w:hAnsi="Times New Roman"/>
                <w:sz w:val="20"/>
                <w:szCs w:val="20"/>
                <w:lang w:val="sq-AL"/>
              </w:rPr>
            </w:pPr>
            <w:r w:rsidRPr="00A1094A">
              <w:rPr>
                <w:rFonts w:ascii="Times New Roman" w:hAnsi="Times New Roman"/>
                <w:sz w:val="20"/>
                <w:szCs w:val="20"/>
                <w:lang w:val="sq-AL"/>
              </w:rPr>
              <w:t>4</w:t>
            </w:r>
          </w:p>
        </w:tc>
        <w:tc>
          <w:tcPr>
            <w:tcW w:w="162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Theodhosi</w:t>
            </w:r>
            <w:r w:rsidRPr="00A1094A">
              <w:rPr>
                <w:rFonts w:ascii="Times New Roman" w:hAnsi="Times New Roman"/>
                <w:sz w:val="20"/>
                <w:szCs w:val="20"/>
                <w:lang w:val="sq-AL"/>
              </w:rPr>
              <w:t>, nr. 46103/11</w:t>
            </w:r>
          </w:p>
        </w:tc>
        <w:tc>
          <w:tcPr>
            <w:tcW w:w="270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2,975,000 në lidhje me vlerën e sipërfaqes së tokës me përmasa 17,500 m</w:t>
            </w:r>
            <w:r w:rsidRPr="00A1094A">
              <w:rPr>
                <w:rFonts w:ascii="Times New Roman" w:hAnsi="Times New Roman"/>
                <w:sz w:val="20"/>
                <w:szCs w:val="20"/>
                <w:vertAlign w:val="superscript"/>
                <w:lang w:val="sq-AL"/>
              </w:rPr>
              <w:t>2</w:t>
            </w:r>
            <w:r w:rsidRPr="00A1094A">
              <w:rPr>
                <w:rFonts w:ascii="Times New Roman" w:hAnsi="Times New Roman"/>
                <w:sz w:val="20"/>
                <w:szCs w:val="20"/>
                <w:lang w:val="sq-AL"/>
              </w:rPr>
              <w:t xml:space="preserve"> sipas </w:t>
            </w:r>
            <w:r w:rsidR="00D3205D">
              <w:rPr>
                <w:rFonts w:ascii="Times New Roman" w:hAnsi="Times New Roman"/>
                <w:sz w:val="20"/>
                <w:szCs w:val="20"/>
                <w:lang w:val="sq-AL"/>
              </w:rPr>
              <w:t>raportit të</w:t>
            </w:r>
            <w:r w:rsidRPr="00A1094A">
              <w:rPr>
                <w:rFonts w:ascii="Times New Roman" w:hAnsi="Times New Roman"/>
                <w:sz w:val="20"/>
                <w:szCs w:val="20"/>
                <w:lang w:val="sq-AL"/>
              </w:rPr>
              <w:t xml:space="preserve"> ekspertit së bashku me humbjen e përfitimeve, nuk u bë asnjë kërkesë specifike për këtë pjesë të pronës.</w:t>
            </w:r>
          </w:p>
        </w:tc>
        <w:tc>
          <w:tcPr>
            <w:tcW w:w="2206"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30,000</w:t>
            </w:r>
          </w:p>
        </w:tc>
        <w:tc>
          <w:tcPr>
            <w:tcW w:w="2114"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15,000 (nuk u dorëzua asnjë faturë)</w:t>
            </w:r>
          </w:p>
        </w:tc>
      </w:tr>
      <w:tr w:rsidR="00035AFA" w:rsidRPr="005B6F20" w:rsidTr="00035AFA">
        <w:tc>
          <w:tcPr>
            <w:tcW w:w="558" w:type="dxa"/>
          </w:tcPr>
          <w:p w:rsidR="00035AFA" w:rsidRPr="00A1094A" w:rsidRDefault="00035AFA" w:rsidP="00035AFA">
            <w:pPr>
              <w:pStyle w:val="NoSpacing"/>
              <w:spacing w:line="276" w:lineRule="auto"/>
              <w:jc w:val="center"/>
              <w:rPr>
                <w:rFonts w:ascii="Times New Roman" w:hAnsi="Times New Roman"/>
                <w:sz w:val="20"/>
                <w:szCs w:val="20"/>
                <w:lang w:val="sq-AL"/>
              </w:rPr>
            </w:pPr>
            <w:r w:rsidRPr="00A1094A">
              <w:rPr>
                <w:rFonts w:ascii="Times New Roman" w:hAnsi="Times New Roman"/>
                <w:sz w:val="20"/>
                <w:szCs w:val="20"/>
                <w:lang w:val="sq-AL"/>
              </w:rPr>
              <w:t>5</w:t>
            </w:r>
          </w:p>
        </w:tc>
        <w:tc>
          <w:tcPr>
            <w:tcW w:w="162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Nishe dhe të Tjerët</w:t>
            </w:r>
            <w:r w:rsidRPr="00A1094A">
              <w:rPr>
                <w:rFonts w:ascii="Times New Roman" w:hAnsi="Times New Roman"/>
                <w:sz w:val="20"/>
                <w:szCs w:val="20"/>
                <w:lang w:val="sq-AL"/>
              </w:rPr>
              <w:t>, nr. 72334/11</w:t>
            </w:r>
          </w:p>
        </w:tc>
        <w:tc>
          <w:tcPr>
            <w:tcW w:w="270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395,000 në lidhje me vlerën e tokës bujqësore me sipërfaqe prej 27,200m</w:t>
            </w:r>
            <w:r w:rsidRPr="00A1094A">
              <w:rPr>
                <w:rFonts w:ascii="Times New Roman" w:hAnsi="Times New Roman"/>
                <w:sz w:val="20"/>
                <w:szCs w:val="20"/>
                <w:vertAlign w:val="superscript"/>
                <w:lang w:val="sq-AL"/>
              </w:rPr>
              <w:t>2</w:t>
            </w:r>
            <w:r w:rsidRPr="00A1094A">
              <w:rPr>
                <w:rFonts w:ascii="Times New Roman" w:hAnsi="Times New Roman"/>
                <w:sz w:val="20"/>
                <w:szCs w:val="20"/>
                <w:lang w:val="sq-AL"/>
              </w:rPr>
              <w:t xml:space="preserve"> sipas raportit të ekspertit</w:t>
            </w:r>
          </w:p>
        </w:tc>
        <w:tc>
          <w:tcPr>
            <w:tcW w:w="2206"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16,000</w:t>
            </w:r>
          </w:p>
        </w:tc>
        <w:tc>
          <w:tcPr>
            <w:tcW w:w="2114"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5,000 (nuk u dorëzua asnjë faturë)</w:t>
            </w:r>
          </w:p>
        </w:tc>
      </w:tr>
      <w:tr w:rsidR="00035AFA" w:rsidRPr="005B6F20" w:rsidTr="00035AFA">
        <w:tc>
          <w:tcPr>
            <w:tcW w:w="558" w:type="dxa"/>
          </w:tcPr>
          <w:p w:rsidR="00035AFA" w:rsidRPr="00A1094A" w:rsidRDefault="00035AFA" w:rsidP="00035AFA">
            <w:pPr>
              <w:pStyle w:val="NoSpacing"/>
              <w:spacing w:line="276" w:lineRule="auto"/>
              <w:jc w:val="center"/>
              <w:rPr>
                <w:rFonts w:ascii="Times New Roman" w:hAnsi="Times New Roman"/>
                <w:sz w:val="20"/>
                <w:szCs w:val="20"/>
                <w:lang w:val="sq-AL"/>
              </w:rPr>
            </w:pPr>
            <w:r w:rsidRPr="00A1094A">
              <w:rPr>
                <w:rFonts w:ascii="Times New Roman" w:hAnsi="Times New Roman"/>
                <w:sz w:val="20"/>
                <w:szCs w:val="20"/>
                <w:lang w:val="sq-AL"/>
              </w:rPr>
              <w:t>6</w:t>
            </w:r>
          </w:p>
        </w:tc>
        <w:tc>
          <w:tcPr>
            <w:tcW w:w="162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 xml:space="preserve">Benussi, </w:t>
            </w:r>
            <w:r w:rsidRPr="00A1094A">
              <w:rPr>
                <w:rFonts w:ascii="Times New Roman" w:hAnsi="Times New Roman"/>
                <w:sz w:val="20"/>
                <w:szCs w:val="20"/>
                <w:lang w:val="sq-AL"/>
              </w:rPr>
              <w:t>nr. 78960/11</w:t>
            </w:r>
          </w:p>
        </w:tc>
        <w:tc>
          <w:tcPr>
            <w:tcW w:w="270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716,571 në lidhje me vlerën e tokës me sipërfaqe 836 m</w:t>
            </w:r>
            <w:r w:rsidRPr="00A1094A">
              <w:rPr>
                <w:rFonts w:ascii="Times New Roman" w:hAnsi="Times New Roman"/>
                <w:sz w:val="20"/>
                <w:szCs w:val="20"/>
                <w:vertAlign w:val="superscript"/>
                <w:lang w:val="sq-AL"/>
              </w:rPr>
              <w:t>2</w:t>
            </w:r>
            <w:r w:rsidRPr="00A1094A">
              <w:rPr>
                <w:rFonts w:ascii="Times New Roman" w:hAnsi="Times New Roman"/>
                <w:sz w:val="20"/>
                <w:szCs w:val="20"/>
                <w:lang w:val="sq-AL"/>
              </w:rPr>
              <w:t xml:space="preserve"> sipas hartave të vlerësimit të vitit 2013</w:t>
            </w:r>
          </w:p>
        </w:tc>
        <w:tc>
          <w:tcPr>
            <w:tcW w:w="2206"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15,000</w:t>
            </w:r>
          </w:p>
        </w:tc>
        <w:tc>
          <w:tcPr>
            <w:tcW w:w="2114"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1,000 (janë dorëzuar faturat)</w:t>
            </w:r>
          </w:p>
        </w:tc>
      </w:tr>
    </w:tbl>
    <w:p w:rsidR="00035AFA" w:rsidRPr="00A1094A" w:rsidRDefault="00035AFA" w:rsidP="00035AFA">
      <w:pPr>
        <w:pStyle w:val="NoSpacing"/>
        <w:spacing w:line="276" w:lineRule="auto"/>
        <w:jc w:val="center"/>
        <w:rPr>
          <w:rFonts w:ascii="Times New Roman" w:hAnsi="Times New Roman"/>
          <w:b/>
          <w:sz w:val="24"/>
          <w:szCs w:val="24"/>
          <w:lang w:val="sq-AL"/>
        </w:rPr>
      </w:pPr>
    </w:p>
    <w:p w:rsidR="00035AFA" w:rsidRPr="00A1094A" w:rsidRDefault="00035AFA" w:rsidP="00035AFA">
      <w:pPr>
        <w:pStyle w:val="NoSpacing"/>
        <w:spacing w:line="276" w:lineRule="auto"/>
        <w:jc w:val="center"/>
        <w:rPr>
          <w:rFonts w:ascii="Times New Roman" w:hAnsi="Times New Roman"/>
          <w:b/>
          <w:sz w:val="24"/>
          <w:szCs w:val="24"/>
          <w:lang w:val="sq-AL"/>
        </w:rPr>
      </w:pPr>
    </w:p>
    <w:p w:rsidR="00035AFA" w:rsidRPr="00A1094A" w:rsidRDefault="00D3205D" w:rsidP="00035AFA">
      <w:pPr>
        <w:pStyle w:val="NoSpacing"/>
        <w:spacing w:line="276" w:lineRule="auto"/>
        <w:jc w:val="center"/>
        <w:rPr>
          <w:rFonts w:ascii="Times New Roman" w:hAnsi="Times New Roman"/>
          <w:sz w:val="18"/>
          <w:szCs w:val="18"/>
          <w:lang w:val="sq-AL"/>
        </w:rPr>
      </w:pPr>
      <w:r w:rsidRPr="00A1094A">
        <w:rPr>
          <w:rFonts w:ascii="Times New Roman" w:hAnsi="Times New Roman"/>
          <w:sz w:val="18"/>
          <w:szCs w:val="18"/>
          <w:lang w:val="sq-AL"/>
        </w:rPr>
        <w:lastRenderedPageBreak/>
        <w:t>VENDIMI ALIÇKA DHE TË TJERËT KUNDËR SHQIPËRISË</w:t>
      </w:r>
    </w:p>
    <w:p w:rsidR="00035AFA" w:rsidRPr="00A1094A" w:rsidRDefault="00035AFA" w:rsidP="00035AFA">
      <w:pPr>
        <w:pStyle w:val="NoSpacing"/>
        <w:spacing w:line="276" w:lineRule="auto"/>
        <w:jc w:val="center"/>
        <w:rPr>
          <w:rFonts w:ascii="Times New Roman" w:hAnsi="Times New Roman"/>
          <w:b/>
          <w:sz w:val="24"/>
          <w:szCs w:val="24"/>
          <w:lang w:val="sq-AL"/>
        </w:rPr>
      </w:pPr>
    </w:p>
    <w:p w:rsidR="00035AFA" w:rsidRPr="00A1094A" w:rsidRDefault="00035AFA" w:rsidP="00035AFA">
      <w:pPr>
        <w:pStyle w:val="NoSpacing"/>
        <w:spacing w:line="276" w:lineRule="auto"/>
        <w:jc w:val="center"/>
        <w:rPr>
          <w:rFonts w:ascii="Times New Roman" w:hAnsi="Times New Roman"/>
          <w:b/>
          <w:sz w:val="24"/>
          <w:szCs w:val="24"/>
          <w:lang w:val="sq-AL"/>
        </w:rPr>
      </w:pPr>
      <w:r w:rsidRPr="00A1094A">
        <w:rPr>
          <w:rFonts w:ascii="Times New Roman" w:hAnsi="Times New Roman"/>
          <w:b/>
          <w:sz w:val="24"/>
          <w:szCs w:val="24"/>
          <w:lang w:val="sq-AL"/>
        </w:rPr>
        <w:t>SHTOJCA 3 – VENDIMI I GJYKATËS</w:t>
      </w:r>
    </w:p>
    <w:p w:rsidR="00035AFA" w:rsidRPr="00A1094A" w:rsidRDefault="00035AFA" w:rsidP="00035AFA">
      <w:pPr>
        <w:pStyle w:val="NoSpacing"/>
        <w:spacing w:line="276" w:lineRule="auto"/>
        <w:jc w:val="center"/>
        <w:rPr>
          <w:rFonts w:ascii="Times New Roman" w:hAnsi="Times New Roman"/>
          <w:b/>
          <w:sz w:val="24"/>
          <w:szCs w:val="24"/>
          <w:lang w:val="sq-AL"/>
        </w:rPr>
      </w:pP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2160"/>
        <w:gridCol w:w="3780"/>
        <w:gridCol w:w="2340"/>
      </w:tblGrid>
      <w:tr w:rsidR="00035AFA" w:rsidRPr="005B6F20" w:rsidTr="00035AFA">
        <w:tc>
          <w:tcPr>
            <w:tcW w:w="558"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 xml:space="preserve">Nr. </w:t>
            </w:r>
          </w:p>
        </w:tc>
        <w:tc>
          <w:tcPr>
            <w:tcW w:w="2160"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 xml:space="preserve">Emri dhe numri i ankimit </w:t>
            </w:r>
          </w:p>
        </w:tc>
        <w:tc>
          <w:tcPr>
            <w:tcW w:w="3780"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 xml:space="preserve">Dëmi monetar dhe dëmi jo monetar </w:t>
            </w:r>
          </w:p>
        </w:tc>
        <w:tc>
          <w:tcPr>
            <w:tcW w:w="2340" w:type="dxa"/>
          </w:tcPr>
          <w:p w:rsidR="00035AFA" w:rsidRPr="00A1094A" w:rsidRDefault="00035AFA" w:rsidP="00035AFA">
            <w:pPr>
              <w:pStyle w:val="NoSpacing"/>
              <w:spacing w:line="276" w:lineRule="auto"/>
              <w:jc w:val="center"/>
              <w:rPr>
                <w:rFonts w:ascii="Times New Roman" w:hAnsi="Times New Roman"/>
                <w:b/>
                <w:sz w:val="20"/>
                <w:szCs w:val="20"/>
                <w:lang w:val="sq-AL"/>
              </w:rPr>
            </w:pPr>
            <w:r w:rsidRPr="00A1094A">
              <w:rPr>
                <w:rFonts w:ascii="Times New Roman" w:hAnsi="Times New Roman"/>
                <w:b/>
                <w:sz w:val="20"/>
                <w:szCs w:val="20"/>
                <w:lang w:val="sq-AL"/>
              </w:rPr>
              <w:t>Kosto dhe shpenzime</w:t>
            </w:r>
          </w:p>
        </w:tc>
      </w:tr>
      <w:tr w:rsidR="00035AFA" w:rsidRPr="005B6F20" w:rsidTr="00035AFA">
        <w:tc>
          <w:tcPr>
            <w:tcW w:w="558" w:type="dxa"/>
          </w:tcPr>
          <w:p w:rsidR="00035AFA" w:rsidRPr="00A1094A" w:rsidRDefault="00035AFA" w:rsidP="00035AFA">
            <w:pPr>
              <w:pStyle w:val="NoSpacing"/>
              <w:spacing w:line="276" w:lineRule="auto"/>
              <w:jc w:val="center"/>
              <w:rPr>
                <w:rFonts w:ascii="Times New Roman" w:hAnsi="Times New Roman"/>
                <w:sz w:val="20"/>
                <w:szCs w:val="20"/>
                <w:lang w:val="sq-AL"/>
              </w:rPr>
            </w:pPr>
            <w:r w:rsidRPr="00A1094A">
              <w:rPr>
                <w:rFonts w:ascii="Times New Roman" w:hAnsi="Times New Roman"/>
                <w:sz w:val="20"/>
                <w:szCs w:val="20"/>
                <w:lang w:val="sq-AL"/>
              </w:rPr>
              <w:t>1</w:t>
            </w:r>
          </w:p>
        </w:tc>
        <w:tc>
          <w:tcPr>
            <w:tcW w:w="2160" w:type="dxa"/>
          </w:tcPr>
          <w:p w:rsidR="00035AFA" w:rsidRPr="00A1094A" w:rsidRDefault="00035AFA" w:rsidP="00035AFA">
            <w:pPr>
              <w:pStyle w:val="NoSpacing"/>
              <w:spacing w:line="276" w:lineRule="auto"/>
              <w:rPr>
                <w:rFonts w:ascii="Times New Roman" w:hAnsi="Times New Roman"/>
                <w:i/>
                <w:sz w:val="20"/>
                <w:szCs w:val="20"/>
                <w:lang w:val="sq-AL"/>
              </w:rPr>
            </w:pPr>
            <w:r w:rsidRPr="00A1094A">
              <w:rPr>
                <w:rFonts w:ascii="Times New Roman" w:hAnsi="Times New Roman"/>
                <w:i/>
                <w:sz w:val="20"/>
                <w:szCs w:val="20"/>
                <w:lang w:val="sq-AL"/>
              </w:rPr>
              <w:t xml:space="preserve">Aliçka dhe Vasha, </w:t>
            </w:r>
            <w:r w:rsidRPr="00A1094A">
              <w:rPr>
                <w:rFonts w:ascii="Times New Roman" w:hAnsi="Times New Roman"/>
                <w:sz w:val="20"/>
                <w:szCs w:val="20"/>
                <w:lang w:val="sq-AL"/>
              </w:rPr>
              <w:t>nr. 33148/11</w:t>
            </w:r>
          </w:p>
        </w:tc>
        <w:tc>
          <w:tcPr>
            <w:tcW w:w="378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3,200 (tre mije e dyqind)</w:t>
            </w:r>
          </w:p>
        </w:tc>
        <w:tc>
          <w:tcPr>
            <w:tcW w:w="234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Asnjë (nuk u dorëzua asnjë faturë)</w:t>
            </w:r>
          </w:p>
        </w:tc>
      </w:tr>
      <w:tr w:rsidR="00035AFA" w:rsidRPr="005B6F20" w:rsidTr="00035AFA">
        <w:tc>
          <w:tcPr>
            <w:tcW w:w="558" w:type="dxa"/>
          </w:tcPr>
          <w:p w:rsidR="00035AFA" w:rsidRPr="00A1094A" w:rsidRDefault="00035AFA" w:rsidP="00035AFA">
            <w:pPr>
              <w:pStyle w:val="NoSpacing"/>
              <w:spacing w:line="276" w:lineRule="auto"/>
              <w:jc w:val="center"/>
              <w:rPr>
                <w:rFonts w:ascii="Times New Roman" w:hAnsi="Times New Roman"/>
                <w:sz w:val="20"/>
                <w:szCs w:val="20"/>
                <w:lang w:val="sq-AL"/>
              </w:rPr>
            </w:pPr>
            <w:r w:rsidRPr="00A1094A">
              <w:rPr>
                <w:rFonts w:ascii="Times New Roman" w:hAnsi="Times New Roman"/>
                <w:sz w:val="20"/>
                <w:szCs w:val="20"/>
                <w:lang w:val="sq-AL"/>
              </w:rPr>
              <w:t>2</w:t>
            </w:r>
          </w:p>
        </w:tc>
        <w:tc>
          <w:tcPr>
            <w:tcW w:w="216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Kreka</w:t>
            </w:r>
            <w:r w:rsidRPr="00A1094A">
              <w:rPr>
                <w:rFonts w:ascii="Times New Roman" w:hAnsi="Times New Roman"/>
                <w:sz w:val="20"/>
                <w:szCs w:val="20"/>
                <w:lang w:val="sq-AL"/>
              </w:rPr>
              <w:t>, nr. 33151/11</w:t>
            </w:r>
          </w:p>
        </w:tc>
        <w:tc>
          <w:tcPr>
            <w:tcW w:w="378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Asnjë </w:t>
            </w:r>
          </w:p>
        </w:tc>
        <w:tc>
          <w:tcPr>
            <w:tcW w:w="234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Asnjë (nuk u dorëzua asnjë faturë)</w:t>
            </w:r>
          </w:p>
        </w:tc>
      </w:tr>
      <w:tr w:rsidR="00035AFA" w:rsidRPr="005B6F20" w:rsidTr="00035AFA">
        <w:tc>
          <w:tcPr>
            <w:tcW w:w="558" w:type="dxa"/>
          </w:tcPr>
          <w:p w:rsidR="00035AFA" w:rsidRPr="00A1094A" w:rsidRDefault="00035AFA" w:rsidP="00035AFA">
            <w:pPr>
              <w:pStyle w:val="NoSpacing"/>
              <w:spacing w:line="276" w:lineRule="auto"/>
              <w:jc w:val="center"/>
              <w:rPr>
                <w:rFonts w:ascii="Times New Roman" w:hAnsi="Times New Roman"/>
                <w:sz w:val="20"/>
                <w:szCs w:val="20"/>
                <w:lang w:val="sq-AL"/>
              </w:rPr>
            </w:pPr>
            <w:r w:rsidRPr="00A1094A">
              <w:rPr>
                <w:rFonts w:ascii="Times New Roman" w:hAnsi="Times New Roman"/>
                <w:sz w:val="20"/>
                <w:szCs w:val="20"/>
                <w:lang w:val="sq-AL"/>
              </w:rPr>
              <w:t>3</w:t>
            </w:r>
          </w:p>
        </w:tc>
        <w:tc>
          <w:tcPr>
            <w:tcW w:w="216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 xml:space="preserve">Tahiri, </w:t>
            </w:r>
            <w:r w:rsidRPr="00A1094A">
              <w:rPr>
                <w:rFonts w:ascii="Times New Roman" w:hAnsi="Times New Roman"/>
                <w:sz w:val="20"/>
                <w:szCs w:val="20"/>
                <w:lang w:val="sq-AL"/>
              </w:rPr>
              <w:t>nr. 33823/11</w:t>
            </w:r>
          </w:p>
        </w:tc>
        <w:tc>
          <w:tcPr>
            <w:tcW w:w="378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 xml:space="preserve">EUR 34,300 (tridhjetë e katër mijë e treqind) </w:t>
            </w:r>
          </w:p>
        </w:tc>
        <w:tc>
          <w:tcPr>
            <w:tcW w:w="234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850 (tetëqind e pesëdhjetë)</w:t>
            </w:r>
          </w:p>
        </w:tc>
      </w:tr>
      <w:tr w:rsidR="00035AFA" w:rsidRPr="005B6F20" w:rsidTr="00035AFA">
        <w:tc>
          <w:tcPr>
            <w:tcW w:w="558" w:type="dxa"/>
          </w:tcPr>
          <w:p w:rsidR="00035AFA" w:rsidRPr="00A1094A" w:rsidRDefault="00035AFA" w:rsidP="00035AFA">
            <w:pPr>
              <w:pStyle w:val="NoSpacing"/>
              <w:spacing w:line="276" w:lineRule="auto"/>
              <w:jc w:val="center"/>
              <w:rPr>
                <w:rFonts w:ascii="Times New Roman" w:hAnsi="Times New Roman"/>
                <w:sz w:val="20"/>
                <w:szCs w:val="20"/>
                <w:lang w:val="sq-AL"/>
              </w:rPr>
            </w:pPr>
            <w:r w:rsidRPr="00A1094A">
              <w:rPr>
                <w:rFonts w:ascii="Times New Roman" w:hAnsi="Times New Roman"/>
                <w:sz w:val="20"/>
                <w:szCs w:val="20"/>
                <w:lang w:val="sq-AL"/>
              </w:rPr>
              <w:t>4</w:t>
            </w:r>
          </w:p>
        </w:tc>
        <w:tc>
          <w:tcPr>
            <w:tcW w:w="216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Theodhosi</w:t>
            </w:r>
            <w:r w:rsidRPr="00A1094A">
              <w:rPr>
                <w:rFonts w:ascii="Times New Roman" w:hAnsi="Times New Roman"/>
                <w:sz w:val="20"/>
                <w:szCs w:val="20"/>
                <w:lang w:val="sq-AL"/>
              </w:rPr>
              <w:t>, nr. 46103/11</w:t>
            </w:r>
          </w:p>
        </w:tc>
        <w:tc>
          <w:tcPr>
            <w:tcW w:w="378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11,800 (njëmbëdhjetë mijë e tetëqind)</w:t>
            </w:r>
          </w:p>
        </w:tc>
        <w:tc>
          <w:tcPr>
            <w:tcW w:w="234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Asnjë (nuk u dorëzua asnjë faturë)</w:t>
            </w:r>
          </w:p>
        </w:tc>
      </w:tr>
      <w:tr w:rsidR="00035AFA" w:rsidRPr="005B6F20" w:rsidTr="00035AFA">
        <w:tc>
          <w:tcPr>
            <w:tcW w:w="558" w:type="dxa"/>
          </w:tcPr>
          <w:p w:rsidR="00035AFA" w:rsidRPr="00A1094A" w:rsidRDefault="00035AFA" w:rsidP="00035AFA">
            <w:pPr>
              <w:pStyle w:val="NoSpacing"/>
              <w:spacing w:line="276" w:lineRule="auto"/>
              <w:jc w:val="center"/>
              <w:rPr>
                <w:rFonts w:ascii="Times New Roman" w:hAnsi="Times New Roman"/>
                <w:sz w:val="20"/>
                <w:szCs w:val="20"/>
                <w:lang w:val="sq-AL"/>
              </w:rPr>
            </w:pPr>
            <w:r w:rsidRPr="00A1094A">
              <w:rPr>
                <w:rFonts w:ascii="Times New Roman" w:hAnsi="Times New Roman"/>
                <w:sz w:val="20"/>
                <w:szCs w:val="20"/>
                <w:lang w:val="sq-AL"/>
              </w:rPr>
              <w:t>5</w:t>
            </w:r>
          </w:p>
        </w:tc>
        <w:tc>
          <w:tcPr>
            <w:tcW w:w="216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Nishe dhe të Tjerët</w:t>
            </w:r>
            <w:r w:rsidRPr="00A1094A">
              <w:rPr>
                <w:rFonts w:ascii="Times New Roman" w:hAnsi="Times New Roman"/>
                <w:sz w:val="20"/>
                <w:szCs w:val="20"/>
                <w:lang w:val="sq-AL"/>
              </w:rPr>
              <w:t>, nr. 72334/11</w:t>
            </w:r>
          </w:p>
        </w:tc>
        <w:tc>
          <w:tcPr>
            <w:tcW w:w="378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31,300 (tridhjetë e një mijë e treqind)</w:t>
            </w:r>
          </w:p>
        </w:tc>
        <w:tc>
          <w:tcPr>
            <w:tcW w:w="234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Asnjë (nuk u dorëzua asnjë faturë)</w:t>
            </w:r>
          </w:p>
        </w:tc>
      </w:tr>
      <w:tr w:rsidR="00035AFA" w:rsidRPr="005B6F20" w:rsidTr="00035AFA">
        <w:tc>
          <w:tcPr>
            <w:tcW w:w="558" w:type="dxa"/>
          </w:tcPr>
          <w:p w:rsidR="00035AFA" w:rsidRPr="00A1094A" w:rsidRDefault="00035AFA" w:rsidP="00035AFA">
            <w:pPr>
              <w:pStyle w:val="NoSpacing"/>
              <w:spacing w:line="276" w:lineRule="auto"/>
              <w:jc w:val="center"/>
              <w:rPr>
                <w:rFonts w:ascii="Times New Roman" w:hAnsi="Times New Roman"/>
                <w:sz w:val="20"/>
                <w:szCs w:val="20"/>
                <w:lang w:val="sq-AL"/>
              </w:rPr>
            </w:pPr>
            <w:r w:rsidRPr="00A1094A">
              <w:rPr>
                <w:rFonts w:ascii="Times New Roman" w:hAnsi="Times New Roman"/>
                <w:sz w:val="20"/>
                <w:szCs w:val="20"/>
                <w:lang w:val="sq-AL"/>
              </w:rPr>
              <w:t>6</w:t>
            </w:r>
          </w:p>
        </w:tc>
        <w:tc>
          <w:tcPr>
            <w:tcW w:w="216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i/>
                <w:sz w:val="20"/>
                <w:szCs w:val="20"/>
                <w:lang w:val="sq-AL"/>
              </w:rPr>
              <w:t xml:space="preserve">Benussi, </w:t>
            </w:r>
            <w:r w:rsidRPr="00A1094A">
              <w:rPr>
                <w:rFonts w:ascii="Times New Roman" w:hAnsi="Times New Roman"/>
                <w:sz w:val="20"/>
                <w:szCs w:val="20"/>
                <w:lang w:val="sq-AL"/>
              </w:rPr>
              <w:t>nr. 78960/11</w:t>
            </w:r>
          </w:p>
        </w:tc>
        <w:tc>
          <w:tcPr>
            <w:tcW w:w="378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719,000 (shtatëqind e nëntëmbëdhjetë mijë)</w:t>
            </w:r>
          </w:p>
        </w:tc>
        <w:tc>
          <w:tcPr>
            <w:tcW w:w="2340" w:type="dxa"/>
          </w:tcPr>
          <w:p w:rsidR="00035AFA" w:rsidRPr="00A1094A" w:rsidRDefault="00035AFA" w:rsidP="00035AFA">
            <w:pPr>
              <w:pStyle w:val="NoSpacing"/>
              <w:spacing w:line="276" w:lineRule="auto"/>
              <w:rPr>
                <w:rFonts w:ascii="Times New Roman" w:hAnsi="Times New Roman"/>
                <w:sz w:val="20"/>
                <w:szCs w:val="20"/>
                <w:lang w:val="sq-AL"/>
              </w:rPr>
            </w:pPr>
            <w:r w:rsidRPr="00A1094A">
              <w:rPr>
                <w:rFonts w:ascii="Times New Roman" w:hAnsi="Times New Roman"/>
                <w:sz w:val="20"/>
                <w:szCs w:val="20"/>
                <w:lang w:val="sq-AL"/>
              </w:rPr>
              <w:t>EUR 850 (tetëqind e pesëdhjetë)</w:t>
            </w:r>
          </w:p>
        </w:tc>
      </w:tr>
    </w:tbl>
    <w:p w:rsidR="00035AFA" w:rsidRPr="00A1094A" w:rsidRDefault="00035AFA" w:rsidP="00035AFA">
      <w:pPr>
        <w:pStyle w:val="NoSpacing"/>
        <w:spacing w:line="276" w:lineRule="auto"/>
        <w:jc w:val="center"/>
        <w:rPr>
          <w:rFonts w:ascii="Times New Roman" w:hAnsi="Times New Roman"/>
          <w:b/>
          <w:sz w:val="24"/>
          <w:szCs w:val="24"/>
          <w:lang w:val="sq-AL"/>
        </w:rPr>
      </w:pPr>
    </w:p>
    <w:p w:rsidR="00035AFA" w:rsidRDefault="00035AFA"/>
    <w:sectPr w:rsidR="00035AFA" w:rsidSect="00035AFA">
      <w:headerReference w:type="default" r:id="rId7"/>
      <w:footerReference w:type="default" r:id="rId8"/>
      <w:pgSz w:w="12240" w:h="15840"/>
      <w:pgMar w:top="990"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CA5" w:rsidRDefault="001A2CA5">
      <w:pPr>
        <w:spacing w:after="0" w:line="240" w:lineRule="auto"/>
      </w:pPr>
      <w:r>
        <w:separator/>
      </w:r>
    </w:p>
  </w:endnote>
  <w:endnote w:type="continuationSeparator" w:id="0">
    <w:p w:rsidR="001A2CA5" w:rsidRDefault="001A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AFA" w:rsidRDefault="00035AFA">
    <w:pPr>
      <w:pStyle w:val="Footer"/>
      <w:jc w:val="center"/>
      <w:rPr>
        <w:b/>
        <w:i/>
        <w:color w:val="000080"/>
        <w:sz w:val="22"/>
      </w:rPr>
    </w:pPr>
  </w:p>
  <w:p w:rsidR="00035AFA" w:rsidRPr="008941FC" w:rsidRDefault="00035AFA">
    <w:pPr>
      <w:pStyle w:val="Footer"/>
      <w:pBdr>
        <w:top w:val="single" w:sz="4" w:space="1" w:color="auto"/>
      </w:pBdr>
      <w:jc w:val="center"/>
      <w:rPr>
        <w:b/>
        <w:i/>
        <w:color w:val="000080"/>
        <w:sz w:val="22"/>
        <w:lang w:val="it-IT"/>
      </w:rPr>
    </w:pPr>
    <w:r w:rsidRPr="008941FC">
      <w:rPr>
        <w:b/>
        <w:i/>
        <w:color w:val="000080"/>
        <w:sz w:val="22"/>
        <w:lang w:val="it-IT"/>
      </w:rPr>
      <w:t>Shërbimi i Përkthimit Zyrtar, Ministria e Drejtësisë, Republika e Shqipërisë</w:t>
    </w:r>
  </w:p>
  <w:p w:rsidR="00035AFA" w:rsidRDefault="00035AFA">
    <w:pPr>
      <w:pStyle w:val="Footer"/>
      <w:jc w:val="center"/>
      <w:rPr>
        <w:b/>
        <w:i/>
        <w:color w:val="000080"/>
        <w:sz w:val="22"/>
      </w:rPr>
    </w:pPr>
    <w:r>
      <w:rPr>
        <w:b/>
        <w:i/>
        <w:color w:val="000080"/>
        <w:sz w:val="22"/>
      </w:rPr>
      <w:t>Service des Traductions Officielles du Ministére de la Justice de la République d’Albanie</w:t>
    </w:r>
  </w:p>
  <w:p w:rsidR="00035AFA" w:rsidRDefault="00035AFA">
    <w:pPr>
      <w:pStyle w:val="Footer"/>
      <w:jc w:val="center"/>
      <w:rPr>
        <w:b/>
        <w:i/>
        <w:color w:val="000080"/>
        <w:sz w:val="22"/>
      </w:rPr>
    </w:pPr>
    <w:smartTag w:uri="urn:schemas-microsoft-com:office:smarttags" w:element="place">
      <w:smartTag w:uri="urn:schemas-microsoft-com:office:smarttags" w:element="PlaceType">
        <w:r>
          <w:rPr>
            <w:b/>
            <w:i/>
            <w:color w:val="000080"/>
            <w:sz w:val="22"/>
          </w:rPr>
          <w:t>Republic</w:t>
        </w:r>
      </w:smartTag>
      <w:r>
        <w:rPr>
          <w:b/>
          <w:i/>
          <w:color w:val="000080"/>
          <w:sz w:val="22"/>
        </w:rPr>
        <w:t xml:space="preserve"> of </w:t>
      </w:r>
      <w:smartTag w:uri="urn:schemas-microsoft-com:office:smarttags" w:element="PlaceName">
        <w:r>
          <w:rPr>
            <w:b/>
            <w:i/>
            <w:color w:val="000080"/>
            <w:sz w:val="22"/>
          </w:rPr>
          <w:t>Albania</w:t>
        </w:r>
      </w:smartTag>
    </w:smartTag>
    <w:r>
      <w:rPr>
        <w:b/>
        <w:i/>
        <w:color w:val="000080"/>
        <w:sz w:val="22"/>
      </w:rPr>
      <w:t>, Ministry of Justice, Official Translations Service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CA5" w:rsidRDefault="001A2CA5">
      <w:pPr>
        <w:spacing w:after="0" w:line="240" w:lineRule="auto"/>
      </w:pPr>
      <w:r>
        <w:separator/>
      </w:r>
    </w:p>
  </w:footnote>
  <w:footnote w:type="continuationSeparator" w:id="0">
    <w:p w:rsidR="001A2CA5" w:rsidRDefault="001A2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AFA" w:rsidRDefault="00035AFA">
    <w:pPr>
      <w:pStyle w:val="Header"/>
      <w:pBdr>
        <w:bottom w:val="single" w:sz="4" w:space="1" w:color="auto"/>
      </w:pBdr>
      <w:rPr>
        <w:b/>
        <w:color w:val="000080"/>
        <w:sz w:val="18"/>
      </w:rPr>
    </w:pPr>
    <w:r>
      <w:rPr>
        <w:b/>
        <w:color w:val="000080"/>
        <w:sz w:val="18"/>
      </w:rPr>
      <w:t>PERKTHIM ZYRTAR</w:t>
    </w:r>
    <w:r w:rsidR="00DF3BF7">
      <w:rPr>
        <w:b/>
        <w:color w:val="000080"/>
        <w:sz w:val="18"/>
      </w:rPr>
      <w:t xml:space="preserve"> </w:t>
    </w:r>
    <w:r w:rsidR="00FD4655">
      <w:rPr>
        <w:b/>
        <w:color w:val="000080"/>
        <w:sz w:val="18"/>
      </w:rPr>
      <w:tab/>
    </w:r>
    <w:r>
      <w:rPr>
        <w:b/>
        <w:color w:val="000080"/>
        <w:sz w:val="18"/>
      </w:rPr>
      <w:t>TRADUCTION OFFICIELLE</w:t>
    </w:r>
    <w:r>
      <w:rPr>
        <w:b/>
        <w:color w:val="000080"/>
        <w:sz w:val="18"/>
      </w:rPr>
      <w:tab/>
    </w:r>
    <w:r w:rsidR="00DF3BF7">
      <w:rPr>
        <w:b/>
        <w:color w:val="000080"/>
        <w:sz w:val="18"/>
      </w:rPr>
      <w:t xml:space="preserve"> </w:t>
    </w:r>
    <w:r>
      <w:rPr>
        <w:b/>
        <w:color w:val="000080"/>
        <w:sz w:val="18"/>
      </w:rPr>
      <w:t>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51D"/>
    <w:multiLevelType w:val="hybridMultilevel"/>
    <w:tmpl w:val="9E64F980"/>
    <w:lvl w:ilvl="0" w:tplc="667E5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FB2232"/>
    <w:multiLevelType w:val="hybridMultilevel"/>
    <w:tmpl w:val="FBE41BB0"/>
    <w:lvl w:ilvl="0" w:tplc="0409000F">
      <w:start w:val="2"/>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7617A"/>
    <w:multiLevelType w:val="hybridMultilevel"/>
    <w:tmpl w:val="3C5275F4"/>
    <w:lvl w:ilvl="0" w:tplc="41BE7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F5584"/>
    <w:multiLevelType w:val="hybridMultilevel"/>
    <w:tmpl w:val="0790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66D3B"/>
    <w:multiLevelType w:val="hybridMultilevel"/>
    <w:tmpl w:val="91F60A16"/>
    <w:lvl w:ilvl="0" w:tplc="661A68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643DB"/>
    <w:multiLevelType w:val="hybridMultilevel"/>
    <w:tmpl w:val="A2CAAE26"/>
    <w:lvl w:ilvl="0" w:tplc="7BF4D9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21887"/>
    <w:multiLevelType w:val="hybridMultilevel"/>
    <w:tmpl w:val="269A608C"/>
    <w:lvl w:ilvl="0" w:tplc="F77E2686">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12D16"/>
    <w:multiLevelType w:val="hybridMultilevel"/>
    <w:tmpl w:val="ECC83918"/>
    <w:lvl w:ilvl="0" w:tplc="9F04E6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B1536"/>
    <w:multiLevelType w:val="hybridMultilevel"/>
    <w:tmpl w:val="CC70907A"/>
    <w:lvl w:ilvl="0" w:tplc="1654DC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D1301"/>
    <w:multiLevelType w:val="hybridMultilevel"/>
    <w:tmpl w:val="3F143254"/>
    <w:lvl w:ilvl="0" w:tplc="6BC85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F45665"/>
    <w:multiLevelType w:val="hybridMultilevel"/>
    <w:tmpl w:val="EAAEA66C"/>
    <w:lvl w:ilvl="0" w:tplc="9C24B85A">
      <w:start w:val="1"/>
      <w:numFmt w:val="upperRoman"/>
      <w:lvlText w:val="%1."/>
      <w:lvlJc w:val="left"/>
      <w:pPr>
        <w:ind w:left="135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BE39B5"/>
    <w:multiLevelType w:val="hybridMultilevel"/>
    <w:tmpl w:val="069E2BC8"/>
    <w:lvl w:ilvl="0" w:tplc="9684B9D8">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D01FB3"/>
    <w:multiLevelType w:val="hybridMultilevel"/>
    <w:tmpl w:val="079E9B42"/>
    <w:lvl w:ilvl="0" w:tplc="BC1AA2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92A0F"/>
    <w:multiLevelType w:val="hybridMultilevel"/>
    <w:tmpl w:val="9B56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247FE"/>
    <w:multiLevelType w:val="hybridMultilevel"/>
    <w:tmpl w:val="9D648F66"/>
    <w:lvl w:ilvl="0" w:tplc="40C095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71825"/>
    <w:multiLevelType w:val="hybridMultilevel"/>
    <w:tmpl w:val="015C6370"/>
    <w:lvl w:ilvl="0" w:tplc="1D8A96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916FC"/>
    <w:multiLevelType w:val="hybridMultilevel"/>
    <w:tmpl w:val="3A08A340"/>
    <w:lvl w:ilvl="0" w:tplc="DAA22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1639E5"/>
    <w:multiLevelType w:val="hybridMultilevel"/>
    <w:tmpl w:val="631C9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42DA4"/>
    <w:multiLevelType w:val="hybridMultilevel"/>
    <w:tmpl w:val="9672139C"/>
    <w:lvl w:ilvl="0" w:tplc="696842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3D4D6F"/>
    <w:multiLevelType w:val="hybridMultilevel"/>
    <w:tmpl w:val="F2E0150C"/>
    <w:lvl w:ilvl="0" w:tplc="9EDCDC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F77C5"/>
    <w:multiLevelType w:val="hybridMultilevel"/>
    <w:tmpl w:val="247891B4"/>
    <w:lvl w:ilvl="0" w:tplc="C4C2DF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24DFF"/>
    <w:multiLevelType w:val="hybridMultilevel"/>
    <w:tmpl w:val="03344A7A"/>
    <w:lvl w:ilvl="0" w:tplc="E9749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4410A2"/>
    <w:multiLevelType w:val="hybridMultilevel"/>
    <w:tmpl w:val="B6240D6E"/>
    <w:lvl w:ilvl="0" w:tplc="690A278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C12822"/>
    <w:multiLevelType w:val="hybridMultilevel"/>
    <w:tmpl w:val="12C21FFE"/>
    <w:lvl w:ilvl="0" w:tplc="9E5811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446B5"/>
    <w:multiLevelType w:val="hybridMultilevel"/>
    <w:tmpl w:val="5B2C3A4C"/>
    <w:lvl w:ilvl="0" w:tplc="D6E23ED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96EAB"/>
    <w:multiLevelType w:val="hybridMultilevel"/>
    <w:tmpl w:val="A3F6889C"/>
    <w:lvl w:ilvl="0" w:tplc="0B344A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93694"/>
    <w:multiLevelType w:val="hybridMultilevel"/>
    <w:tmpl w:val="232CC784"/>
    <w:lvl w:ilvl="0" w:tplc="8B3049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F67421"/>
    <w:multiLevelType w:val="hybridMultilevel"/>
    <w:tmpl w:val="B9B2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30302"/>
    <w:multiLevelType w:val="hybridMultilevel"/>
    <w:tmpl w:val="01684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6A43BB"/>
    <w:multiLevelType w:val="hybridMultilevel"/>
    <w:tmpl w:val="F8DCCC88"/>
    <w:lvl w:ilvl="0" w:tplc="3BF6C2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7A1285"/>
    <w:multiLevelType w:val="hybridMultilevel"/>
    <w:tmpl w:val="DE889540"/>
    <w:lvl w:ilvl="0" w:tplc="03ECEA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B67913"/>
    <w:multiLevelType w:val="hybridMultilevel"/>
    <w:tmpl w:val="88B04F98"/>
    <w:lvl w:ilvl="0" w:tplc="95B020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E6372"/>
    <w:multiLevelType w:val="hybridMultilevel"/>
    <w:tmpl w:val="D97E3C50"/>
    <w:lvl w:ilvl="0" w:tplc="41885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F517D"/>
    <w:multiLevelType w:val="hybridMultilevel"/>
    <w:tmpl w:val="C9487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0C2ED4"/>
    <w:multiLevelType w:val="hybridMultilevel"/>
    <w:tmpl w:val="9CEC94E8"/>
    <w:lvl w:ilvl="0" w:tplc="1BA2613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AE04A0"/>
    <w:multiLevelType w:val="hybridMultilevel"/>
    <w:tmpl w:val="8DF0A0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033D1E"/>
    <w:multiLevelType w:val="hybridMultilevel"/>
    <w:tmpl w:val="4C745660"/>
    <w:lvl w:ilvl="0" w:tplc="DCAEB9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C23F69"/>
    <w:multiLevelType w:val="hybridMultilevel"/>
    <w:tmpl w:val="31E80EAE"/>
    <w:lvl w:ilvl="0" w:tplc="0BD6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047FF"/>
    <w:multiLevelType w:val="hybridMultilevel"/>
    <w:tmpl w:val="88DE0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F62D2"/>
    <w:multiLevelType w:val="hybridMultilevel"/>
    <w:tmpl w:val="5B2C3A4C"/>
    <w:lvl w:ilvl="0" w:tplc="D6E23ED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
  </w:num>
  <w:num w:numId="3">
    <w:abstractNumId w:val="8"/>
  </w:num>
  <w:num w:numId="4">
    <w:abstractNumId w:val="28"/>
  </w:num>
  <w:num w:numId="5">
    <w:abstractNumId w:val="5"/>
  </w:num>
  <w:num w:numId="6">
    <w:abstractNumId w:val="33"/>
  </w:num>
  <w:num w:numId="7">
    <w:abstractNumId w:val="3"/>
  </w:num>
  <w:num w:numId="8">
    <w:abstractNumId w:val="12"/>
  </w:num>
  <w:num w:numId="9">
    <w:abstractNumId w:val="16"/>
  </w:num>
  <w:num w:numId="10">
    <w:abstractNumId w:val="10"/>
  </w:num>
  <w:num w:numId="11">
    <w:abstractNumId w:val="35"/>
  </w:num>
  <w:num w:numId="12">
    <w:abstractNumId w:val="31"/>
  </w:num>
  <w:num w:numId="13">
    <w:abstractNumId w:val="29"/>
  </w:num>
  <w:num w:numId="14">
    <w:abstractNumId w:val="27"/>
  </w:num>
  <w:num w:numId="15">
    <w:abstractNumId w:val="36"/>
  </w:num>
  <w:num w:numId="16">
    <w:abstractNumId w:val="23"/>
  </w:num>
  <w:num w:numId="17">
    <w:abstractNumId w:val="1"/>
  </w:num>
  <w:num w:numId="18">
    <w:abstractNumId w:val="17"/>
  </w:num>
  <w:num w:numId="19">
    <w:abstractNumId w:val="38"/>
  </w:num>
  <w:num w:numId="20">
    <w:abstractNumId w:val="13"/>
  </w:num>
  <w:num w:numId="21">
    <w:abstractNumId w:val="4"/>
  </w:num>
  <w:num w:numId="22">
    <w:abstractNumId w:val="0"/>
  </w:num>
  <w:num w:numId="23">
    <w:abstractNumId w:val="9"/>
  </w:num>
  <w:num w:numId="24">
    <w:abstractNumId w:val="37"/>
  </w:num>
  <w:num w:numId="25">
    <w:abstractNumId w:val="14"/>
  </w:num>
  <w:num w:numId="26">
    <w:abstractNumId w:val="30"/>
  </w:num>
  <w:num w:numId="27">
    <w:abstractNumId w:val="26"/>
  </w:num>
  <w:num w:numId="28">
    <w:abstractNumId w:val="19"/>
  </w:num>
  <w:num w:numId="29">
    <w:abstractNumId w:val="15"/>
  </w:num>
  <w:num w:numId="30">
    <w:abstractNumId w:val="21"/>
  </w:num>
  <w:num w:numId="31">
    <w:abstractNumId w:val="22"/>
  </w:num>
  <w:num w:numId="32">
    <w:abstractNumId w:val="20"/>
  </w:num>
  <w:num w:numId="33">
    <w:abstractNumId w:val="11"/>
  </w:num>
  <w:num w:numId="34">
    <w:abstractNumId w:val="6"/>
  </w:num>
  <w:num w:numId="35">
    <w:abstractNumId w:val="34"/>
  </w:num>
  <w:num w:numId="36">
    <w:abstractNumId w:val="7"/>
  </w:num>
  <w:num w:numId="37">
    <w:abstractNumId w:val="25"/>
  </w:num>
  <w:num w:numId="38">
    <w:abstractNumId w:val="39"/>
  </w:num>
  <w:num w:numId="39">
    <w:abstractNumId w:val="32"/>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FA"/>
    <w:rsid w:val="00035AFA"/>
    <w:rsid w:val="000A01B4"/>
    <w:rsid w:val="001A2CA5"/>
    <w:rsid w:val="001C1305"/>
    <w:rsid w:val="002E761F"/>
    <w:rsid w:val="005B6F20"/>
    <w:rsid w:val="005F5AF9"/>
    <w:rsid w:val="00700F3A"/>
    <w:rsid w:val="008F2B07"/>
    <w:rsid w:val="0098171F"/>
    <w:rsid w:val="00B315F8"/>
    <w:rsid w:val="00C37F32"/>
    <w:rsid w:val="00D3205D"/>
    <w:rsid w:val="00DF3BF7"/>
    <w:rsid w:val="00E25C5C"/>
    <w:rsid w:val="00F76374"/>
    <w:rsid w:val="00FD4655"/>
    <w:rsid w:val="00FE6B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1A3BEE4-8576-42B6-9FF1-63E7A377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AFA"/>
    <w:rPr>
      <w:sz w:val="22"/>
      <w:szCs w:val="22"/>
    </w:rPr>
  </w:style>
  <w:style w:type="paragraph" w:styleId="Header">
    <w:name w:val="header"/>
    <w:basedOn w:val="Normal"/>
    <w:link w:val="HeaderChar"/>
    <w:uiPriority w:val="99"/>
    <w:rsid w:val="00035AFA"/>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HeaderChar">
    <w:name w:val="Header Char"/>
    <w:link w:val="Header"/>
    <w:uiPriority w:val="99"/>
    <w:rsid w:val="00035AFA"/>
    <w:rPr>
      <w:rFonts w:ascii="Times New Roman" w:eastAsia="Times New Roman" w:hAnsi="Times New Roman" w:cs="Times New Roman"/>
      <w:sz w:val="20"/>
      <w:szCs w:val="20"/>
    </w:rPr>
  </w:style>
  <w:style w:type="paragraph" w:styleId="Footer">
    <w:name w:val="footer"/>
    <w:basedOn w:val="Normal"/>
    <w:link w:val="FooterChar"/>
    <w:uiPriority w:val="99"/>
    <w:rsid w:val="00035AFA"/>
    <w:pPr>
      <w:tabs>
        <w:tab w:val="center" w:pos="4320"/>
        <w:tab w:val="right" w:pos="8640"/>
      </w:tabs>
      <w:spacing w:after="0" w:line="240" w:lineRule="auto"/>
    </w:pPr>
    <w:rPr>
      <w:rFonts w:ascii="Times New Roman" w:hAnsi="Times New Roman"/>
      <w:sz w:val="20"/>
      <w:szCs w:val="20"/>
      <w:lang w:val="x-none" w:eastAsia="x-none"/>
    </w:rPr>
  </w:style>
  <w:style w:type="character" w:customStyle="1" w:styleId="FooterChar">
    <w:name w:val="Footer Char"/>
    <w:link w:val="Footer"/>
    <w:uiPriority w:val="99"/>
    <w:rsid w:val="00035AFA"/>
    <w:rPr>
      <w:rFonts w:ascii="Times New Roman" w:eastAsia="Times New Roman" w:hAnsi="Times New Roman" w:cs="Times New Roman"/>
      <w:sz w:val="20"/>
      <w:szCs w:val="20"/>
    </w:rPr>
  </w:style>
  <w:style w:type="paragraph" w:styleId="ListParagraph">
    <w:name w:val="List Paragraph"/>
    <w:basedOn w:val="Normal"/>
    <w:uiPriority w:val="34"/>
    <w:qFormat/>
    <w:rsid w:val="00035A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3883</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dritantelhaj@gmail.com</cp:lastModifiedBy>
  <cp:revision>2</cp:revision>
  <dcterms:created xsi:type="dcterms:W3CDTF">2020-07-01T13:29:00Z</dcterms:created>
  <dcterms:modified xsi:type="dcterms:W3CDTF">2020-07-01T13:29:00Z</dcterms:modified>
</cp:coreProperties>
</file>