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55B" w:rsidRDefault="000A655B" w:rsidP="000A655B">
      <w:pPr>
        <w:spacing w:line="360" w:lineRule="auto"/>
        <w:ind w:firstLine="720"/>
        <w:jc w:val="center"/>
        <w:rPr>
          <w:rFonts w:ascii="Times New Roman" w:hAnsi="Times New Roman"/>
          <w:b/>
          <w:sz w:val="28"/>
          <w:szCs w:val="28"/>
        </w:rPr>
      </w:pPr>
      <w:r>
        <w:rPr>
          <w:rFonts w:ascii="Times New Roman" w:hAnsi="Times New Roman"/>
          <w:b/>
          <w:sz w:val="28"/>
          <w:szCs w:val="28"/>
        </w:rPr>
        <w:t>“</w:t>
      </w:r>
      <w:r>
        <w:rPr>
          <w:rFonts w:ascii="Times New Roman" w:hAnsi="Times New Roman"/>
          <w:b/>
          <w:sz w:val="28"/>
          <w:szCs w:val="28"/>
        </w:rPr>
        <w:t>Ankimi Kushtetues Individual</w:t>
      </w:r>
      <w:r>
        <w:rPr>
          <w:rFonts w:ascii="Times New Roman" w:hAnsi="Times New Roman"/>
          <w:b/>
          <w:sz w:val="28"/>
          <w:szCs w:val="28"/>
        </w:rPr>
        <w:t>”</w:t>
      </w:r>
    </w:p>
    <w:p w:rsidR="000A655B" w:rsidRDefault="000A655B" w:rsidP="000A655B">
      <w:pPr>
        <w:spacing w:line="360" w:lineRule="auto"/>
        <w:ind w:firstLine="720"/>
        <w:jc w:val="center"/>
        <w:rPr>
          <w:rFonts w:ascii="Times New Roman" w:hAnsi="Times New Roman"/>
          <w:b/>
          <w:sz w:val="28"/>
          <w:szCs w:val="28"/>
        </w:rPr>
      </w:pPr>
      <w:r>
        <w:rPr>
          <w:rFonts w:ascii="Times New Roman" w:hAnsi="Times New Roman"/>
          <w:b/>
          <w:sz w:val="28"/>
          <w:szCs w:val="28"/>
        </w:rPr>
        <w:t xml:space="preserve">16 dhjetor </w:t>
      </w:r>
      <w:r>
        <w:rPr>
          <w:rFonts w:ascii="Times New Roman" w:hAnsi="Times New Roman"/>
          <w:b/>
          <w:sz w:val="28"/>
          <w:szCs w:val="28"/>
        </w:rPr>
        <w:t>2021</w:t>
      </w:r>
    </w:p>
    <w:p w:rsidR="000A655B" w:rsidRDefault="000A655B" w:rsidP="000A655B">
      <w:pPr>
        <w:spacing w:line="240" w:lineRule="auto"/>
        <w:ind w:firstLine="720"/>
        <w:jc w:val="right"/>
        <w:rPr>
          <w:rFonts w:ascii="Times New Roman" w:hAnsi="Times New Roman"/>
          <w:b/>
          <w:i/>
          <w:sz w:val="28"/>
          <w:szCs w:val="28"/>
        </w:rPr>
      </w:pPr>
      <w:r>
        <w:rPr>
          <w:rFonts w:ascii="Times New Roman" w:hAnsi="Times New Roman"/>
          <w:b/>
          <w:i/>
          <w:sz w:val="28"/>
          <w:szCs w:val="28"/>
        </w:rPr>
        <w:t>Fjala e znj. Vitore Tusha</w:t>
      </w:r>
    </w:p>
    <w:p w:rsidR="000A655B" w:rsidRPr="000D6BB5" w:rsidRDefault="000A655B" w:rsidP="000A655B">
      <w:pPr>
        <w:spacing w:line="240" w:lineRule="auto"/>
        <w:ind w:firstLine="720"/>
        <w:jc w:val="right"/>
        <w:rPr>
          <w:rFonts w:ascii="Times New Roman" w:hAnsi="Times New Roman"/>
          <w:b/>
          <w:i/>
          <w:sz w:val="28"/>
          <w:szCs w:val="28"/>
        </w:rPr>
      </w:pPr>
      <w:r>
        <w:rPr>
          <w:rFonts w:ascii="Times New Roman" w:hAnsi="Times New Roman"/>
          <w:b/>
          <w:i/>
          <w:sz w:val="28"/>
          <w:szCs w:val="28"/>
        </w:rPr>
        <w:t>Kryetare e Gjykatës Kushtetuese</w:t>
      </w:r>
    </w:p>
    <w:p w:rsidR="000A655B" w:rsidRDefault="000A655B" w:rsidP="000A655B">
      <w:pPr>
        <w:jc w:val="both"/>
        <w:rPr>
          <w:rFonts w:ascii="Times New Roman" w:hAnsi="Times New Roman"/>
          <w:sz w:val="36"/>
          <w:szCs w:val="36"/>
          <w:lang w:val="sq-AL"/>
        </w:rPr>
      </w:pPr>
    </w:p>
    <w:p w:rsidR="000A655B" w:rsidRPr="000A655B" w:rsidRDefault="000A655B" w:rsidP="000A655B">
      <w:pPr>
        <w:jc w:val="both"/>
        <w:rPr>
          <w:rFonts w:ascii="Times New Roman" w:hAnsi="Times New Roman"/>
          <w:sz w:val="28"/>
          <w:szCs w:val="28"/>
          <w:lang w:val="sq-AL"/>
        </w:rPr>
      </w:pPr>
      <w:r w:rsidRPr="000A655B">
        <w:rPr>
          <w:rFonts w:ascii="Times New Roman" w:hAnsi="Times New Roman"/>
          <w:sz w:val="28"/>
          <w:szCs w:val="28"/>
          <w:lang w:val="sq-AL"/>
        </w:rPr>
        <w:t xml:space="preserve">Të nderuar kolegë e pjesëmarrës, </w:t>
      </w:r>
    </w:p>
    <w:p w:rsidR="000A655B" w:rsidRPr="000A655B" w:rsidRDefault="000A655B" w:rsidP="000A655B">
      <w:pPr>
        <w:jc w:val="both"/>
        <w:rPr>
          <w:rFonts w:ascii="Times New Roman" w:hAnsi="Times New Roman"/>
          <w:sz w:val="28"/>
          <w:szCs w:val="28"/>
          <w:lang w:val="sq-AL"/>
        </w:rPr>
      </w:pPr>
      <w:r w:rsidRPr="000A655B">
        <w:rPr>
          <w:rFonts w:ascii="Times New Roman" w:hAnsi="Times New Roman"/>
          <w:sz w:val="28"/>
          <w:szCs w:val="28"/>
          <w:lang w:val="sq-AL"/>
        </w:rPr>
        <w:t xml:space="preserve">Ju falënderoj për pjesëmarrjen në këtë tryezë, e organizuar nga Gjykata Kushtetuese në bashkëpunim me Zyrën e Presencës së OSBE në Tiranë dhe Fondacionin Konrad Adenauer Stiftung.  </w:t>
      </w:r>
    </w:p>
    <w:p w:rsidR="000A655B" w:rsidRPr="000A655B" w:rsidRDefault="000A655B" w:rsidP="000A655B">
      <w:pPr>
        <w:jc w:val="both"/>
        <w:rPr>
          <w:rFonts w:ascii="Times New Roman" w:hAnsi="Times New Roman"/>
          <w:sz w:val="28"/>
          <w:szCs w:val="28"/>
          <w:lang w:val="sq-AL"/>
        </w:rPr>
      </w:pPr>
      <w:r w:rsidRPr="000A655B">
        <w:rPr>
          <w:rFonts w:ascii="Times New Roman" w:hAnsi="Times New Roman"/>
          <w:sz w:val="28"/>
          <w:szCs w:val="28"/>
          <w:lang w:val="sq-AL"/>
        </w:rPr>
        <w:t xml:space="preserve">Kjo Gjykatë i ka kushtuar rëndësi në vazhdimësi komunikimit të ndërsjellë dhe bashkëpunimit me subjektet që e vënë atë në lëvizje, si dhe transparencës në vendimmarrje përballë publikut dhe medies. Veçanërisht pas miratimit të Strategjisë së saj 3-vjeçare dhe Planit të Veprimit, janë parashikuar edhe disa veprimtari me fokus të posaçëm në subjektet që sipas Kushtetutës mund të iniciojnë gjykimin kushtetues. </w:t>
      </w:r>
    </w:p>
    <w:p w:rsidR="000A655B" w:rsidRPr="000A655B" w:rsidRDefault="000A655B" w:rsidP="000A655B">
      <w:pPr>
        <w:jc w:val="both"/>
        <w:rPr>
          <w:rFonts w:ascii="Times New Roman" w:hAnsi="Times New Roman"/>
          <w:sz w:val="28"/>
          <w:szCs w:val="28"/>
          <w:lang w:val="sq-AL"/>
        </w:rPr>
      </w:pPr>
      <w:r w:rsidRPr="000A655B">
        <w:rPr>
          <w:rFonts w:ascii="Times New Roman" w:hAnsi="Times New Roman"/>
          <w:sz w:val="28"/>
          <w:szCs w:val="28"/>
          <w:lang w:val="sq-AL"/>
        </w:rPr>
        <w:t xml:space="preserve">Sipas nenit 124 të Kushtetutës: </w:t>
      </w:r>
      <w:r w:rsidRPr="000A655B">
        <w:rPr>
          <w:rFonts w:ascii="Times New Roman" w:hAnsi="Times New Roman"/>
          <w:bCs/>
          <w:iCs/>
          <w:sz w:val="28"/>
          <w:szCs w:val="28"/>
          <w:lang w:val="sq-AL"/>
        </w:rPr>
        <w:t>“</w:t>
      </w:r>
      <w:r w:rsidRPr="000A655B">
        <w:rPr>
          <w:rFonts w:ascii="Times New Roman" w:hAnsi="Times New Roman"/>
          <w:bCs/>
          <w:i/>
          <w:iCs/>
          <w:sz w:val="28"/>
          <w:szCs w:val="28"/>
          <w:lang w:val="sq-AL"/>
        </w:rPr>
        <w:t>1. Gjykata Kushtetuese zgjidh mosmarrëveshjet kushtetuese dhe bën interpretimin përfundimtar të saj. 2. Gjykata Kushtetuese i nënshtrohet vetëm Kushtetutës</w:t>
      </w:r>
      <w:r w:rsidRPr="000A655B">
        <w:rPr>
          <w:rFonts w:ascii="Times New Roman" w:hAnsi="Times New Roman"/>
          <w:bCs/>
          <w:iCs/>
          <w:sz w:val="28"/>
          <w:szCs w:val="28"/>
          <w:lang w:val="sq-AL"/>
        </w:rPr>
        <w:t xml:space="preserve">”. </w:t>
      </w:r>
      <w:r w:rsidRPr="000A655B">
        <w:rPr>
          <w:rFonts w:ascii="Times New Roman" w:hAnsi="Times New Roman"/>
          <w:sz w:val="28"/>
          <w:szCs w:val="28"/>
          <w:lang w:val="sq-AL" w:eastAsia="sq-AL"/>
        </w:rPr>
        <w:t xml:space="preserve">Interpretimi përfundimtar i ligjit themelor të shtetit është ndër funksionet më të rëndësishme të kësaj Gjykate, të cilin ajo e ushtron sa herë që vihet në lëvizje për t’u shprehur për një nga çështjet e parashikuara në nenin 131 të Kushtetutës dhe në normat e tjera kushtetuese. </w:t>
      </w:r>
    </w:p>
    <w:p w:rsidR="000A655B" w:rsidRPr="000A655B" w:rsidRDefault="000A655B" w:rsidP="000A655B">
      <w:pPr>
        <w:jc w:val="both"/>
        <w:rPr>
          <w:rFonts w:ascii="Times New Roman" w:hAnsi="Times New Roman"/>
          <w:iCs/>
          <w:sz w:val="28"/>
          <w:szCs w:val="28"/>
          <w:lang w:val="sq-AL"/>
        </w:rPr>
      </w:pPr>
      <w:r w:rsidRPr="000A655B">
        <w:rPr>
          <w:rFonts w:ascii="Times New Roman" w:hAnsi="Times New Roman"/>
          <w:iCs/>
          <w:sz w:val="28"/>
          <w:szCs w:val="28"/>
          <w:lang w:val="sq-AL"/>
        </w:rPr>
        <w:t xml:space="preserve">Nisur nga roli dhe kompetencat që ushtron Gjykata Kushtetuese, dhe pozicioni i saj si roje e Kushtetutës, qëllimi i kontrollit kushtetues është jo vetëm respektimi i të drejtave dhe lirive të njeriut, por së pari i mënyrës se si ushtrohet pushteti nga organet e shtetit duke përcaktuar kufijtë kushtetuese brenda të cilëve duhet të ushtrohet kjo veprimtari. </w:t>
      </w:r>
    </w:p>
    <w:p w:rsidR="000A655B" w:rsidRPr="000A655B" w:rsidRDefault="000A655B" w:rsidP="000A655B">
      <w:pPr>
        <w:jc w:val="both"/>
        <w:rPr>
          <w:rFonts w:ascii="Times New Roman" w:hAnsi="Times New Roman"/>
          <w:iCs/>
          <w:sz w:val="28"/>
          <w:szCs w:val="28"/>
          <w:lang w:val="sq-AL"/>
        </w:rPr>
      </w:pPr>
      <w:r w:rsidRPr="000A655B">
        <w:rPr>
          <w:rFonts w:ascii="Times New Roman" w:hAnsi="Times New Roman"/>
          <w:iCs/>
          <w:sz w:val="28"/>
          <w:szCs w:val="28"/>
          <w:lang w:val="sq-AL"/>
        </w:rPr>
        <w:t xml:space="preserve">Garantimi i epërsisë së Kushtetutës mbi organet e pushtetit shtetëror jetëson garancitë që akti themelor i shtetit ka sanksionuar për mbrojtjen e të drejtave dhe lirive të qytetarëve. Në këtë aspekt, roli i Gjykatës Kushtetuese merr rëndësi të veçantë me synim forcimin e demokracisë, të kushtetutshmërisë dhe garantimin e të drejtave dhe lirive të individit. </w:t>
      </w:r>
    </w:p>
    <w:p w:rsidR="000A655B" w:rsidRPr="000A655B" w:rsidRDefault="000A655B" w:rsidP="000A655B">
      <w:pPr>
        <w:jc w:val="both"/>
        <w:rPr>
          <w:rFonts w:ascii="Times New Roman" w:hAnsi="Times New Roman"/>
          <w:sz w:val="28"/>
          <w:szCs w:val="28"/>
          <w:lang w:val="sq-AL"/>
        </w:rPr>
      </w:pPr>
      <w:r w:rsidRPr="000A655B">
        <w:rPr>
          <w:rFonts w:ascii="Times New Roman" w:hAnsi="Times New Roman"/>
          <w:sz w:val="28"/>
          <w:szCs w:val="28"/>
          <w:lang w:val="sq-AL"/>
        </w:rPr>
        <w:lastRenderedPageBreak/>
        <w:t xml:space="preserve">Ushtrimi i kompetencave në kufijtë e kushtetutshmërinë nuk është vetëm lëndë e kontrollit kushtetues, por edhe një detyrim që duhet të përmbushet nga Gjykatë gjatë ushtrimit të kompetencave të saj. Në këtë kuptim Gjykata vepron në përputhje me parimet e shtetit të së drejtës dhe atij të ndarjes së pushteteve, duke pranuar dhe respektuar juridiksionin e pushteteve të tjera të shtetit. </w:t>
      </w:r>
    </w:p>
    <w:p w:rsidR="000A655B" w:rsidRPr="000A655B" w:rsidRDefault="000A655B" w:rsidP="000A655B">
      <w:pPr>
        <w:jc w:val="both"/>
        <w:rPr>
          <w:rFonts w:ascii="Times New Roman" w:hAnsi="Times New Roman"/>
          <w:sz w:val="28"/>
          <w:szCs w:val="28"/>
          <w:lang w:val="sq-AL"/>
        </w:rPr>
      </w:pPr>
      <w:r w:rsidRPr="000A655B">
        <w:rPr>
          <w:rFonts w:ascii="Times New Roman" w:hAnsi="Times New Roman"/>
          <w:sz w:val="28"/>
          <w:szCs w:val="28"/>
          <w:lang w:val="sq-AL"/>
        </w:rPr>
        <w:t xml:space="preserve">Gjykata, gjatë ushtrimit të kontrollit të kushtetushmërisë nuk krijon norma të reja, qoftë edhe nëpërmjet interpretimit të saj, pasi kjo është kompetencë ekskluzive e pushtetit ligjvënës, por synon t’u japë jetë normave kushtetuese përmes kuptimit të drejtë të përmbajtjes dhe qëllimit të tyre, jo vetëm për të garantuar, por edhe për të përcaktuar standardet kushtetuese mbi të cilat duhet të mbështetet veprimtaria e organeve të pushtetit publik. </w:t>
      </w:r>
    </w:p>
    <w:p w:rsidR="000A655B" w:rsidRPr="000A655B" w:rsidRDefault="000A655B" w:rsidP="000A655B">
      <w:pPr>
        <w:jc w:val="both"/>
        <w:rPr>
          <w:rFonts w:ascii="Times New Roman" w:hAnsi="Times New Roman"/>
          <w:iCs/>
          <w:sz w:val="28"/>
          <w:szCs w:val="28"/>
          <w:lang w:val="sq-AL"/>
        </w:rPr>
      </w:pPr>
      <w:r w:rsidRPr="000A655B">
        <w:rPr>
          <w:rFonts w:ascii="Times New Roman" w:hAnsi="Times New Roman"/>
          <w:sz w:val="28"/>
          <w:szCs w:val="28"/>
          <w:lang w:val="sq-AL"/>
        </w:rPr>
        <w:t xml:space="preserve">Po ashtu, edhe gjatë kontrollit ndaj vendimmarrjes së gjykatave të juridikdiksionit të zakonshëm, Gjykata ka përcaktuar kufijtë e juridiksionit të saj, duke mos ndërhyrë në mënyrën se si gjykatat interpretojnë ligjin e zakonshëm ose vlerësojnë provat me qëllim të zgjidhjes së një çështje konkrete, përveçse kur procesi gjyqësor në tërësinë e tij haptazi cenon të drejtat kushtetuese të individit.   </w:t>
      </w:r>
    </w:p>
    <w:p w:rsidR="000A655B" w:rsidRPr="000A655B" w:rsidRDefault="000A655B" w:rsidP="000A655B">
      <w:pPr>
        <w:jc w:val="both"/>
        <w:rPr>
          <w:rFonts w:ascii="Times New Roman" w:hAnsi="Times New Roman"/>
          <w:iCs/>
          <w:sz w:val="28"/>
          <w:szCs w:val="28"/>
          <w:lang w:val="sq-AL"/>
        </w:rPr>
      </w:pPr>
      <w:r w:rsidRPr="000A655B">
        <w:rPr>
          <w:rFonts w:ascii="Times New Roman" w:hAnsi="Times New Roman"/>
          <w:iCs/>
          <w:sz w:val="28"/>
          <w:szCs w:val="28"/>
          <w:lang w:val="sq-AL"/>
        </w:rPr>
        <w:t>Vendimet e Gjykatës janë përfundimtare dhe të detyrueshme për zbatim dhe në kuptim të parimit të shtetit të së drejtës interpretimi dhe vlerësimi i kësaj Gjykate nuk mund të vihet në diskutim nga organet e pushtetit shtetëror, pasi Gjykata Kushtetuese është organi që ka fjalën e fundit në lidhje me interpretimin e Kushtetutës dhe zgjidhjen e mosmarrëveshje</w:t>
      </w:r>
      <w:r>
        <w:rPr>
          <w:rFonts w:ascii="Times New Roman" w:hAnsi="Times New Roman"/>
          <w:iCs/>
          <w:sz w:val="28"/>
          <w:szCs w:val="28"/>
          <w:lang w:val="sq-AL"/>
        </w:rPr>
        <w:t>ve</w:t>
      </w:r>
      <w:r w:rsidRPr="000A655B">
        <w:rPr>
          <w:rFonts w:ascii="Times New Roman" w:hAnsi="Times New Roman"/>
          <w:iCs/>
          <w:sz w:val="28"/>
          <w:szCs w:val="28"/>
          <w:lang w:val="sq-AL"/>
        </w:rPr>
        <w:t xml:space="preserve"> kushtetuese. </w:t>
      </w:r>
    </w:p>
    <w:p w:rsidR="000A655B" w:rsidRPr="000A655B" w:rsidRDefault="000A655B" w:rsidP="000A655B">
      <w:pPr>
        <w:jc w:val="both"/>
        <w:rPr>
          <w:rFonts w:ascii="Times New Roman" w:hAnsi="Times New Roman"/>
          <w:iCs/>
          <w:sz w:val="28"/>
          <w:szCs w:val="28"/>
          <w:lang w:val="sq-AL"/>
        </w:rPr>
      </w:pPr>
      <w:r w:rsidRPr="000A655B">
        <w:rPr>
          <w:rFonts w:ascii="Times New Roman" w:hAnsi="Times New Roman"/>
          <w:iCs/>
          <w:sz w:val="28"/>
          <w:szCs w:val="28"/>
          <w:lang w:val="sq-AL"/>
        </w:rPr>
        <w:t xml:space="preserve">Megjithatë Gjykata mirëpret dhe pranon opinionet e profesionistëve të së drejtës me qëllim të zhvillimit të doktrinës kushtetuese. Edhe kjo tryezë ka pikërisht qëllimin e shkëmbimit të mendimeve me grupet e interesit për çështje që kanë fokus të përbashkët.  </w:t>
      </w:r>
    </w:p>
    <w:p w:rsidR="000A655B" w:rsidRPr="000A655B" w:rsidRDefault="000A655B" w:rsidP="000A655B">
      <w:pPr>
        <w:jc w:val="both"/>
        <w:rPr>
          <w:rFonts w:ascii="Times New Roman" w:hAnsi="Times New Roman"/>
          <w:iCs/>
          <w:sz w:val="28"/>
          <w:szCs w:val="28"/>
          <w:lang w:val="sq-AL"/>
        </w:rPr>
      </w:pPr>
      <w:r w:rsidRPr="000A655B">
        <w:rPr>
          <w:rFonts w:ascii="Times New Roman" w:hAnsi="Times New Roman"/>
          <w:iCs/>
          <w:sz w:val="28"/>
          <w:szCs w:val="28"/>
          <w:lang w:val="sq-AL"/>
        </w:rPr>
        <w:t xml:space="preserve">Gjykata ka qenë </w:t>
      </w:r>
      <w:r>
        <w:rPr>
          <w:rFonts w:ascii="Times New Roman" w:hAnsi="Times New Roman"/>
          <w:iCs/>
          <w:sz w:val="28"/>
          <w:szCs w:val="28"/>
          <w:lang w:val="sq-AL"/>
        </w:rPr>
        <w:t xml:space="preserve">në ndonjë rast </w:t>
      </w:r>
      <w:r w:rsidRPr="000A655B">
        <w:rPr>
          <w:rFonts w:ascii="Times New Roman" w:hAnsi="Times New Roman"/>
          <w:iCs/>
          <w:sz w:val="28"/>
          <w:szCs w:val="28"/>
          <w:lang w:val="sq-AL"/>
        </w:rPr>
        <w:t xml:space="preserve">edhe objekt i kritikave nga subjektet e përfshira në gjykim dhe nga media, jo vetëm në drejtim të mënyrës se si ajo ka vendosur në lidhje me çështje të caktuara, veçanërisht ato me rëndësi e ndjeshmëri të lartë publike, por edhe të qasjes së saj për të mos reaguar në lidhje me këto qëndrime publike kundrejt saj. Në kushtet kur Gjykata, nëpërmjet vendimeve të saj, parashtron dhe analizon në mënyrë të qartë dhe shteruese të gjitha argumentet që e kanë çuar atë në vendimmarrje, ajo ka zgjedhur të ketë një qasje vetëpërmbajtëse në lidhje me reagimin e saj institucional në këtë drejtim, por duke treguar transparencë në të gjithë veprimtarinë e saj. </w:t>
      </w:r>
    </w:p>
    <w:p w:rsidR="000A655B" w:rsidRPr="000A655B" w:rsidRDefault="000A655B" w:rsidP="000A655B">
      <w:pPr>
        <w:jc w:val="both"/>
        <w:rPr>
          <w:rFonts w:ascii="Times New Roman" w:hAnsi="Times New Roman"/>
          <w:iCs/>
          <w:sz w:val="28"/>
          <w:szCs w:val="28"/>
          <w:lang w:val="sq-AL"/>
        </w:rPr>
      </w:pPr>
      <w:r w:rsidRPr="000A655B">
        <w:rPr>
          <w:rFonts w:ascii="Times New Roman" w:hAnsi="Times New Roman"/>
          <w:iCs/>
          <w:sz w:val="28"/>
          <w:szCs w:val="28"/>
          <w:lang w:val="sq-AL"/>
        </w:rPr>
        <w:lastRenderedPageBreak/>
        <w:t xml:space="preserve">Po ashtu, Gjykata është e ndërgjegjshme për situatën e shkaktuar nga mungesa e kuorumit për funksionimin e saj, çka ka sjellë vonesa në vendimmarrje në lidhje edhe për disa çështje të një rëndësie të lartë publike. Gjatë kësaj periudhe </w:t>
      </w:r>
      <w:r>
        <w:rPr>
          <w:rFonts w:ascii="Times New Roman" w:hAnsi="Times New Roman"/>
          <w:iCs/>
          <w:sz w:val="28"/>
          <w:szCs w:val="28"/>
          <w:lang w:val="sq-AL"/>
        </w:rPr>
        <w:t xml:space="preserve">ishte </w:t>
      </w:r>
      <w:bookmarkStart w:id="0" w:name="_GoBack"/>
      <w:bookmarkEnd w:id="0"/>
      <w:r w:rsidRPr="000A655B">
        <w:rPr>
          <w:rFonts w:ascii="Times New Roman" w:hAnsi="Times New Roman"/>
          <w:iCs/>
          <w:sz w:val="28"/>
          <w:szCs w:val="28"/>
          <w:lang w:val="sq-AL"/>
        </w:rPr>
        <w:t xml:space="preserve">grumbulluar një stok çështjesh, të cilat kanë pritur të shqyrtohen për një kohë të gjatë, çka mund të ketë sjellë edhe humbjen e aktualitetit të mosmarrëveshjes kushtetuese të parashtruar. Tashmë Gjykata nuk ka në shqyrtim çështje të mbartura dhe është duke vepruar në respektim të të gjitha parashikimeve ligjore që përcaktojnë rregullat dhe afatet e gjykimit kushtetues. </w:t>
      </w:r>
    </w:p>
    <w:p w:rsidR="000A655B" w:rsidRPr="000A655B" w:rsidRDefault="000A655B" w:rsidP="000A655B">
      <w:pPr>
        <w:jc w:val="both"/>
        <w:rPr>
          <w:rFonts w:ascii="Times New Roman" w:hAnsi="Times New Roman"/>
          <w:sz w:val="28"/>
          <w:szCs w:val="28"/>
          <w:lang w:val="sq-AL"/>
        </w:rPr>
      </w:pPr>
      <w:r w:rsidRPr="000A655B">
        <w:rPr>
          <w:rFonts w:ascii="Times New Roman" w:hAnsi="Times New Roman"/>
          <w:iCs/>
          <w:sz w:val="28"/>
          <w:szCs w:val="28"/>
          <w:lang w:val="sq-AL"/>
        </w:rPr>
        <w:t xml:space="preserve">Duke iu rikthyer temës së sotme, që lidhet me ankimin kushtetues individual, me ndryshimet kushtetuese të vitit 2016 u ndryshua edhe përmbajtja e shkronjës “f” të pikës 1 të nenit 131 të Kushtetutës, në të cilën u përcaktua juridiksioni i kësaj gjykate për të vendosur për </w:t>
      </w:r>
      <w:r w:rsidRPr="000A655B">
        <w:rPr>
          <w:rFonts w:ascii="Times New Roman" w:hAnsi="Times New Roman"/>
          <w:sz w:val="28"/>
          <w:szCs w:val="28"/>
          <w:lang w:val="sq-AL"/>
        </w:rPr>
        <w:t xml:space="preserve">gjykimin përfundimtar të ankesave të individëve kundër çdo akti të pushtetit publik ose vendimi gjyqësor që cenon të drejtat dhe liritë themelore të garantuara në Kushtetutë. </w:t>
      </w:r>
    </w:p>
    <w:p w:rsidR="000A655B" w:rsidRPr="000A655B" w:rsidRDefault="000A655B" w:rsidP="000A655B">
      <w:pPr>
        <w:jc w:val="both"/>
        <w:rPr>
          <w:rFonts w:ascii="Times New Roman" w:hAnsi="Times New Roman"/>
          <w:sz w:val="28"/>
          <w:szCs w:val="28"/>
          <w:lang w:val="sq-AL"/>
        </w:rPr>
      </w:pPr>
      <w:r w:rsidRPr="000A655B">
        <w:rPr>
          <w:rFonts w:ascii="Times New Roman" w:hAnsi="Times New Roman"/>
          <w:sz w:val="28"/>
          <w:szCs w:val="28"/>
          <w:lang w:val="sq-AL"/>
        </w:rPr>
        <w:t xml:space="preserve">Tashmë Kushtetuta njeh ankimin individual në Gjykatën Kushtetuese jo vetëm për të drejtën për një proces të rregullt ligjor, që kishte të bënte me garancitë procedurale që ofron ajo për individin gjatë procesit gjyqësor dhe atij administrativ, por edhe për çdo të drejtë e liri themelore me natyrë substanciale, të parashikuar nga Kushtetuta. Ky mjet ankimi njeh të drejtën jo vetëm të kundërshtimit të vendimeve gjyqësore, në rast se ato kanë cenuar këto të drejta, por edhe të ligjit ose çdo akti tjetër të pushtetit publik.  </w:t>
      </w:r>
    </w:p>
    <w:p w:rsidR="000A655B" w:rsidRPr="000A655B" w:rsidRDefault="000A655B" w:rsidP="000A655B">
      <w:pPr>
        <w:jc w:val="both"/>
        <w:rPr>
          <w:rFonts w:ascii="Times New Roman" w:hAnsi="Times New Roman"/>
          <w:sz w:val="28"/>
          <w:szCs w:val="28"/>
          <w:lang w:val="sq-AL"/>
        </w:rPr>
      </w:pPr>
      <w:r w:rsidRPr="000A655B">
        <w:rPr>
          <w:rFonts w:ascii="Times New Roman" w:hAnsi="Times New Roman"/>
          <w:sz w:val="28"/>
          <w:szCs w:val="28"/>
          <w:lang w:val="sq-AL"/>
        </w:rPr>
        <w:t xml:space="preserve">Sigurisht, duke qenë se ankimi kushtetues nuk barazohet me </w:t>
      </w:r>
      <w:r w:rsidRPr="000A655B">
        <w:rPr>
          <w:rFonts w:ascii="Times New Roman" w:hAnsi="Times New Roman"/>
          <w:i/>
          <w:sz w:val="28"/>
          <w:szCs w:val="28"/>
          <w:lang w:val="sq-AL"/>
        </w:rPr>
        <w:t>actio popularis</w:t>
      </w:r>
      <w:r w:rsidRPr="000A655B">
        <w:rPr>
          <w:rFonts w:ascii="Times New Roman" w:hAnsi="Times New Roman"/>
          <w:sz w:val="28"/>
          <w:szCs w:val="28"/>
          <w:lang w:val="sq-AL"/>
        </w:rPr>
        <w:t xml:space="preserve">, individi ka detyrimin që për ushtrimin e këtij mjeti ankimi të plotësojë disa kërkesa që janë parashikuar më në detaje në ligjin organik të Gjykatës.  </w:t>
      </w:r>
    </w:p>
    <w:p w:rsidR="000A655B" w:rsidRPr="000A655B" w:rsidRDefault="000A655B" w:rsidP="000A655B">
      <w:pPr>
        <w:jc w:val="both"/>
        <w:rPr>
          <w:rFonts w:ascii="Times New Roman" w:hAnsi="Times New Roman"/>
          <w:sz w:val="28"/>
          <w:szCs w:val="28"/>
          <w:lang w:val="sq-AL"/>
        </w:rPr>
      </w:pPr>
      <w:r w:rsidRPr="000A655B">
        <w:rPr>
          <w:rFonts w:ascii="Times New Roman" w:hAnsi="Times New Roman"/>
          <w:sz w:val="28"/>
          <w:szCs w:val="28"/>
          <w:lang w:val="sq-AL"/>
        </w:rPr>
        <w:t xml:space="preserve">Edhe pse një kompetencë e re e Gjykatës, ajo ka arritur të zhvillojë disa standarde në lidhje me kriteret e ankimit kushtetues individual, të cilat do të elaborohen në të ardhmen, në përputhje edhe me jurisprudencën e GJEDNJ-së dhe gjykatave kushtuese simotra që kanë një model të konsoliduar të ankimit kushtetues individual. </w:t>
      </w:r>
    </w:p>
    <w:p w:rsidR="000A655B" w:rsidRPr="000A655B" w:rsidRDefault="000A655B" w:rsidP="000A655B">
      <w:pPr>
        <w:jc w:val="both"/>
        <w:rPr>
          <w:rFonts w:ascii="Times New Roman" w:hAnsi="Times New Roman"/>
          <w:sz w:val="28"/>
          <w:szCs w:val="28"/>
          <w:lang w:val="sq-AL"/>
        </w:rPr>
      </w:pPr>
      <w:r w:rsidRPr="000A655B">
        <w:rPr>
          <w:rFonts w:ascii="Times New Roman" w:hAnsi="Times New Roman"/>
          <w:sz w:val="28"/>
          <w:szCs w:val="28"/>
          <w:lang w:val="sq-AL"/>
        </w:rPr>
        <w:t xml:space="preserve">Duke pasur parasysh raportin e çështjeve që vijnë në Gjykatë, para dhe pas ndryshimeve kushtetuese të vitit 2016, ku numrin më të madh e zënë ankimet kushtetuese individuale, Gjykata ka planifikuar të realizojë edhe ne të ardhmen aktivitete të ngjashme, në lidhje me këtë mjet ankimi që synon mbrojtjen e të drejtave dhe lirive themelore të individit, me qëllim që të përmirësohet aksesi substancial i individit në gjykimin kushtetues.   </w:t>
      </w:r>
    </w:p>
    <w:p w:rsidR="000A655B" w:rsidRPr="000A655B" w:rsidRDefault="000A655B" w:rsidP="000A655B">
      <w:pPr>
        <w:jc w:val="both"/>
        <w:rPr>
          <w:rFonts w:ascii="Times New Roman" w:hAnsi="Times New Roman"/>
          <w:iCs/>
          <w:sz w:val="28"/>
          <w:szCs w:val="28"/>
          <w:lang w:val="sq-AL"/>
        </w:rPr>
      </w:pPr>
    </w:p>
    <w:p w:rsidR="00BD6E70" w:rsidRPr="000A655B" w:rsidRDefault="00BD6E70" w:rsidP="000A655B">
      <w:pPr>
        <w:rPr>
          <w:sz w:val="28"/>
          <w:szCs w:val="28"/>
        </w:rPr>
      </w:pPr>
    </w:p>
    <w:sectPr w:rsidR="00BD6E70" w:rsidRPr="000A65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5B"/>
    <w:rsid w:val="000A655B"/>
    <w:rsid w:val="00BD6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BA1E"/>
  <w15:chartTrackingRefBased/>
  <w15:docId w15:val="{8014EA84-AD40-4A41-B85C-559AF27B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5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Alma</cp:lastModifiedBy>
  <cp:revision>1</cp:revision>
  <dcterms:created xsi:type="dcterms:W3CDTF">2021-12-17T11:34:00Z</dcterms:created>
  <dcterms:modified xsi:type="dcterms:W3CDTF">2021-12-17T11:41:00Z</dcterms:modified>
</cp:coreProperties>
</file>