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EUROPIANE E TË DREJTAVE TË NJERIUT</w:t>
      </w: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SEKSIONI I </w:t>
      </w:r>
      <w:r w:rsidR="00B30C43" w:rsidRPr="000659F3">
        <w:rPr>
          <w:rFonts w:ascii="Times New Roman" w:hAnsi="Times New Roman"/>
          <w:sz w:val="24"/>
          <w:szCs w:val="24"/>
          <w:lang w:val="sq-AL"/>
        </w:rPr>
        <w:t>PAR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ÇËSHTJA </w:t>
      </w:r>
      <w:r w:rsidR="00B30C43" w:rsidRPr="000659F3">
        <w:rPr>
          <w:rFonts w:ascii="Times New Roman" w:hAnsi="Times New Roman"/>
          <w:b/>
          <w:sz w:val="24"/>
          <w:szCs w:val="24"/>
          <w:lang w:val="sq-AL"/>
        </w:rPr>
        <w:t>BICI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 KUNDËR SHQIPËRISË</w:t>
      </w: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082876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(Ankimi</w:t>
      </w:r>
      <w:r w:rsidR="00943D1A" w:rsidRPr="000659F3">
        <w:rPr>
          <w:rFonts w:ascii="Times New Roman" w:hAnsi="Times New Roman"/>
          <w:sz w:val="24"/>
          <w:szCs w:val="24"/>
          <w:lang w:val="sq-AL"/>
        </w:rPr>
        <w:t xml:space="preserve"> nr. </w:t>
      </w:r>
      <w:r w:rsidR="00B30C43" w:rsidRPr="000659F3">
        <w:rPr>
          <w:rFonts w:ascii="Times New Roman" w:hAnsi="Times New Roman"/>
          <w:sz w:val="24"/>
          <w:szCs w:val="24"/>
          <w:lang w:val="sq-AL"/>
        </w:rPr>
        <w:t>5250/07</w:t>
      </w:r>
      <w:r w:rsidR="00943D1A" w:rsidRPr="000659F3">
        <w:rPr>
          <w:rFonts w:ascii="Times New Roman" w:hAnsi="Times New Roman"/>
          <w:sz w:val="24"/>
          <w:szCs w:val="24"/>
          <w:lang w:val="sq-AL"/>
        </w:rPr>
        <w:t>)</w:t>
      </w: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VENDIM</w:t>
      </w: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STRASBURG</w:t>
      </w: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B30C43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3 Dhjetor 2015</w:t>
      </w:r>
    </w:p>
    <w:p w:rsidR="00B30C43" w:rsidRPr="000659F3" w:rsidRDefault="00B30C43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EF4605" w:rsidRPr="000659F3" w:rsidRDefault="00EF4605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B30C43" w:rsidRPr="000659F3" w:rsidRDefault="00B30C43" w:rsidP="00A82C75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Ky vendim </w:t>
      </w:r>
      <w:r w:rsidR="00B30C43" w:rsidRPr="000659F3">
        <w:rPr>
          <w:rFonts w:ascii="Times New Roman" w:hAnsi="Times New Roman"/>
          <w:i/>
          <w:sz w:val="24"/>
          <w:szCs w:val="24"/>
          <w:lang w:val="sq-AL"/>
        </w:rPr>
        <w:t>do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B30C43" w:rsidRPr="000659F3">
        <w:rPr>
          <w:rFonts w:ascii="Times New Roman" w:hAnsi="Times New Roman"/>
          <w:i/>
          <w:sz w:val="24"/>
          <w:szCs w:val="24"/>
          <w:lang w:val="sq-AL"/>
        </w:rPr>
        <w:t xml:space="preserve"> b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B30C43" w:rsidRPr="000659F3">
        <w:rPr>
          <w:rFonts w:ascii="Times New Roman" w:hAnsi="Times New Roman"/>
          <w:i/>
          <w:sz w:val="24"/>
          <w:szCs w:val="24"/>
          <w:lang w:val="sq-AL"/>
        </w:rPr>
        <w:t>het i form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B30C43" w:rsidRPr="000659F3">
        <w:rPr>
          <w:rFonts w:ascii="Times New Roman" w:hAnsi="Times New Roman"/>
          <w:i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B30C43" w:rsidRPr="000659F3">
        <w:rPr>
          <w:rFonts w:ascii="Times New Roman" w:hAnsi="Times New Roman"/>
          <w:i/>
          <w:sz w:val="24"/>
          <w:szCs w:val="24"/>
          <w:lang w:val="sq-AL"/>
        </w:rPr>
        <w:t xml:space="preserve"> prer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B30C43" w:rsidRPr="000659F3">
        <w:rPr>
          <w:rFonts w:ascii="Times New Roman" w:hAnsi="Times New Roman"/>
          <w:i/>
          <w:sz w:val="24"/>
          <w:szCs w:val="24"/>
          <w:lang w:val="sq-AL"/>
        </w:rPr>
        <w:t xml:space="preserve"> sipas rrethanave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B30C43" w:rsidRPr="000659F3">
        <w:rPr>
          <w:rFonts w:ascii="Times New Roman" w:hAnsi="Times New Roman"/>
          <w:i/>
          <w:sz w:val="24"/>
          <w:szCs w:val="24"/>
          <w:lang w:val="sq-AL"/>
        </w:rPr>
        <w:t xml:space="preserve"> parashikuara 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B30C43" w:rsidRPr="000659F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Nen</w:t>
      </w:r>
      <w:r w:rsidR="006D1BE1" w:rsidRPr="000659F3">
        <w:rPr>
          <w:rFonts w:ascii="Times New Roman" w:hAnsi="Times New Roman"/>
          <w:i/>
          <w:sz w:val="24"/>
          <w:szCs w:val="24"/>
          <w:lang w:val="sq-AL"/>
        </w:rPr>
        <w:t>i</w:t>
      </w:r>
      <w:r w:rsidR="00B30C43" w:rsidRPr="000659F3">
        <w:rPr>
          <w:rFonts w:ascii="Times New Roman" w:hAnsi="Times New Roman"/>
          <w:i/>
          <w:sz w:val="24"/>
          <w:szCs w:val="24"/>
          <w:lang w:val="sq-AL"/>
        </w:rPr>
        <w:t>n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44§2 t</w:t>
      </w:r>
      <w:r w:rsidR="00337C06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Konvent</w:t>
      </w:r>
      <w:r w:rsidR="00337C06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s. Ai mund </w:t>
      </w:r>
      <w:r w:rsidR="006D1BE1" w:rsidRPr="000659F3">
        <w:rPr>
          <w:rFonts w:ascii="Times New Roman" w:hAnsi="Times New Roman"/>
          <w:i/>
          <w:sz w:val="24"/>
          <w:szCs w:val="24"/>
          <w:lang w:val="sq-AL"/>
        </w:rPr>
        <w:t>t’i 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0659F3">
        <w:rPr>
          <w:rFonts w:ascii="Times New Roman" w:hAnsi="Times New Roman"/>
          <w:i/>
          <w:sz w:val="24"/>
          <w:szCs w:val="24"/>
          <w:lang w:val="sq-AL"/>
        </w:rPr>
        <w:t>nshtrohet rishikimit redaktues</w:t>
      </w:r>
    </w:p>
    <w:p w:rsidR="00943D1A" w:rsidRPr="000659F3" w:rsidRDefault="00943D1A" w:rsidP="00A82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t xml:space="preserve">VENDIMI </w:t>
      </w:r>
      <w:r w:rsidR="00B30C43" w:rsidRPr="000659F3">
        <w:rPr>
          <w:rFonts w:ascii="Times New Roman" w:hAnsi="Times New Roman"/>
          <w:sz w:val="18"/>
          <w:szCs w:val="18"/>
          <w:lang w:val="sq-AL"/>
        </w:rPr>
        <w:t>BICI</w:t>
      </w:r>
      <w:r w:rsidRPr="000659F3">
        <w:rPr>
          <w:rFonts w:ascii="Times New Roman" w:hAnsi="Times New Roman"/>
          <w:sz w:val="18"/>
          <w:szCs w:val="18"/>
          <w:lang w:val="sq-AL"/>
        </w:rPr>
        <w:t xml:space="preserve"> KUNDËR SHQIPËRISË</w:t>
      </w:r>
    </w:p>
    <w:p w:rsidR="00943D1A" w:rsidRPr="000659F3" w:rsidRDefault="00943D1A" w:rsidP="00A82C75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Në çështjen </w:t>
      </w:r>
      <w:r w:rsidR="00B30C43" w:rsidRPr="000659F3">
        <w:rPr>
          <w:rFonts w:ascii="Times New Roman" w:hAnsi="Times New Roman"/>
          <w:b/>
          <w:sz w:val="24"/>
          <w:szCs w:val="24"/>
          <w:lang w:val="sq-AL"/>
        </w:rPr>
        <w:t>Bici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 kundër Shqipërisë, </w:t>
      </w:r>
    </w:p>
    <w:p w:rsidR="00943D1A" w:rsidRPr="000659F3" w:rsidRDefault="00943D1A" w:rsidP="00A82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Gjykata Europiane e të Drejtave të Njeriut (Seksioni i </w:t>
      </w:r>
      <w:r w:rsidR="00B30C43" w:rsidRPr="000659F3">
        <w:rPr>
          <w:rFonts w:ascii="Times New Roman" w:hAnsi="Times New Roman"/>
          <w:sz w:val="24"/>
          <w:szCs w:val="24"/>
          <w:lang w:val="sq-AL"/>
        </w:rPr>
        <w:t>Par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), e mbledhur </w:t>
      </w:r>
      <w:r w:rsidR="00904CEF" w:rsidRPr="000659F3">
        <w:rPr>
          <w:rFonts w:ascii="Times New Roman" w:hAnsi="Times New Roman"/>
          <w:sz w:val="24"/>
          <w:szCs w:val="24"/>
          <w:lang w:val="sq-AL"/>
        </w:rPr>
        <w:t>si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Dhom</w:t>
      </w:r>
      <w:r w:rsidR="00337C06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04CEF" w:rsidRPr="000659F3">
        <w:rPr>
          <w:rFonts w:ascii="Times New Roman" w:hAnsi="Times New Roman"/>
          <w:sz w:val="24"/>
          <w:szCs w:val="24"/>
          <w:lang w:val="sq-AL"/>
        </w:rPr>
        <w:t>e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përbërë nga: </w:t>
      </w:r>
    </w:p>
    <w:p w:rsidR="00943D1A" w:rsidRPr="000659F3" w:rsidRDefault="00B30C43" w:rsidP="00A82C75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Mirjana Lazarova Trajkovska</w:t>
      </w:r>
      <w:r w:rsidR="00943D1A" w:rsidRPr="000659F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943D1A" w:rsidRPr="000659F3">
        <w:rPr>
          <w:rFonts w:ascii="Times New Roman" w:hAnsi="Times New Roman"/>
          <w:i/>
          <w:sz w:val="24"/>
          <w:szCs w:val="24"/>
          <w:lang w:val="sq-AL"/>
        </w:rPr>
        <w:t>Presidente</w:t>
      </w:r>
    </w:p>
    <w:p w:rsidR="00943D1A" w:rsidRPr="000659F3" w:rsidRDefault="00B30C43" w:rsidP="00A82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Päivi Hirvelä</w:t>
      </w:r>
      <w:r w:rsidR="00943D1A" w:rsidRPr="000659F3">
        <w:rPr>
          <w:rFonts w:ascii="Times New Roman" w:hAnsi="Times New Roman"/>
          <w:sz w:val="24"/>
          <w:szCs w:val="24"/>
          <w:lang w:val="sq-AL"/>
        </w:rPr>
        <w:t>,</w:t>
      </w:r>
    </w:p>
    <w:p w:rsidR="00904CEF" w:rsidRPr="000659F3" w:rsidRDefault="00904CEF" w:rsidP="00A82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Ledi Bianku, </w:t>
      </w:r>
    </w:p>
    <w:p w:rsidR="00904CEF" w:rsidRPr="000659F3" w:rsidRDefault="00943D1A" w:rsidP="00A82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Paul Mahoney, </w:t>
      </w:r>
    </w:p>
    <w:p w:rsidR="00B30C43" w:rsidRPr="000659F3" w:rsidRDefault="00B30C43" w:rsidP="00A82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Aleš Pejchal,</w:t>
      </w:r>
    </w:p>
    <w:p w:rsidR="00B30C43" w:rsidRPr="000659F3" w:rsidRDefault="00B30C43" w:rsidP="00A82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Robert Spano, </w:t>
      </w:r>
    </w:p>
    <w:p w:rsidR="00943D1A" w:rsidRPr="000659F3" w:rsidRDefault="00B30C43" w:rsidP="00A82C75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dhe Armen Harutyunyan </w:t>
      </w:r>
      <w:r w:rsidR="00943D1A" w:rsidRPr="000659F3">
        <w:rPr>
          <w:rFonts w:ascii="Times New Roman" w:hAnsi="Times New Roman"/>
          <w:i/>
          <w:sz w:val="24"/>
          <w:szCs w:val="24"/>
          <w:lang w:val="sq-AL"/>
        </w:rPr>
        <w:t xml:space="preserve">gjyqtarë, </w:t>
      </w:r>
    </w:p>
    <w:p w:rsidR="00943D1A" w:rsidRPr="000659F3" w:rsidRDefault="00943D1A" w:rsidP="00A82C75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dhe </w:t>
      </w:r>
      <w:r w:rsidR="001E11BC" w:rsidRPr="000659F3">
        <w:rPr>
          <w:rFonts w:ascii="Times New Roman" w:hAnsi="Times New Roman"/>
          <w:sz w:val="24"/>
          <w:szCs w:val="24"/>
          <w:lang w:val="sq-AL"/>
        </w:rPr>
        <w:t xml:space="preserve">André </w:t>
      </w:r>
      <w:r w:rsidR="001628A9" w:rsidRPr="000659F3">
        <w:rPr>
          <w:rFonts w:ascii="Times New Roman" w:hAnsi="Times New Roman"/>
          <w:sz w:val="24"/>
          <w:szCs w:val="24"/>
          <w:lang w:val="sq-AL"/>
        </w:rPr>
        <w:t>Wampach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1E11BC" w:rsidRPr="000659F3">
        <w:rPr>
          <w:rFonts w:ascii="Times New Roman" w:hAnsi="Times New Roman"/>
          <w:i/>
          <w:sz w:val="24"/>
          <w:szCs w:val="24"/>
          <w:lang w:val="sq-AL"/>
        </w:rPr>
        <w:t>Z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1E11BC" w:rsidRPr="000659F3">
        <w:rPr>
          <w:rFonts w:ascii="Times New Roman" w:hAnsi="Times New Roman"/>
          <w:i/>
          <w:sz w:val="24"/>
          <w:szCs w:val="24"/>
          <w:lang w:val="sq-AL"/>
        </w:rPr>
        <w:t>vend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1E11BC" w:rsidRPr="000659F3">
        <w:rPr>
          <w:rFonts w:ascii="Times New Roman" w:hAnsi="Times New Roman"/>
          <w:i/>
          <w:sz w:val="24"/>
          <w:szCs w:val="24"/>
          <w:lang w:val="sq-AL"/>
        </w:rPr>
        <w:t>s</w:t>
      </w:r>
      <w:r w:rsidR="001E11BC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628A9" w:rsidRPr="000659F3">
        <w:rPr>
          <w:rFonts w:ascii="Times New Roman" w:hAnsi="Times New Roman"/>
          <w:i/>
          <w:sz w:val="24"/>
          <w:szCs w:val="24"/>
          <w:lang w:val="sq-AL"/>
        </w:rPr>
        <w:t>Sekretar i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Seksionit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943D1A" w:rsidRPr="000659F3" w:rsidRDefault="00943D1A" w:rsidP="00A82C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Pasi ka diskutuar me dyer të mbyllura më </w:t>
      </w:r>
      <w:r w:rsidR="001E11BC" w:rsidRPr="000659F3">
        <w:rPr>
          <w:rFonts w:ascii="Times New Roman" w:hAnsi="Times New Roman"/>
          <w:sz w:val="24"/>
          <w:szCs w:val="24"/>
          <w:lang w:val="sq-AL"/>
        </w:rPr>
        <w:t>10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E11BC" w:rsidRPr="000659F3">
        <w:rPr>
          <w:rFonts w:ascii="Times New Roman" w:hAnsi="Times New Roman"/>
          <w:sz w:val="24"/>
          <w:szCs w:val="24"/>
          <w:lang w:val="sq-AL"/>
        </w:rPr>
        <w:t>ntor 2015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, </w:t>
      </w:r>
    </w:p>
    <w:p w:rsidR="00943D1A" w:rsidRPr="000659F3" w:rsidRDefault="00943D1A" w:rsidP="00A82C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Lëshon vendimin e mëposhtëm, i cili u miratua në po atë ditë:</w:t>
      </w:r>
    </w:p>
    <w:p w:rsidR="00943D1A" w:rsidRPr="000659F3" w:rsidRDefault="00943D1A" w:rsidP="00A82C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PROCEDURA</w:t>
      </w:r>
    </w:p>
    <w:p w:rsidR="00943D1A" w:rsidRPr="000659F3" w:rsidRDefault="00943D1A" w:rsidP="00A82C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Çështja filloi me një aplikim (nr. </w:t>
      </w:r>
      <w:r w:rsidR="001E11BC" w:rsidRPr="000659F3">
        <w:rPr>
          <w:rFonts w:ascii="Times New Roman" w:hAnsi="Times New Roman"/>
          <w:sz w:val="24"/>
          <w:szCs w:val="24"/>
          <w:lang w:val="sq-AL"/>
        </w:rPr>
        <w:t>5250/07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) kundër Republikës së Shqipërisë paraqitur në Gjykatë sipas Nenit 34 të Konventës për Mbrojtjen e të Drejtave të Njeriut dhe Lirive Themelore (“Konventa”) nga një shtetas shqipëtar, z. </w:t>
      </w:r>
      <w:r w:rsidR="001E11BC" w:rsidRPr="000659F3">
        <w:rPr>
          <w:rFonts w:ascii="Times New Roman" w:hAnsi="Times New Roman"/>
          <w:sz w:val="24"/>
          <w:szCs w:val="24"/>
          <w:lang w:val="sq-AL"/>
        </w:rPr>
        <w:t xml:space="preserve">Xhaferr Bici 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(“ankuesi”), më </w:t>
      </w:r>
      <w:r w:rsidR="001E11BC" w:rsidRPr="000659F3">
        <w:rPr>
          <w:rFonts w:ascii="Times New Roman" w:hAnsi="Times New Roman"/>
          <w:sz w:val="24"/>
          <w:szCs w:val="24"/>
          <w:lang w:val="sq-AL"/>
        </w:rPr>
        <w:t>4 Dhjetor 2006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943D1A" w:rsidRPr="000659F3" w:rsidRDefault="001E11BC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Ankuesi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rfaq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sohej nga Znj. S. Puto,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avokate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ushtron detyr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Tiran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. Qeveria shqiptare (“Qev</w:t>
      </w:r>
      <w:r w:rsidR="001628A9" w:rsidRPr="000659F3">
        <w:rPr>
          <w:rFonts w:ascii="Times New Roman" w:hAnsi="Times New Roman"/>
          <w:sz w:val="24"/>
          <w:szCs w:val="24"/>
          <w:lang w:val="sq-AL"/>
        </w:rPr>
        <w:t>e</w:t>
      </w:r>
      <w:r w:rsidRPr="000659F3">
        <w:rPr>
          <w:rFonts w:ascii="Times New Roman" w:hAnsi="Times New Roman"/>
          <w:sz w:val="24"/>
          <w:szCs w:val="24"/>
          <w:lang w:val="sq-AL"/>
        </w:rPr>
        <w:t>ria”) u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rfaq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sua nga Agjentja e asaj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Znj E. Hajro nga Zyra e Avokatit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Shtetit.</w:t>
      </w:r>
    </w:p>
    <w:p w:rsidR="00943D1A" w:rsidRPr="000659F3" w:rsidRDefault="001E11BC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Ankimi</w:t>
      </w:r>
      <w:r w:rsidR="00904CEF" w:rsidRPr="000659F3">
        <w:rPr>
          <w:rFonts w:ascii="Times New Roman" w:hAnsi="Times New Roman"/>
          <w:sz w:val="24"/>
          <w:szCs w:val="24"/>
          <w:lang w:val="sq-AL"/>
        </w:rPr>
        <w:t xml:space="preserve"> iu komunikua Qeveris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904CEF"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904CEF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5 Shkurt 2009</w:t>
      </w:r>
      <w:r w:rsidR="00904CEF" w:rsidRPr="000659F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943D1A" w:rsidRPr="000659F3" w:rsidRDefault="00943D1A" w:rsidP="00A82C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FAKTET</w:t>
      </w:r>
    </w:p>
    <w:p w:rsidR="00943D1A" w:rsidRPr="000659F3" w:rsidRDefault="00943D1A" w:rsidP="00A82C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43D1A" w:rsidP="00A82C75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RRETHANAT E ÇËSHTJES</w:t>
      </w:r>
    </w:p>
    <w:p w:rsidR="00904CEF" w:rsidRPr="000659F3" w:rsidRDefault="00904CEF" w:rsidP="00A82C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0659F3" w:rsidRDefault="00904CEF" w:rsidP="00A82C7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Procedurat p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r </w:t>
      </w:r>
      <w:r w:rsidR="001E11BC" w:rsidRPr="000659F3">
        <w:rPr>
          <w:rFonts w:ascii="Times New Roman" w:hAnsi="Times New Roman"/>
          <w:b/>
          <w:sz w:val="24"/>
          <w:szCs w:val="24"/>
          <w:lang w:val="sq-AL"/>
        </w:rPr>
        <w:t>kthimin e pron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="001E11BC" w:rsidRPr="000659F3">
        <w:rPr>
          <w:rFonts w:ascii="Times New Roman" w:hAnsi="Times New Roman"/>
          <w:b/>
          <w:sz w:val="24"/>
          <w:szCs w:val="24"/>
          <w:lang w:val="sq-AL"/>
        </w:rPr>
        <w:t>s</w:t>
      </w:r>
    </w:p>
    <w:p w:rsidR="001E11BC" w:rsidRPr="000659F3" w:rsidRDefault="001E11BC" w:rsidP="00A82C75">
      <w:pPr>
        <w:pStyle w:val="NoSpacing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E11BC" w:rsidRPr="000659F3" w:rsidRDefault="001E11BC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Ankuesi ka lindur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vitin 1926 dhe jeton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Durr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5376CD" w:rsidRPr="000659F3" w:rsidRDefault="001E11BC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Babai i ankuesit ishte pronari i </w:t>
      </w:r>
      <w:r w:rsidR="005376CD" w:rsidRPr="000659F3">
        <w:rPr>
          <w:rFonts w:ascii="Times New Roman" w:hAnsi="Times New Roman"/>
          <w:sz w:val="24"/>
          <w:szCs w:val="24"/>
          <w:lang w:val="sq-AL"/>
        </w:rPr>
        <w:t xml:space="preserve">dy 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rfaqeve toke buj</w:t>
      </w:r>
      <w:r w:rsidR="005376CD" w:rsidRPr="000659F3">
        <w:rPr>
          <w:rFonts w:ascii="Times New Roman" w:hAnsi="Times New Roman"/>
          <w:sz w:val="24"/>
          <w:szCs w:val="24"/>
          <w:lang w:val="sq-AL"/>
        </w:rPr>
        <w:t>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376CD" w:rsidRPr="000659F3">
        <w:rPr>
          <w:rFonts w:ascii="Times New Roman" w:hAnsi="Times New Roman"/>
          <w:sz w:val="24"/>
          <w:szCs w:val="24"/>
          <w:lang w:val="sq-AL"/>
        </w:rPr>
        <w:t>sore,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376CD" w:rsidRPr="000659F3">
        <w:rPr>
          <w:rFonts w:ascii="Times New Roman" w:hAnsi="Times New Roman"/>
          <w:sz w:val="24"/>
          <w:szCs w:val="24"/>
          <w:lang w:val="sq-AL"/>
        </w:rPr>
        <w:t xml:space="preserve"> cilat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376CD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376CD" w:rsidRPr="000659F3">
        <w:rPr>
          <w:rFonts w:ascii="Times New Roman" w:hAnsi="Times New Roman"/>
          <w:sz w:val="24"/>
          <w:szCs w:val="24"/>
          <w:lang w:val="sq-AL"/>
        </w:rPr>
        <w:t xml:space="preserve"> moment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376CD" w:rsidRPr="000659F3">
        <w:rPr>
          <w:rFonts w:ascii="Times New Roman" w:hAnsi="Times New Roman"/>
          <w:sz w:val="24"/>
          <w:szCs w:val="24"/>
          <w:lang w:val="sq-AL"/>
        </w:rPr>
        <w:t xml:space="preserve"> caktuar, u shpron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376CD" w:rsidRPr="000659F3">
        <w:rPr>
          <w:rFonts w:ascii="Times New Roman" w:hAnsi="Times New Roman"/>
          <w:sz w:val="24"/>
          <w:szCs w:val="24"/>
          <w:lang w:val="sq-AL"/>
        </w:rPr>
        <w:t>suan nga regjimi komunist.</w:t>
      </w:r>
    </w:p>
    <w:p w:rsidR="005376CD" w:rsidRDefault="005376CD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19 Shtator 1996, Gjykata e Rrethit Durr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njohu  ekzistenc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ankuesit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e trash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guar, e cila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rfaqe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toke bujq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sore 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prej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72,000 m</w:t>
      </w:r>
      <w:r w:rsidRPr="000659F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1628A9" w:rsidRPr="000659F3">
        <w:rPr>
          <w:rFonts w:ascii="Times New Roman" w:hAnsi="Times New Roman"/>
          <w:sz w:val="24"/>
          <w:szCs w:val="24"/>
          <w:lang w:val="sq-AL"/>
        </w:rPr>
        <w:t>,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rputhje me Nenin 388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Kodit Civil (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v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rtetim fakti juridik</w:t>
      </w:r>
      <w:r w:rsidRPr="000659F3">
        <w:rPr>
          <w:rFonts w:ascii="Times New Roman" w:hAnsi="Times New Roman"/>
          <w:sz w:val="24"/>
          <w:szCs w:val="24"/>
          <w:lang w:val="sq-AL"/>
        </w:rPr>
        <w:t>). Parashikimi operativ parashikon si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vijon: </w:t>
      </w:r>
    </w:p>
    <w:p w:rsidR="000659F3" w:rsidRDefault="000659F3" w:rsidP="000659F3">
      <w:pPr>
        <w:pStyle w:val="NoSpacing"/>
        <w:spacing w:line="276" w:lineRule="auto"/>
        <w:ind w:left="720"/>
        <w:rPr>
          <w:rFonts w:ascii="Times New Roman" w:hAnsi="Times New Roman"/>
          <w:sz w:val="18"/>
          <w:szCs w:val="18"/>
          <w:lang w:val="sq-AL"/>
        </w:rPr>
      </w:pPr>
    </w:p>
    <w:p w:rsidR="000659F3" w:rsidRPr="000659F3" w:rsidRDefault="000659F3" w:rsidP="000659F3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Pr="000659F3" w:rsidRDefault="000659F3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D0A65" w:rsidRPr="000659F3" w:rsidRDefault="005376CD" w:rsidP="00A82C7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“gjykata pranon 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 xml:space="preserve"> padin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628A9" w:rsidRPr="000659F3">
        <w:rPr>
          <w:rFonts w:ascii="Times New Roman" w:hAnsi="Times New Roman"/>
          <w:sz w:val="24"/>
          <w:szCs w:val="24"/>
          <w:lang w:val="sq-AL"/>
        </w:rPr>
        <w:t xml:space="preserve">të paditësit Xhaferr Bici 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dhe 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njeh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ekzistenc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 e faktit 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juridik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se bab</w:t>
      </w:r>
      <w:r w:rsidR="001628A9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>i i tij zot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ronte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rfaqe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toke bujq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sore 72,000 m</w:t>
      </w:r>
      <w:r w:rsidRPr="000659F3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(...). 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Kjo njohje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het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>r efekt kompensimi</w:t>
      </w:r>
      <w:r w:rsidRPr="000659F3">
        <w:rPr>
          <w:rFonts w:ascii="Times New Roman" w:hAnsi="Times New Roman"/>
          <w:sz w:val="24"/>
          <w:szCs w:val="24"/>
          <w:lang w:val="sq-AL"/>
        </w:rPr>
        <w:t>”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CD0A65" w:rsidRPr="000659F3" w:rsidRDefault="00CD0A65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26 Shtator 1996, ankuesi,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shtetje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Rrethit,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zoi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tek Komisioni i Kthimit dhe Kompensimit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Pronave  (“Komisioni”), duke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rkuar njohjen, kthimin dhe/ose kompensimin e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CD0A65" w:rsidRPr="000659F3" w:rsidRDefault="00CD0A65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Nga viti 2001 deri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vitin 2008,ankuesi i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rkoi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628A9" w:rsidRPr="000659F3">
        <w:rPr>
          <w:rFonts w:ascii="Times New Roman" w:hAnsi="Times New Roman"/>
          <w:sz w:val="24"/>
          <w:szCs w:val="24"/>
          <w:lang w:val="sq-AL"/>
        </w:rPr>
        <w:t xml:space="preserve"> autoriteteve t’i nji</w:t>
      </w:r>
      <w:r w:rsidRPr="000659F3">
        <w:rPr>
          <w:rFonts w:ascii="Times New Roman" w:hAnsi="Times New Roman"/>
          <w:sz w:val="24"/>
          <w:szCs w:val="24"/>
          <w:lang w:val="sq-AL"/>
        </w:rPr>
        <w:t>hnin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e tij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dhe t’ia rikthenin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n. </w:t>
      </w:r>
    </w:p>
    <w:p w:rsidR="00CD0A65" w:rsidRPr="000659F3" w:rsidRDefault="00CD0A65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11 Mars dhe 19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ntor 2002, Prefektura e Qarkut Durr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dhe Komisioni deklaruan se ankimi kishte mbetur pezull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prej vitit 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1996. Gjithashtu, Komisioni dek</w:t>
      </w:r>
      <w:r w:rsidRPr="000659F3">
        <w:rPr>
          <w:rFonts w:ascii="Times New Roman" w:hAnsi="Times New Roman"/>
          <w:sz w:val="24"/>
          <w:szCs w:val="24"/>
          <w:lang w:val="sq-AL"/>
        </w:rPr>
        <w:t>l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>roi se ankimi duhej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shqyrtohej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Ligjit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 i vitit 1993, i amenduar. </w:t>
      </w:r>
    </w:p>
    <w:p w:rsidR="00A82C75" w:rsidRPr="000659F3" w:rsidRDefault="00CD0A65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28 Gusht 2007, Komisioni konfirmoi se nuk ishte marr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ankimin e dat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26 Shtator 1996. Letra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82C75" w:rsidRPr="000659F3">
        <w:rPr>
          <w:rFonts w:ascii="Times New Roman" w:hAnsi="Times New Roman"/>
          <w:sz w:val="24"/>
          <w:szCs w:val="24"/>
          <w:lang w:val="sq-AL"/>
        </w:rPr>
        <w:t>rfshinte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82C75" w:rsidRPr="000659F3">
        <w:rPr>
          <w:rFonts w:ascii="Times New Roman" w:hAnsi="Times New Roman"/>
          <w:sz w:val="24"/>
          <w:szCs w:val="24"/>
          <w:lang w:val="sq-AL"/>
        </w:rPr>
        <w:t xml:space="preserve"> list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82C75" w:rsidRPr="000659F3">
        <w:rPr>
          <w:rFonts w:ascii="Times New Roman" w:hAnsi="Times New Roman"/>
          <w:sz w:val="24"/>
          <w:szCs w:val="24"/>
          <w:lang w:val="sq-AL"/>
        </w:rPr>
        <w:t xml:space="preserve"> me dokumenta,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82C75" w:rsidRPr="000659F3">
        <w:rPr>
          <w:rFonts w:ascii="Times New Roman" w:hAnsi="Times New Roman"/>
          <w:sz w:val="24"/>
          <w:szCs w:val="24"/>
          <w:lang w:val="sq-AL"/>
        </w:rPr>
        <w:t xml:space="preserve"> cilat ishin pjes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82C75" w:rsidRPr="000659F3">
        <w:rPr>
          <w:rFonts w:ascii="Times New Roman" w:hAnsi="Times New Roman"/>
          <w:sz w:val="24"/>
          <w:szCs w:val="24"/>
          <w:lang w:val="sq-AL"/>
        </w:rPr>
        <w:t xml:space="preserve"> e dosjes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82C75" w:rsidRPr="000659F3">
        <w:rPr>
          <w:rFonts w:ascii="Times New Roman" w:hAnsi="Times New Roman"/>
          <w:sz w:val="24"/>
          <w:szCs w:val="24"/>
          <w:lang w:val="sq-AL"/>
        </w:rPr>
        <w:t xml:space="preserve"> ankuesit. </w:t>
      </w:r>
    </w:p>
    <w:p w:rsidR="00A82C75" w:rsidRPr="000659F3" w:rsidRDefault="00A82C75" w:rsidP="00A82C7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82C75" w:rsidRPr="000659F3" w:rsidRDefault="00975E14" w:rsidP="00A82C75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Ngjarjet që dolën </w:t>
      </w:r>
      <w:r w:rsidR="00A82C75" w:rsidRPr="000659F3">
        <w:rPr>
          <w:rFonts w:ascii="Times New Roman" w:hAnsi="Times New Roman"/>
          <w:b/>
          <w:sz w:val="24"/>
          <w:szCs w:val="24"/>
          <w:lang w:val="sq-AL"/>
        </w:rPr>
        <w:t>pas komunikimit t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="00A82C75" w:rsidRPr="000659F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çë</w:t>
      </w:r>
      <w:r w:rsidR="00A82C75" w:rsidRPr="000659F3">
        <w:rPr>
          <w:rFonts w:ascii="Times New Roman" w:hAnsi="Times New Roman"/>
          <w:b/>
          <w:sz w:val="24"/>
          <w:szCs w:val="24"/>
          <w:lang w:val="sq-AL"/>
        </w:rPr>
        <w:t>shtjes</w:t>
      </w:r>
    </w:p>
    <w:p w:rsidR="00A82C75" w:rsidRPr="000659F3" w:rsidRDefault="00A82C75" w:rsidP="00A82C75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1B0AAD" w:rsidRPr="000659F3" w:rsidRDefault="00A82C75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14 Korrik 2008, Komisioni i ktheu ankuesit ankimin e tij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26 Shtator 1996.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deklarohej se nuk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merrej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fuqizimin e vendimit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Rrethit,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19 Shtator 1996,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seksionin 17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vitit 2004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Ligji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n, i amenduar (shiko pragrafin 16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).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tej,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rehej se 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Ligji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i vitit 1993 dhe aktet ligjore statutore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vijim,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cilat parashikonin njohjen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 i cili njihte ekzistenc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e faktit juridik</w:t>
      </w:r>
      <w:r w:rsidR="001B0AAD"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B0AAD"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B0AAD" w:rsidRPr="000659F3">
        <w:rPr>
          <w:rFonts w:ascii="Times New Roman" w:hAnsi="Times New Roman"/>
          <w:sz w:val="24"/>
          <w:szCs w:val="24"/>
          <w:lang w:val="sq-AL"/>
        </w:rPr>
        <w:t xml:space="preserve"> drejtat e pretenduara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B0AAD" w:rsidRPr="000659F3">
        <w:rPr>
          <w:rFonts w:ascii="Times New Roman" w:hAnsi="Times New Roman"/>
          <w:sz w:val="24"/>
          <w:szCs w:val="24"/>
          <w:lang w:val="sq-AL"/>
        </w:rPr>
        <w:t>n, ishte z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B0AAD" w:rsidRPr="000659F3">
        <w:rPr>
          <w:rFonts w:ascii="Times New Roman" w:hAnsi="Times New Roman"/>
          <w:sz w:val="24"/>
          <w:szCs w:val="24"/>
          <w:lang w:val="sq-AL"/>
        </w:rPr>
        <w:t>vend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B0AAD" w:rsidRPr="000659F3">
        <w:rPr>
          <w:rFonts w:ascii="Times New Roman" w:hAnsi="Times New Roman"/>
          <w:sz w:val="24"/>
          <w:szCs w:val="24"/>
          <w:lang w:val="sq-AL"/>
        </w:rPr>
        <w:t xml:space="preserve">suar. </w:t>
      </w:r>
    </w:p>
    <w:p w:rsidR="001B0AAD" w:rsidRPr="000659F3" w:rsidRDefault="001B0AAD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Nuk ka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konfirmim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se letra e Komisionit e dat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 14 Korrik 2008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nga ankuesi. </w:t>
      </w:r>
    </w:p>
    <w:p w:rsidR="001B0AAD" w:rsidRPr="000659F3" w:rsidRDefault="001B0AAD" w:rsidP="001B0AA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B0AAD" w:rsidRPr="000659F3" w:rsidRDefault="001B0AAD" w:rsidP="001B0AA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LIGJI DHE PRAKTIKA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SE VENDASE</w:t>
      </w:r>
    </w:p>
    <w:p w:rsidR="001B0AAD" w:rsidRPr="000659F3" w:rsidRDefault="001B0AAD" w:rsidP="001B0AA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B0AAD" w:rsidRPr="000659F3" w:rsidRDefault="001B0AAD" w:rsidP="001B0AAD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Ligjet p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>n (</w:t>
      </w:r>
      <w:r w:rsidRPr="000659F3">
        <w:rPr>
          <w:rFonts w:ascii="Times New Roman" w:hAnsi="Times New Roman"/>
          <w:b/>
          <w:i/>
          <w:sz w:val="24"/>
          <w:szCs w:val="24"/>
          <w:lang w:val="sq-AL"/>
        </w:rPr>
        <w:t>Ligji p</w:t>
      </w:r>
      <w:r w:rsidR="00EF4605" w:rsidRPr="000659F3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i/>
          <w:sz w:val="24"/>
          <w:szCs w:val="24"/>
          <w:lang w:val="sq-AL"/>
        </w:rPr>
        <w:t>r Kthimin dhe Kompensimin e Pron</w:t>
      </w:r>
      <w:r w:rsidR="00EF4605" w:rsidRPr="000659F3">
        <w:rPr>
          <w:rFonts w:ascii="Times New Roman" w:hAnsi="Times New Roman"/>
          <w:b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i/>
          <w:sz w:val="24"/>
          <w:szCs w:val="24"/>
          <w:lang w:val="sq-AL"/>
        </w:rPr>
        <w:t>s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>)</w:t>
      </w:r>
      <w:r w:rsidR="00A82C75" w:rsidRPr="000659F3">
        <w:rPr>
          <w:rFonts w:ascii="Times New Roman" w:hAnsi="Times New Roman"/>
          <w:sz w:val="24"/>
          <w:szCs w:val="24"/>
          <w:lang w:val="sq-AL"/>
        </w:rPr>
        <w:t xml:space="preserve">   </w:t>
      </w:r>
      <w:r w:rsidR="00CD0A65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1B0AAD" w:rsidRPr="000659F3" w:rsidRDefault="001B0AAD" w:rsidP="001B0AA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Default="001B0AAD" w:rsidP="001B0AA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Ligjet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rshkruhen me detaje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vendimet e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Gjonbocari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(nr. 10508/02, 23 Tetor 2007);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Driza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(nr. 33771/02. 13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ntor 2007);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Ramadhi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(nr. 38222/02, 13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ntor 2007);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Hamzaraj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(nr. 2)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(nr. 45265/04, 22 Shtator 2009);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Luli dhe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(nr. 64480/09, 64482/09, 12874/10, 56935/10, 3129/12 </w:t>
      </w:r>
    </w:p>
    <w:p w:rsidR="000659F3" w:rsidRDefault="000659F3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Pr="000659F3" w:rsidRDefault="000659F3" w:rsidP="000659F3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Default="000659F3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B0AAD" w:rsidRPr="000659F3" w:rsidRDefault="001B0AAD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dhe 31355/09, 1 Prill 2014); dhe,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nr. 604/07, 43628/07, 46684/07 dhe 34770/09, 31 Korrik 2012. </w:t>
      </w:r>
    </w:p>
    <w:p w:rsidR="001B0AAD" w:rsidRPr="000659F3" w:rsidRDefault="001B0AAD" w:rsidP="001B0AA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Parashikimet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se,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 xml:space="preserve"> lidhje me këtë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Pr="000659F3">
        <w:rPr>
          <w:rFonts w:ascii="Times New Roman" w:hAnsi="Times New Roman"/>
          <w:sz w:val="24"/>
          <w:szCs w:val="24"/>
          <w:lang w:val="sq-AL"/>
        </w:rPr>
        <w:t>shtje, jan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si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vijon:</w:t>
      </w:r>
    </w:p>
    <w:p w:rsidR="00D831A0" w:rsidRPr="000659F3" w:rsidRDefault="001B0AAD" w:rsidP="001B0AA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Seksioni 22 i Ligjit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i vitit 1993 parashikon se njohja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 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bazohej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dokumentet zyrtar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duhej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zoheshin nga pronari i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parsh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m.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munges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tyre dokumenteve zyrtar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, ekzistenca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 xml:space="preserve"> prete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d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uara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n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njihet me 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vendimi gjykate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prani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pal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pandehur.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r rrjedhoj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,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pronar i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parsh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m ka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ar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a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qes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ankim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rpara Komisionit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r njohjen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tij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pretenduara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n e trash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guar,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vendim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gjykate. Ligji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n i vitit 2004 shfuqizon Ligjin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31A0" w:rsidRPr="000659F3">
        <w:rPr>
          <w:rFonts w:ascii="Times New Roman" w:hAnsi="Times New Roman"/>
          <w:sz w:val="24"/>
          <w:szCs w:val="24"/>
          <w:lang w:val="sq-AL"/>
        </w:rPr>
        <w:t xml:space="preserve"> vitit 1993. </w:t>
      </w:r>
    </w:p>
    <w:p w:rsidR="00D831A0" w:rsidRPr="000659F3" w:rsidRDefault="00D831A0" w:rsidP="001B0AA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Sipas Seksionit 17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Ligjit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vitit 2004, i amenduar, afati kohor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zimin e ankesave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reja u shty. Gjithashtu, u parashikua se Agjensia e Kthimit dhe Kompensimit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Pronave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Tiran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(“Agjensia Qendrore”) nuk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merrte ndonj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ankesat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,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pretendimet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cilave bazoheshin vet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 gjykate, i cili njihte ekzistenc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fakti ligjor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rputhje me Nenin 388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Kodit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Civile.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gjitha ankesat e bazuara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do t’i ktheheshin </w:t>
      </w:r>
      <w:r w:rsidR="00D81768" w:rsidRPr="000659F3">
        <w:rPr>
          <w:rFonts w:ascii="Times New Roman" w:hAnsi="Times New Roman"/>
          <w:sz w:val="24"/>
          <w:szCs w:val="24"/>
          <w:lang w:val="sq-AL"/>
        </w:rPr>
        <w:t>padit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81768" w:rsidRPr="000659F3">
        <w:rPr>
          <w:rFonts w:ascii="Times New Roman" w:hAnsi="Times New Roman"/>
          <w:sz w:val="24"/>
          <w:szCs w:val="24"/>
          <w:lang w:val="sq-AL"/>
        </w:rPr>
        <w:t>sit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brenda tridhjet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dit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ve nga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zimi dhe nuk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rmerrej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veprim i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tejsh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1B0AAD" w:rsidRPr="000659F3" w:rsidRDefault="00D81768" w:rsidP="001B0AA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Seksioni 19 § 1 i Ligjit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Pronat i vitit 2004 prashikonte mund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zimin e ankesave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reja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njohjen, kthimin dhe kompensimin 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prone.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rputhje me seksionin 22,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pronar i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p</w:t>
      </w:r>
      <w:r w:rsidR="00975E14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>rsh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m 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>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>nte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 xml:space="preserve"> re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>r njohjen, kthimin ose kompensimin e pjes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 xml:space="preserve"> mbetur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 xml:space="preserve">s,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>’ka ishte vendosur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 xml:space="preserve"> her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E2E27" w:rsidRPr="000659F3">
        <w:rPr>
          <w:rFonts w:ascii="Times New Roman" w:hAnsi="Times New Roman"/>
          <w:sz w:val="24"/>
          <w:szCs w:val="24"/>
          <w:lang w:val="sq-AL"/>
        </w:rPr>
        <w:t xml:space="preserve">t nga Komisioni. </w:t>
      </w:r>
    </w:p>
    <w:p w:rsidR="000E2E27" w:rsidRPr="000659F3" w:rsidRDefault="000E2E27" w:rsidP="000E2E2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E2E27" w:rsidRPr="000659F3" w:rsidRDefault="000E2E27" w:rsidP="000E2E27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Ligje t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 tjera vendase t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 lidhura me 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çë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>shtjen n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 fjal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0E2E27" w:rsidRPr="000659F3" w:rsidRDefault="000E2E27" w:rsidP="000E2E27">
      <w:pPr>
        <w:pStyle w:val="NoSpacing"/>
        <w:spacing w:line="276" w:lineRule="auto"/>
        <w:ind w:left="72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0E2E27" w:rsidRPr="000659F3" w:rsidRDefault="000E2E27" w:rsidP="000E2E2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Sipas Nenit 324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Kodit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Civile (“KPP”),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padit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s mund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anullimin 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vendimi administrativ. Gjithshtu,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padit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rshtoj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refuzimin e autoriteteve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rmarrjen 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vendimi administrativ brenda afatit kohor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rcaktuar. </w:t>
      </w:r>
    </w:p>
    <w:p w:rsidR="001E11BC" w:rsidRPr="000659F3" w:rsidRDefault="000E2E27" w:rsidP="001B0AA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Neni 388 i KPP parashikon se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Pr="000659F3">
        <w:rPr>
          <w:rFonts w:ascii="Times New Roman" w:hAnsi="Times New Roman"/>
          <w:sz w:val="24"/>
          <w:szCs w:val="24"/>
          <w:lang w:val="sq-AL"/>
        </w:rPr>
        <w:t>do pal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 interesuar ka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k</w:t>
      </w:r>
      <w:r w:rsidRPr="000659F3">
        <w:rPr>
          <w:rFonts w:ascii="Times New Roman" w:hAnsi="Times New Roman"/>
          <w:sz w:val="24"/>
          <w:szCs w:val="24"/>
          <w:lang w:val="sq-AL"/>
        </w:rPr>
        <w:t>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gjykata e shkall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par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njoh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fakt,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nat e dokumentura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cilit jan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 xml:space="preserve"> zhdukur, kan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humbur dhe nuk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krijohen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ri, ose nuk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rftohen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r, vet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fakt i till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material dhe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shkaktoj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ndryshoj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ose ndaloj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drejtat personale ose ato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n. </w:t>
      </w:r>
      <w:r w:rsidR="005376CD" w:rsidRPr="000659F3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1E11BC" w:rsidRPr="000659F3">
        <w:rPr>
          <w:rFonts w:ascii="Times New Roman" w:hAnsi="Times New Roman"/>
          <w:sz w:val="24"/>
          <w:szCs w:val="24"/>
          <w:lang w:val="sq-AL"/>
        </w:rPr>
        <w:t xml:space="preserve">  </w:t>
      </w:r>
    </w:p>
    <w:p w:rsidR="000659F3" w:rsidRDefault="00EF4605" w:rsidP="00EF46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Neni 77 i Kodit të Procedurës Administrative (“KPA”) parashikon refuzimin e nënkuptuar nga një autoritet shtetëror në rast se nuk është marrë asnjë vendi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m brenda nëntëdhejetë ditësh në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ankimin. Sipas Nenit 137 të KPA, një </w:t>
      </w:r>
    </w:p>
    <w:p w:rsidR="000659F3" w:rsidRPr="000659F3" w:rsidRDefault="000659F3" w:rsidP="000659F3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Default="000659F3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F4605" w:rsidRPr="000659F3" w:rsidRDefault="00EF4605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palë e interesuar mund të apelojë,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inter alia, 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kundër refuzimit për çuarjen e një vendimi administrativ në gjykatë, pasi janë shteruar mjetet respektive administrative. </w:t>
      </w:r>
    </w:p>
    <w:p w:rsidR="00EF4605" w:rsidRPr="000659F3" w:rsidRDefault="00EF4605" w:rsidP="00EF46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Sipas Ligjit për detyrimet ekstra kontraktuale të Shtetit (ligji nr. 8510 i datës 15 Korrik 1999), një Shtet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 xml:space="preserve"> është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i detyruar të kompensojë dëmin shkaktuar ndaj një pale të tretë gjatë ushtrimit të funksioneve të tij publike, në rast se ky dëm dhe kompensim nuk është njohur nga ai entitet. </w:t>
      </w:r>
    </w:p>
    <w:p w:rsidR="00EF4605" w:rsidRPr="000659F3" w:rsidRDefault="00EF4605" w:rsidP="00EF460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F4605" w:rsidRPr="000659F3" w:rsidRDefault="00EF4605" w:rsidP="00EF4605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Praktika vendase</w:t>
      </w:r>
    </w:p>
    <w:p w:rsidR="00EF4605" w:rsidRPr="000659F3" w:rsidRDefault="00EF4605" w:rsidP="00EF4605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F4605" w:rsidRPr="000659F3" w:rsidRDefault="00EF4605" w:rsidP="00EF46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Në vitin 2007 dhe 2008, Gjykata e Lartë sqaroi përfundimisht praktikën e gjykatasve vendase në lidhje me zbatimin e Nenit 388 të Kodit të Procedurës Civile. Më specifikisht, në vendimet e saj nr. 746/2007 të dat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ës 31 Maj 2007 dhe 98/2008 të d</w:t>
      </w:r>
      <w:r w:rsidRPr="000659F3">
        <w:rPr>
          <w:rFonts w:ascii="Times New Roman" w:hAnsi="Times New Roman"/>
          <w:sz w:val="24"/>
          <w:szCs w:val="24"/>
          <w:lang w:val="sq-AL"/>
        </w:rPr>
        <w:t>a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t</w:t>
      </w:r>
      <w:r w:rsidRPr="000659F3">
        <w:rPr>
          <w:rFonts w:ascii="Times New Roman" w:hAnsi="Times New Roman"/>
          <w:sz w:val="24"/>
          <w:szCs w:val="24"/>
          <w:lang w:val="sq-AL"/>
        </w:rPr>
        <w:t>ës 14 Shkurt 2008 në lidhje me mosmarrëveshjet për pronën, Gjykata e Lartë shtoi se “një vendim gjykate i marrë në përputhje me Nenin 388 të Kodit të Procedurës Civile nuk duhet të interpretohet si i lidhur me autoritet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et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admini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strative, por si një dokument ud</w:t>
      </w:r>
      <w:r w:rsidRPr="000659F3">
        <w:rPr>
          <w:rFonts w:ascii="Times New Roman" w:hAnsi="Times New Roman"/>
          <w:sz w:val="24"/>
          <w:szCs w:val="24"/>
          <w:lang w:val="sq-AL"/>
        </w:rPr>
        <w:t>hëheqës që i mundëson aatyre të marrin një vendim bazuar në ligj dhe në dokumentet që zotërohen”. Në vendimin nr. 749/2007 të datës 31 Maj 2007, Gjykata e Lartë shtoi se “një vendim i tillë gjykate duhet të shqyrtohet në kombinim me dokumente shtesë mbështetës nga Agjensia, e cila duhet të vendosë përfundimisht nëse d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 xml:space="preserve">uhet të 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pranojë ose të rrëzojë kërkesën e ankuesit [për njohjen e të drejtave të tij mbi pronën]”. </w:t>
      </w:r>
    </w:p>
    <w:p w:rsidR="00EF4605" w:rsidRPr="000659F3" w:rsidRDefault="00EF4605" w:rsidP="00EF460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F4605" w:rsidRPr="000659F3" w:rsidRDefault="00EF4605" w:rsidP="00EF460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LIGJI </w:t>
      </w:r>
    </w:p>
    <w:p w:rsidR="00EF4605" w:rsidRPr="000659F3" w:rsidRDefault="00EF4605" w:rsidP="00EF460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F4605" w:rsidRPr="000659F3" w:rsidRDefault="00EF4605" w:rsidP="00EF4605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PRETENDIMI PËR SHKELJE TË NENIT 6 § 1 TË KONVENTËS</w:t>
      </w:r>
    </w:p>
    <w:p w:rsidR="00EF4605" w:rsidRPr="000659F3" w:rsidRDefault="00EF4605" w:rsidP="00EF460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F4605" w:rsidRPr="000659F3" w:rsidRDefault="00EF4605" w:rsidP="00EF46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Nga mocio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ni i saj, Gjykata ngriti çështj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en nëse kishte pasur një shkelje të Nenit 6 § 1 të Konventës në lidhje me mosmarrjen e një vendimi nga ana e autoriteteve për pakënaqësinë e paraqitur nga ankuesi në vitin 1996. </w:t>
      </w:r>
    </w:p>
    <w:p w:rsidR="00EF4605" w:rsidRPr="000659F3" w:rsidRDefault="00EF4605" w:rsidP="00EF46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Në vëzhgimet e tij, a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nkuesi shfaqi pakënaqësinë se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kohëzgjatja e procedimeve përpara Komisionit nuk pajtohej me kërkesën për “kohë të arsyeshme”, parashtruar në Nenin 6 § 1 të Konventës, i cili, për sa ka të bëjë me çështjen, parashikon: </w:t>
      </w:r>
    </w:p>
    <w:p w:rsidR="00EF4605" w:rsidRPr="000659F3" w:rsidRDefault="00EF4605" w:rsidP="00EF460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“</w:t>
      </w:r>
      <w:r w:rsidR="00397E4E" w:rsidRPr="000659F3">
        <w:rPr>
          <w:rFonts w:ascii="Times New Roman" w:hAnsi="Times New Roman"/>
          <w:sz w:val="20"/>
          <w:szCs w:val="20"/>
          <w:lang w:val="sq-AL"/>
        </w:rPr>
        <w:t>Në përcakt</w:t>
      </w:r>
      <w:r w:rsidRPr="000659F3">
        <w:rPr>
          <w:rFonts w:ascii="Times New Roman" w:hAnsi="Times New Roman"/>
          <w:sz w:val="20"/>
          <w:szCs w:val="20"/>
          <w:lang w:val="sq-AL"/>
        </w:rPr>
        <w:t>imin e të drejtave dhe të detyrimeve të tij civile..., çdo njeri ka të drejtën ... për një seancë dëgjimore brenda një afati kohor të arsyeshëm nga ... një gjykatë...</w:t>
      </w:r>
      <w:r w:rsidRPr="000659F3">
        <w:rPr>
          <w:rFonts w:ascii="Times New Roman" w:hAnsi="Times New Roman"/>
          <w:sz w:val="24"/>
          <w:szCs w:val="24"/>
          <w:lang w:val="sq-AL"/>
        </w:rPr>
        <w:t>”</w:t>
      </w:r>
    </w:p>
    <w:p w:rsidR="00EF4605" w:rsidRDefault="00EF4605" w:rsidP="00EF460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Default="000659F3" w:rsidP="00EF460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Default="000659F3" w:rsidP="00EF460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Pr="000659F3" w:rsidRDefault="000659F3" w:rsidP="000659F3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Pr="000659F3" w:rsidRDefault="000659F3" w:rsidP="00EF460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Default="00EF4605" w:rsidP="00EF4605">
      <w:pPr>
        <w:pStyle w:val="NoSpacing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PRANUESHMËRIA</w:t>
      </w:r>
    </w:p>
    <w:p w:rsidR="000659F3" w:rsidRPr="000659F3" w:rsidRDefault="000659F3" w:rsidP="000659F3">
      <w:pPr>
        <w:pStyle w:val="NoSpacing"/>
        <w:spacing w:line="276" w:lineRule="auto"/>
        <w:ind w:left="108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F4605" w:rsidRPr="000659F3" w:rsidRDefault="00EF4605" w:rsidP="00EF4605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Zbatimi i Nenit 6 § 1</w:t>
      </w:r>
    </w:p>
    <w:p w:rsidR="000659F3" w:rsidRPr="000659F3" w:rsidRDefault="000659F3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F4605" w:rsidRPr="000659F3" w:rsidRDefault="00EF4605" w:rsidP="00EF46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Qeveria e kontestoi pranueshmërinë e Nenit 6 § 1 të Konventës për zbatimin e një vendimi gjykate, i cili njeh ekzistencën e një fakti juridik. Qeveria argumenton se në çështjen në fjalë nuk kishte mosmarrëveshje për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 xml:space="preserve"> të drejtat civile. I takonte an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kuesit të vendoste nëse do t’i dorëzonte autoriteteve administrative një ankim të ri në lidhje me prezantimin e afateve të reja kohore. </w:t>
      </w:r>
    </w:p>
    <w:p w:rsidR="00D52522" w:rsidRPr="000659F3" w:rsidRDefault="00397E4E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Ankuesi shpjegoi se ishte ankuar për kohëzgjatjen e procedimeve përpara autoriteteve administrative për moszbatim të vendimit gjyqësor të datës 19 Shtator 1996, i cili njihte ekzistencën e faktit juridik. 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>Duke u mb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>shtetur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 xml:space="preserve"> gjykimin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="00D52522" w:rsidRPr="000659F3">
        <w:rPr>
          <w:rFonts w:ascii="Times New Roman" w:hAnsi="Times New Roman"/>
          <w:i/>
          <w:sz w:val="24"/>
          <w:szCs w:val="24"/>
          <w:lang w:val="sq-AL"/>
        </w:rPr>
        <w:t>Ramadhi dhe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>, nr. 38222/02, 13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>ntor 2007, ai u shpreh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zbatueshmërisë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D52522" w:rsidRPr="000659F3">
        <w:rPr>
          <w:rFonts w:ascii="Times New Roman" w:hAnsi="Times New Roman"/>
          <w:sz w:val="24"/>
          <w:szCs w:val="24"/>
          <w:lang w:val="sq-AL"/>
        </w:rPr>
        <w:t xml:space="preserve"> Nenit </w:t>
      </w:r>
      <w:r w:rsidR="00A10757" w:rsidRPr="000659F3">
        <w:rPr>
          <w:rFonts w:ascii="Times New Roman" w:hAnsi="Times New Roman"/>
          <w:sz w:val="24"/>
          <w:szCs w:val="24"/>
          <w:lang w:val="sq-AL"/>
        </w:rPr>
        <w:t>6 §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10757"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10757" w:rsidRPr="000659F3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7E090D" w:rsidRPr="000659F3" w:rsidRDefault="007E090D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</w:t>
      </w:r>
      <w:r w:rsidR="00A10757" w:rsidRPr="000659F3">
        <w:rPr>
          <w:rFonts w:ascii="Times New Roman" w:hAnsi="Times New Roman"/>
          <w:sz w:val="24"/>
          <w:szCs w:val="24"/>
          <w:lang w:val="sq-AL"/>
        </w:rPr>
        <w:t xml:space="preserve"> Nenin 6 § 1 </w:t>
      </w:r>
      <w:r w:rsidRP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aspektin e tij “civil”,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ky i fundit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het i zbatuesh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m,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duhet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ekzistoj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diskutim (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kontestim</w:t>
      </w:r>
      <w:r w:rsidRPr="000659F3">
        <w:rPr>
          <w:rFonts w:ascii="Times New Roman" w:hAnsi="Times New Roman"/>
          <w:sz w:val="24"/>
          <w:szCs w:val="24"/>
          <w:lang w:val="sq-AL"/>
        </w:rPr>
        <w:t>)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“t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” e cila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thuhet,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pakt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mbi shkaqe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argumentueshme, se njihet nga ligji vendas. Diskutimi duhet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i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rtet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dhe serioz.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jo vet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 me ekzistenc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aktuale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drejte, por edhe me sht</w:t>
      </w:r>
      <w:r w:rsidR="00397E4E" w:rsidRPr="000659F3">
        <w:rPr>
          <w:rFonts w:ascii="Times New Roman" w:hAnsi="Times New Roman"/>
          <w:sz w:val="24"/>
          <w:szCs w:val="24"/>
          <w:lang w:val="sq-AL"/>
        </w:rPr>
        <w:t>r</w:t>
      </w:r>
      <w:r w:rsidRPr="000659F3">
        <w:rPr>
          <w:rFonts w:ascii="Times New Roman" w:hAnsi="Times New Roman"/>
          <w:sz w:val="24"/>
          <w:szCs w:val="24"/>
          <w:lang w:val="sq-AL"/>
        </w:rPr>
        <w:t>irjen e saj dhe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e ushtrimit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saj.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tep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r, rezultati i procedimeve duhet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vendimtar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civile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(shiko midis shum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autoriteteve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Gorou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Greqis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(nr. 2) </w:t>
      </w:r>
      <w:r w:rsidRPr="000659F3">
        <w:rPr>
          <w:rFonts w:ascii="Times New Roman" w:hAnsi="Times New Roman"/>
          <w:sz w:val="24"/>
          <w:szCs w:val="24"/>
          <w:lang w:val="sq-AL"/>
        </w:rPr>
        <w:t>[</w:t>
      </w:r>
      <w:r w:rsidR="00E50FA9" w:rsidRPr="000659F3">
        <w:rPr>
          <w:rFonts w:ascii="Times New Roman" w:hAnsi="Times New Roman"/>
          <w:sz w:val="24"/>
          <w:szCs w:val="24"/>
          <w:lang w:val="sq-AL"/>
        </w:rPr>
        <w:t>DHM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] nr. 12686/03, § 27, 20 Mars 2009). </w:t>
      </w:r>
    </w:p>
    <w:p w:rsidR="00E95D70" w:rsidRPr="000659F3" w:rsidRDefault="007E090D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Pr="000659F3">
        <w:rPr>
          <w:rFonts w:ascii="Times New Roman" w:hAnsi="Times New Roman"/>
          <w:sz w:val="24"/>
          <w:szCs w:val="24"/>
          <w:lang w:val="sq-AL"/>
        </w:rPr>
        <w:t>shtjen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ankuesi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rtet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u ankua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koh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zgjatjen e procedimeve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rpara autoriteteve administrative.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rputhje me ligjin vendas, ai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zoi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ankim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njohjen, kthimin dhe/ose kompensimin e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tij. Pavar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sisht munges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vendimi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lidhje me ankimin e tij, procedimet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rpara autoriteteve administrative ishin vendimtare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r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rcaktimin e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trash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guar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ankuesit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n, e cila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civile nga vet natyra e saj (shiko gjithashtu, </w:t>
      </w:r>
      <w:r w:rsidR="00FE0BC3" w:rsidRPr="000659F3">
        <w:rPr>
          <w:rFonts w:ascii="Times New Roman" w:hAnsi="Times New Roman"/>
          <w:i/>
          <w:sz w:val="24"/>
          <w:szCs w:val="24"/>
          <w:lang w:val="sq-AL"/>
        </w:rPr>
        <w:t>Ramadhi dhe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nr. 38222/02, §§ 35-37, 13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ntor 2007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cilin Gjykata vendosi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Neni 6 §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zbatohet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r procedimet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rpara Komisionit, i cili i kishte njohur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drejtat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>n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ankuesit dhe kishte akorduar kompensim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vend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kthimit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E0BC3" w:rsidRPr="000659F3">
        <w:rPr>
          <w:rFonts w:ascii="Times New Roman" w:hAnsi="Times New Roman"/>
          <w:sz w:val="24"/>
          <w:szCs w:val="24"/>
          <w:lang w:val="sq-AL"/>
        </w:rPr>
        <w:t xml:space="preserve">s). </w:t>
      </w:r>
    </w:p>
    <w:p w:rsidR="00A10757" w:rsidRPr="000659F3" w:rsidRDefault="00E95D70" w:rsidP="00A82C7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to rrethana, Gjykata vendos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Pr="000659F3">
        <w:rPr>
          <w:rFonts w:ascii="Times New Roman" w:hAnsi="Times New Roman"/>
          <w:sz w:val="24"/>
          <w:szCs w:val="24"/>
          <w:lang w:val="sq-AL"/>
        </w:rPr>
        <w:t>shtjen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zbatohet Neni 6 § 1 i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s, dhe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pasoj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zon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rshtimin e Qeveris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E95D70" w:rsidRPr="000659F3" w:rsidRDefault="00E95D70" w:rsidP="00E95D7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95D70" w:rsidRPr="000659F3" w:rsidRDefault="00E95D70" w:rsidP="00E95D70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2. Shfryt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zimi i mjeteve vendase</w:t>
      </w:r>
    </w:p>
    <w:p w:rsidR="00E95D70" w:rsidRDefault="00E95D70" w:rsidP="00E95D70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0659F3" w:rsidRDefault="000659F3" w:rsidP="00E95D70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0659F3" w:rsidRPr="000659F3" w:rsidRDefault="000659F3" w:rsidP="000659F3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Pr="000659F3" w:rsidRDefault="000659F3" w:rsidP="00E95D70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E95D70" w:rsidRPr="000659F3" w:rsidRDefault="00E95D70" w:rsidP="00E95D70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Parashtrimet e pal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>ve</w:t>
      </w:r>
    </w:p>
    <w:p w:rsidR="00E95D70" w:rsidRPr="000659F3" w:rsidRDefault="00E95D70" w:rsidP="00E95D7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54489" w:rsidRPr="000659F3" w:rsidRDefault="00E95D70" w:rsidP="00E95D7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Qeveria ngriti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rshtimesh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>pamund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>sin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 xml:space="preserve"> e ankuesit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 xml:space="preserve"> shfryt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>zuar mjetet vendase. Sipas tyre, ankuesi nuk mundi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 xml:space="preserve"> paraqiste: i)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 xml:space="preserve"> administrative sipas Nenit 137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471BA0" w:rsidRPr="000659F3">
        <w:rPr>
          <w:rFonts w:ascii="Times New Roman" w:hAnsi="Times New Roman"/>
          <w:sz w:val="24"/>
          <w:szCs w:val="24"/>
          <w:lang w:val="sq-AL"/>
        </w:rPr>
        <w:t xml:space="preserve"> KPA,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dhe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vijim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si,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akt civil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Nenin 324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KPP; ii) nja akt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 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met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 Shtetit sipas Ligjit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r detyrime ekstra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kontraktuale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Shtetit; iii)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fresk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t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Komision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rputhje me seksionet 17 dhe 19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Ligjit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n 2004; iv)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seksionin 22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Ligjit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vitit 2004; dhe, v)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 apelim jasht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afatit.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tej, Qeveria parashtroi se ankesa e ankuesit ishte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rshtuar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n z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>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Nenit 77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KPA. </w:t>
      </w:r>
    </w:p>
    <w:p w:rsidR="00854489" w:rsidRPr="000659F3" w:rsidRDefault="00854489" w:rsidP="00E95D7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Ankuesi komentoi se nuk kishte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 xml:space="preserve"> mjet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efikas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t’u shfryt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zuar. </w:t>
      </w:r>
    </w:p>
    <w:p w:rsidR="00854489" w:rsidRPr="000659F3" w:rsidRDefault="00854489" w:rsidP="0085448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54489" w:rsidRPr="000659F3" w:rsidRDefault="00854489" w:rsidP="00854489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Vler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>simi i Gjykat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>s</w:t>
      </w:r>
    </w:p>
    <w:p w:rsidR="00854489" w:rsidRPr="000659F3" w:rsidRDefault="00854489" w:rsidP="00854489">
      <w:pPr>
        <w:pStyle w:val="NoSpacing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54489" w:rsidRPr="000659F3" w:rsidRDefault="00854489" w:rsidP="00854489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sa i 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rket nj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ankese administrative sipas Nenit 137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KPA dhe nj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akt civil sipas Nenit 324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KPP</w:t>
      </w:r>
    </w:p>
    <w:p w:rsidR="00854489" w:rsidRPr="000659F3" w:rsidRDefault="00854489" w:rsidP="00854489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573009" w:rsidRPr="000659F3" w:rsidRDefault="00854489" w:rsidP="00EB381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Tashm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Gjykata e ka 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zuar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htimin e Qeveris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lidhje me mos –dor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zimin 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ankimi sipas N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e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nit 137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 xml:space="preserve"> KPA dhe Nenit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324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KPP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="00573009" w:rsidRPr="000659F3">
        <w:rPr>
          <w:rFonts w:ascii="Times New Roman" w:hAnsi="Times New Roman"/>
          <w:i/>
          <w:sz w:val="24"/>
          <w:szCs w:val="24"/>
          <w:lang w:val="sq-AL"/>
        </w:rPr>
        <w:t>Luli dhe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, cituar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r, §§ 79-80. Nuk ka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urdh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rohet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nisje nga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to gjetje.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r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arsye, Gjykata e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rshton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rshti. </w:t>
      </w:r>
    </w:p>
    <w:p w:rsidR="00573009" w:rsidRPr="000659F3" w:rsidRDefault="00573009" w:rsidP="00854489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73009" w:rsidRPr="000659F3" w:rsidRDefault="00573009" w:rsidP="00573009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lidhje me nj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veprim 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met sipas Ligjit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rgjegj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sis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ektra-kontraktuale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Shtetit</w:t>
      </w:r>
    </w:p>
    <w:p w:rsidR="00573009" w:rsidRPr="000659F3" w:rsidRDefault="00573009" w:rsidP="00573009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F15B3D" w:rsidRPr="000659F3" w:rsidRDefault="00573009" w:rsidP="0057300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ren se Qeveria nuk ofroi ndonj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ligj vendas nga vendimet e gjykimeve,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lidhur me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 xml:space="preserve">shtjen, duke 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mb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shtetur argumentin 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 xml:space="preserve">se një ankim bazuar në 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Ligj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rgjegj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sie ekstra-kontraktuale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Shtetit kishte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do mund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si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r sukses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situat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ngjashme, ku autoritetet njohnin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rgjegj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sin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e tyre e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kstra-kontraktuale dhe akordojnë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kompemsimin sipas ligjit (shiko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r shembull </w:t>
      </w:r>
      <w:r w:rsidR="00F15B3D" w:rsidRPr="000659F3">
        <w:rPr>
          <w:rFonts w:ascii="Times New Roman" w:hAnsi="Times New Roman"/>
          <w:i/>
          <w:sz w:val="24"/>
          <w:szCs w:val="24"/>
          <w:lang w:val="sq-AL"/>
        </w:rPr>
        <w:t>Scoppola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i/>
          <w:sz w:val="24"/>
          <w:szCs w:val="24"/>
          <w:lang w:val="sq-AL"/>
        </w:rPr>
        <w:t>r Italis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i/>
          <w:sz w:val="24"/>
          <w:szCs w:val="24"/>
          <w:lang w:val="sq-AL"/>
        </w:rPr>
        <w:t xml:space="preserve"> (nr. 2) 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[DHM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], nr. 10249/03, § 71, 17 Shtator 2009).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r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arsye, Gjykata e 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zon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rshtim. </w:t>
      </w:r>
    </w:p>
    <w:p w:rsidR="00F15B3D" w:rsidRPr="000659F3" w:rsidRDefault="00F15B3D" w:rsidP="00F15B3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95D70" w:rsidRPr="000659F3" w:rsidRDefault="0009609D" w:rsidP="00F15B3D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F15B3D" w:rsidRPr="000659F3">
        <w:rPr>
          <w:rFonts w:ascii="Times New Roman" w:hAnsi="Times New Roman"/>
          <w:i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i/>
          <w:sz w:val="24"/>
          <w:szCs w:val="24"/>
          <w:lang w:val="sq-AL"/>
        </w:rPr>
        <w:t xml:space="preserve"> lidhje me k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i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n e re </w:t>
      </w:r>
      <w:r w:rsidR="00F15B3D" w:rsidRPr="000659F3">
        <w:rPr>
          <w:rFonts w:ascii="Times New Roman" w:hAnsi="Times New Roman"/>
          <w:i/>
          <w:sz w:val="24"/>
          <w:szCs w:val="24"/>
          <w:lang w:val="sq-AL"/>
        </w:rPr>
        <w:t>sipas seksioneve 17 dhe 19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i/>
          <w:sz w:val="24"/>
          <w:szCs w:val="24"/>
          <w:lang w:val="sq-AL"/>
        </w:rPr>
        <w:t xml:space="preserve"> Ligjit mbi Pron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F15B3D" w:rsidRPr="000659F3">
        <w:rPr>
          <w:rFonts w:ascii="Times New Roman" w:hAnsi="Times New Roman"/>
          <w:i/>
          <w:sz w:val="24"/>
          <w:szCs w:val="24"/>
          <w:lang w:val="sq-AL"/>
        </w:rPr>
        <w:t>n, i vitit 2004</w:t>
      </w:r>
      <w:r w:rsidR="00F15B3D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73009" w:rsidRPr="000659F3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854489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0659F3" w:rsidRPr="000659F3" w:rsidRDefault="00C5518E" w:rsidP="00EB381D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Sipas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s, 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kërkesa adresuar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ankuesi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paraqes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ankim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ri, sipas seksioneve 17 dhe 19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Ligjit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 </w:t>
      </w:r>
      <w:r w:rsidR="000659F3">
        <w:rPr>
          <w:rFonts w:ascii="Times New Roman" w:hAnsi="Times New Roman"/>
          <w:sz w:val="24"/>
          <w:szCs w:val="24"/>
          <w:lang w:val="sq-AL"/>
        </w:rPr>
        <w:t>të vi</w:t>
      </w:r>
      <w:r w:rsidRPr="000659F3">
        <w:rPr>
          <w:rFonts w:ascii="Times New Roman" w:hAnsi="Times New Roman"/>
          <w:sz w:val="24"/>
          <w:szCs w:val="24"/>
          <w:lang w:val="sq-AL"/>
        </w:rPr>
        <w:t>ti</w:t>
      </w:r>
      <w:r w:rsidR="000659F3">
        <w:rPr>
          <w:rFonts w:ascii="Times New Roman" w:hAnsi="Times New Roman"/>
          <w:sz w:val="24"/>
          <w:szCs w:val="24"/>
          <w:lang w:val="sq-AL"/>
        </w:rPr>
        <w:t>t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2004 nuk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</w:t>
      </w:r>
      <w:r w:rsid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e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barazvlefshm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 xml:space="preserve">e </w:t>
      </w:r>
    </w:p>
    <w:p w:rsidR="000659F3" w:rsidRPr="000659F3" w:rsidRDefault="000659F3" w:rsidP="000659F3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Default="000659F3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F15B3D" w:rsidRPr="000659F3" w:rsidRDefault="0009609D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me marrjen e</w:t>
      </w:r>
      <w:r w:rsidR="00C5518E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5518E" w:rsidRPr="000659F3">
        <w:rPr>
          <w:rFonts w:ascii="Times New Roman" w:hAnsi="Times New Roman"/>
          <w:sz w:val="24"/>
          <w:szCs w:val="24"/>
          <w:lang w:val="sq-AL"/>
        </w:rPr>
        <w:t xml:space="preserve"> vendimi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ankimin e tij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5518E" w:rsidRPr="000659F3">
        <w:rPr>
          <w:rFonts w:ascii="Times New Roman" w:hAnsi="Times New Roman"/>
          <w:sz w:val="24"/>
          <w:szCs w:val="24"/>
          <w:lang w:val="sq-AL"/>
        </w:rPr>
        <w:t xml:space="preserve"> pashmangsh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5518E" w:rsidRPr="000659F3">
        <w:rPr>
          <w:rFonts w:ascii="Times New Roman" w:hAnsi="Times New Roman"/>
          <w:sz w:val="24"/>
          <w:szCs w:val="24"/>
          <w:lang w:val="sq-AL"/>
        </w:rPr>
        <w:t>m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5518E" w:rsidRPr="000659F3">
        <w:rPr>
          <w:rFonts w:ascii="Times New Roman" w:hAnsi="Times New Roman"/>
          <w:sz w:val="24"/>
          <w:szCs w:val="24"/>
          <w:lang w:val="sq-AL"/>
        </w:rPr>
        <w:t>rpara Komisionit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, i cili nuk kishte marrë një vendim që prej vitit 1996. Për këtë arsye, Gjykata e rrëzon këtë kundërshti. </w:t>
      </w:r>
    </w:p>
    <w:p w:rsidR="00B312FE" w:rsidRPr="000659F3" w:rsidRDefault="00B312FE" w:rsidP="00B312F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312FE" w:rsidRPr="000659F3" w:rsidRDefault="00B312FE" w:rsidP="00B312FE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iv) 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lidhje me k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n bazuar 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seksionin 22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Ligjit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Pron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vitit 2004. </w:t>
      </w:r>
    </w:p>
    <w:p w:rsidR="00B312FE" w:rsidRPr="000659F3" w:rsidRDefault="00B312FE" w:rsidP="00B312FE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B312FE" w:rsidRPr="000659F3" w:rsidRDefault="00B312FE" w:rsidP="00E9161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Ligjin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vitit 2004, ishte i nevojsh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ankim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 xml:space="preserve"> i ri</w:t>
      </w:r>
      <w:r w:rsidRPr="000659F3">
        <w:rPr>
          <w:rFonts w:ascii="Times New Roman" w:hAnsi="Times New Roman"/>
          <w:sz w:val="24"/>
          <w:szCs w:val="24"/>
          <w:lang w:val="sq-AL"/>
        </w:rPr>
        <w:t>, me kushtin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drejtat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pronari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parsh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m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jen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njohur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her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t me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 komisioni.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Pr="000659F3">
        <w:rPr>
          <w:rFonts w:ascii="Times New Roman" w:hAnsi="Times New Roman"/>
          <w:sz w:val="24"/>
          <w:szCs w:val="24"/>
          <w:lang w:val="sq-AL"/>
        </w:rPr>
        <w:t>shtjen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nuk ishte marr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 i till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ankuesit. Prandaj, Gjykata hedh posht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rshtimin e Qeveris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B312FE" w:rsidRPr="000659F3" w:rsidRDefault="00B312FE" w:rsidP="00B312F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312FE" w:rsidRPr="000659F3" w:rsidRDefault="00B312FE" w:rsidP="00B312FE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v) 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lidhje me nj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apelim jasht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afatit kohor</w:t>
      </w:r>
    </w:p>
    <w:p w:rsidR="00B312FE" w:rsidRPr="000659F3" w:rsidRDefault="00B312FE" w:rsidP="00B312FE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F56BFB" w:rsidRPr="000659F3" w:rsidRDefault="00F56BFB" w:rsidP="00B312F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rren se Qev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e</w:t>
      </w:r>
      <w:r w:rsidRPr="000659F3">
        <w:rPr>
          <w:rFonts w:ascii="Times New Roman" w:hAnsi="Times New Roman"/>
          <w:sz w:val="24"/>
          <w:szCs w:val="24"/>
          <w:lang w:val="sq-AL"/>
        </w:rPr>
        <w:t>ria nuk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rcak</w:t>
      </w:r>
      <w:r w:rsidRPr="000659F3">
        <w:rPr>
          <w:rFonts w:ascii="Times New Roman" w:hAnsi="Times New Roman"/>
          <w:sz w:val="24"/>
          <w:szCs w:val="24"/>
          <w:lang w:val="sq-AL"/>
        </w:rPr>
        <w:t>toi afatin kohor,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detaj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cilin ankuesi nuk e kishte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 xml:space="preserve"> re, dhe </w:t>
      </w:r>
      <w:r w:rsidRPr="000659F3">
        <w:rPr>
          <w:rFonts w:ascii="Times New Roman" w:hAnsi="Times New Roman"/>
          <w:sz w:val="24"/>
          <w:szCs w:val="24"/>
          <w:lang w:val="sq-AL"/>
        </w:rPr>
        <w:t>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ai duhej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kishte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zuar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apeluar jasht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afatit kohor. </w:t>
      </w:r>
    </w:p>
    <w:p w:rsidR="00F56BFB" w:rsidRPr="000659F3" w:rsidRDefault="00F56BFB" w:rsidP="00F56BF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56BFB" w:rsidRPr="000659F3" w:rsidRDefault="00F56BFB" w:rsidP="00F56BFB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vi) N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lidhje me zbatimin e Nenit 77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KPA</w:t>
      </w:r>
    </w:p>
    <w:p w:rsidR="00F56BFB" w:rsidRPr="000659F3" w:rsidRDefault="00F56BFB" w:rsidP="00F56BFB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F56BFB" w:rsidRPr="000659F3" w:rsidRDefault="00F56BFB" w:rsidP="00F56BFB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ren se Ligji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n, i hartuar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lex specialis</w:t>
      </w:r>
      <w:r w:rsidRPr="000659F3">
        <w:rPr>
          <w:rFonts w:ascii="Times New Roman" w:hAnsi="Times New Roman"/>
          <w:sz w:val="24"/>
          <w:szCs w:val="24"/>
          <w:lang w:val="sq-AL"/>
        </w:rPr>
        <w:t>, nuk parashikonte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rshtimin e heshtu</w:t>
      </w:r>
      <w:r w:rsidR="0009609D" w:rsidRPr="000659F3">
        <w:rPr>
          <w:rFonts w:ascii="Times New Roman" w:hAnsi="Times New Roman"/>
          <w:sz w:val="24"/>
          <w:szCs w:val="24"/>
          <w:lang w:val="sq-AL"/>
        </w:rPr>
        <w:t>r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pasi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rfundonin afatet kohor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>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>rgjigjet e autoriteteve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 xml:space="preserve"> vitin 2002 konfirmuan faktin se ankesa ishte ende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 xml:space="preserve"> pritje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 xml:space="preserve"> vendimi (shiko paragrafin 9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>r).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>shtu, Gjykata 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>zon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>rshtimin e Qeveris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3A5A90" w:rsidRPr="000659F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3A5A90" w:rsidRPr="000659F3" w:rsidRDefault="003A5A90" w:rsidP="003A5A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A5A90" w:rsidRPr="000659F3" w:rsidRDefault="003A5A90" w:rsidP="003A5A90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3. 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rfundim</w:t>
      </w:r>
    </w:p>
    <w:p w:rsidR="003A5A90" w:rsidRPr="000659F3" w:rsidRDefault="003A5A90" w:rsidP="003A5A90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3A5A90" w:rsidRPr="000659F3" w:rsidRDefault="003A5A90" w:rsidP="003A5A9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arrin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rfundimin se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 dukshme se ky ankim nuk 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 xml:space="preserve">është </w:t>
      </w:r>
      <w:r w:rsidRPr="000659F3">
        <w:rPr>
          <w:rFonts w:ascii="Times New Roman" w:hAnsi="Times New Roman"/>
          <w:sz w:val="24"/>
          <w:szCs w:val="24"/>
          <w:lang w:val="sq-AL"/>
        </w:rPr>
        <w:t>i pa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fakte, sipas interpretimit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s. Duke qen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se nuk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i papranuesh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ndonj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argument tjet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r, 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her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ankimi duhet 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 xml:space="preserve"> dek</w:t>
      </w:r>
      <w:r w:rsidRPr="000659F3">
        <w:rPr>
          <w:rFonts w:ascii="Times New Roman" w:hAnsi="Times New Roman"/>
          <w:sz w:val="24"/>
          <w:szCs w:val="24"/>
          <w:lang w:val="sq-AL"/>
        </w:rPr>
        <w:t>l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>rohet i pranuesh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3A5A90" w:rsidRPr="000659F3" w:rsidRDefault="003A5A90" w:rsidP="003A5A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A5A90" w:rsidRPr="000659F3" w:rsidRDefault="003A5A90" w:rsidP="003A5A90">
      <w:pPr>
        <w:pStyle w:val="NoSpacing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Cil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>sit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3A5A90" w:rsidRPr="000659F3" w:rsidRDefault="003A5A90" w:rsidP="003A5A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0659F3" w:rsidRDefault="003A5A90" w:rsidP="0087313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tej Qeveria pohoi se Komisioni kishte udh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hequr procedimet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rputhje me ligjin.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19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>ntor 2002, ai kishte inform</w:t>
      </w:r>
      <w:r w:rsidRPr="000659F3">
        <w:rPr>
          <w:rFonts w:ascii="Times New Roman" w:hAnsi="Times New Roman"/>
          <w:sz w:val="24"/>
          <w:szCs w:val="24"/>
          <w:lang w:val="sq-AL"/>
        </w:rPr>
        <w:t>u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>ankuesin se a</w:t>
      </w:r>
      <w:r w:rsidRPr="000659F3">
        <w:rPr>
          <w:rFonts w:ascii="Times New Roman" w:hAnsi="Times New Roman"/>
          <w:sz w:val="24"/>
          <w:szCs w:val="24"/>
          <w:lang w:val="sq-AL"/>
        </w:rPr>
        <w:t>nkimi i tij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shqyrtohej sapo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hynte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fuqi Ligji i ri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n. Agjensia kishte informuar </w:t>
      </w:r>
    </w:p>
    <w:p w:rsidR="000659F3" w:rsidRDefault="000659F3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Pr="000659F3" w:rsidRDefault="000659F3" w:rsidP="000659F3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Default="000659F3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A5A90" w:rsidRPr="000659F3" w:rsidRDefault="003A5A90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ankuesin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vendimin e saj,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14 Korrik 2008. Sipas tyre, ankuesi nuk kishte treguar kujdesin e duhur. </w:t>
      </w:r>
    </w:p>
    <w:p w:rsidR="00C46EC9" w:rsidRPr="000659F3" w:rsidRDefault="003A5A90" w:rsidP="003A5A9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Ankuesi u ankua se procedimet adminsitrative kishin marr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jasht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zakonisht shum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. Ai pohoi se kishte qen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i kujdessh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m 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>r t’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i 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rguar disa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rkesa autoriteteve. Ai pretendonte se nuk ishte informuar kurr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r vendimin e Komisionit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 xml:space="preserve">s 14 Korrik 2008. </w:t>
      </w:r>
    </w:p>
    <w:p w:rsidR="00C46EC9" w:rsidRPr="000659F3" w:rsidRDefault="00C46EC9" w:rsidP="003A5A9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vl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>e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arsyetueshm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 koh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zgjatjes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procedimeve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disa rrethana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caktuara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Pr="000659F3">
        <w:rPr>
          <w:rFonts w:ascii="Times New Roman" w:hAnsi="Times New Roman"/>
          <w:sz w:val="24"/>
          <w:szCs w:val="24"/>
          <w:lang w:val="sq-AL"/>
        </w:rPr>
        <w:t>shtjes dhe duke pasur parasysh kriteret e parashikuara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ligjin e saj sipas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Pr="000659F3">
        <w:rPr>
          <w:rFonts w:ascii="Times New Roman" w:hAnsi="Times New Roman"/>
          <w:sz w:val="24"/>
          <w:szCs w:val="24"/>
          <w:lang w:val="sq-AL"/>
        </w:rPr>
        <w:t>shtjeve, ve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Pr="000659F3">
        <w:rPr>
          <w:rFonts w:ascii="Times New Roman" w:hAnsi="Times New Roman"/>
          <w:sz w:val="24"/>
          <w:szCs w:val="24"/>
          <w:lang w:val="sq-AL"/>
        </w:rPr>
        <w:t>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risht kompleksitetin e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Pr="000659F3">
        <w:rPr>
          <w:rFonts w:ascii="Times New Roman" w:hAnsi="Times New Roman"/>
          <w:sz w:val="24"/>
          <w:szCs w:val="24"/>
          <w:lang w:val="sq-AL"/>
        </w:rPr>
        <w:t>shtjes dhe sjelljen e ankuesit dhe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autoriteteve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se.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pik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e fundit, duhej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merrej parasysh edhe ajo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Pr="000659F3">
        <w:rPr>
          <w:rFonts w:ascii="Times New Roman" w:hAnsi="Times New Roman"/>
          <w:sz w:val="24"/>
          <w:szCs w:val="24"/>
          <w:lang w:val="sq-AL"/>
        </w:rPr>
        <w:t>’ka ishte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rrezik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ankuesin (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shiko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midis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ve,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Vilho Eskelinen dhe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873138" w:rsidRPr="000659F3">
        <w:rPr>
          <w:rFonts w:ascii="Times New Roman" w:hAnsi="Times New Roman"/>
          <w:i/>
          <w:sz w:val="24"/>
          <w:szCs w:val="24"/>
          <w:lang w:val="sq-AL"/>
        </w:rPr>
        <w:t>r Fin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l</w:t>
      </w:r>
      <w:r w:rsidR="00873138" w:rsidRPr="000659F3">
        <w:rPr>
          <w:rFonts w:ascii="Times New Roman" w:hAnsi="Times New Roman"/>
          <w:i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s </w:t>
      </w:r>
      <w:r w:rsidRPr="000659F3">
        <w:rPr>
          <w:rFonts w:ascii="Times New Roman" w:hAnsi="Times New Roman"/>
          <w:sz w:val="24"/>
          <w:szCs w:val="24"/>
          <w:lang w:val="sq-AL"/>
        </w:rPr>
        <w:t>[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>DHM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], nr. 63235/00, § 67, GJEDNJ 2007-II). </w:t>
      </w:r>
    </w:p>
    <w:p w:rsidR="00C46EC9" w:rsidRPr="000659F3" w:rsidRDefault="00873138" w:rsidP="003A5A9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ata shpjegon se procedimet filluan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 xml:space="preserve"> 26 Shtator 1996 dhe </w:t>
      </w:r>
      <w:r w:rsidRPr="000659F3">
        <w:rPr>
          <w:rFonts w:ascii="Times New Roman" w:hAnsi="Times New Roman"/>
          <w:sz w:val="24"/>
          <w:szCs w:val="24"/>
          <w:lang w:val="sq-AL"/>
        </w:rPr>
        <w:t>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rfunduan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 xml:space="preserve"> 14 Korrik 2008.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shtu, ato kan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 xml:space="preserve"> zgjatur 11 vjet, 9 muaj dhe 18 dit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>a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46EC9" w:rsidRPr="000659F3">
        <w:rPr>
          <w:rFonts w:ascii="Times New Roman" w:hAnsi="Times New Roman"/>
          <w:sz w:val="24"/>
          <w:szCs w:val="24"/>
          <w:lang w:val="sq-AL"/>
        </w:rPr>
        <w:t xml:space="preserve"> niveli juridiksioni. </w:t>
      </w:r>
    </w:p>
    <w:p w:rsidR="00C707FF" w:rsidRPr="000659F3" w:rsidRDefault="00C46EC9" w:rsidP="003A5A9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Nuk ka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tregues se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rcaktimi i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drejtave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ankuesit ishte kompleks. Qeveria nuk dha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shpjegim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far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do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 mos shqyrtimin nga ana e Komisionit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ankuesit gjat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saj kohe. Ankuesit nuk do t’i atribuohej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vones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. Disa her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me radh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ai kishte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 ecurin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873138" w:rsidRPr="000659F3">
        <w:rPr>
          <w:rFonts w:ascii="Times New Roman" w:hAnsi="Times New Roman"/>
          <w:sz w:val="24"/>
          <w:szCs w:val="24"/>
          <w:lang w:val="sq-AL"/>
        </w:rPr>
        <w:t xml:space="preserve"> e procedi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meve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rpra Komisionit. </w:t>
      </w:r>
    </w:p>
    <w:p w:rsidR="00C707FF" w:rsidRPr="000659F3" w:rsidRDefault="00873138" w:rsidP="003A5A9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Nga pikpamja e as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>j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ishte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rrezik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r ankuesin,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’ka ishte njohja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tij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n e trash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guar, Gjykata kujton se i takon Shteteve Kontraktuese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organizojn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sistemet e ty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re ligjore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autoritetet kompetente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mu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n</w:t>
      </w:r>
      <w:r w:rsidRPr="000659F3">
        <w:rPr>
          <w:rFonts w:ascii="Times New Roman" w:hAnsi="Times New Roman"/>
          <w:sz w:val="24"/>
          <w:szCs w:val="24"/>
          <w:lang w:val="sq-AL"/>
        </w:rPr>
        <w:t>d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rmbushin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rkesat e Nenit 6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s, duke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rfshir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detyrimin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vendim brenda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afati kohor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arsyesh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m (</w:t>
      </w:r>
      <w:r w:rsidR="00C707FF" w:rsidRPr="000659F3">
        <w:rPr>
          <w:rFonts w:ascii="Times New Roman" w:hAnsi="Times New Roman"/>
          <w:i/>
          <w:sz w:val="24"/>
          <w:szCs w:val="24"/>
          <w:lang w:val="sq-AL"/>
        </w:rPr>
        <w:t>shiko, mutatis mutamdis, Mishgjoni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, nr. 18381/05, § 59, 7 Dhjetor 2010; dhe </w:t>
      </w:r>
      <w:r w:rsidR="00C707FF" w:rsidRPr="000659F3">
        <w:rPr>
          <w:rFonts w:ascii="Times New Roman" w:hAnsi="Times New Roman"/>
          <w:i/>
          <w:sz w:val="24"/>
          <w:szCs w:val="24"/>
          <w:lang w:val="sq-AL"/>
        </w:rPr>
        <w:t>Gjonbocari dhe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i/>
          <w:sz w:val="24"/>
          <w:szCs w:val="24"/>
          <w:lang w:val="sq-AL"/>
        </w:rPr>
        <w:t>t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>, cituar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707FF" w:rsidRPr="000659F3">
        <w:rPr>
          <w:rFonts w:ascii="Times New Roman" w:hAnsi="Times New Roman"/>
          <w:sz w:val="24"/>
          <w:szCs w:val="24"/>
          <w:lang w:val="sq-AL"/>
        </w:rPr>
        <w:t xml:space="preserve">r, § 67). </w:t>
      </w:r>
    </w:p>
    <w:p w:rsidR="00076851" w:rsidRPr="000659F3" w:rsidRDefault="00C707FF" w:rsidP="003A5A9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Gjykata </w:t>
      </w:r>
      <w:r w:rsidR="00076851" w:rsidRPr="000659F3">
        <w:rPr>
          <w:rFonts w:ascii="Times New Roman" w:hAnsi="Times New Roman"/>
          <w:sz w:val="24"/>
          <w:szCs w:val="24"/>
          <w:lang w:val="sq-AL"/>
        </w:rPr>
        <w:t>arrin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76851"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76851" w:rsidRPr="000659F3">
        <w:rPr>
          <w:rFonts w:ascii="Times New Roman" w:hAnsi="Times New Roman"/>
          <w:sz w:val="24"/>
          <w:szCs w:val="24"/>
          <w:lang w:val="sq-AL"/>
        </w:rPr>
        <w:t>rfundimin se ka pasur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76851" w:rsidRPr="000659F3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76851" w:rsidRPr="000659F3">
        <w:rPr>
          <w:rFonts w:ascii="Times New Roman" w:hAnsi="Times New Roman"/>
          <w:sz w:val="24"/>
          <w:szCs w:val="24"/>
          <w:lang w:val="sq-AL"/>
        </w:rPr>
        <w:t xml:space="preserve"> Nenit 6 §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76851"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76851" w:rsidRPr="000659F3">
        <w:rPr>
          <w:rFonts w:ascii="Times New Roman" w:hAnsi="Times New Roman"/>
          <w:sz w:val="24"/>
          <w:szCs w:val="24"/>
          <w:lang w:val="sq-AL"/>
        </w:rPr>
        <w:t>s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76851" w:rsidRPr="000659F3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076851" w:rsidRPr="000659F3">
        <w:rPr>
          <w:rFonts w:ascii="Times New Roman" w:hAnsi="Times New Roman"/>
          <w:sz w:val="24"/>
          <w:szCs w:val="24"/>
          <w:lang w:val="sq-AL"/>
        </w:rPr>
        <w:t xml:space="preserve">zgjatjen e procedimeve. </w:t>
      </w:r>
    </w:p>
    <w:p w:rsidR="00076851" w:rsidRPr="000659F3" w:rsidRDefault="00076851" w:rsidP="0007685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76851" w:rsidRPr="000659F3" w:rsidRDefault="00076851" w:rsidP="00076851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PRERTENDIME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SHKELJEN E NENIT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</w:t>
      </w:r>
    </w:p>
    <w:p w:rsidR="00076851" w:rsidRPr="000659F3" w:rsidRDefault="00076851" w:rsidP="0007685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76851" w:rsidRPr="000659F3" w:rsidRDefault="00076851" w:rsidP="0007685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Ankuesi shprehu pak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naq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se ka pasur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s, i cili parashikon si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076851" w:rsidRPr="000659F3" w:rsidRDefault="00076851" w:rsidP="0007685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4991" w:rsidRPr="00AC1AA0" w:rsidRDefault="00076851" w:rsidP="00AC4991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 w:rsidRPr="000659F3">
        <w:rPr>
          <w:rFonts w:ascii="Times New Roman" w:hAnsi="Times New Roman"/>
          <w:sz w:val="20"/>
          <w:szCs w:val="20"/>
          <w:lang w:val="sq-AL"/>
        </w:rPr>
        <w:t>“</w:t>
      </w:r>
      <w:r w:rsidR="00873138" w:rsidRPr="00AC1AA0">
        <w:rPr>
          <w:rFonts w:ascii="Times New Roman" w:hAnsi="Times New Roman"/>
          <w:sz w:val="20"/>
          <w:szCs w:val="20"/>
          <w:lang w:val="sq-AL"/>
        </w:rPr>
        <w:t xml:space="preserve">Çdo person fizik ose juridik ka të drejtën e gëzimit paqësor të pasurisë së tij. Askush nuk mund të privohet nga prona e tij, përveçse për arsye të interesit publik dhe në kushtet e parashikuara nga ligji dhe nga parimet e përgjithshme të së drejtës ndërkombëtare. </w:t>
      </w:r>
    </w:p>
    <w:p w:rsidR="000659F3" w:rsidRPr="00AC1AA0" w:rsidRDefault="000659F3" w:rsidP="00AC4991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0659F3" w:rsidRPr="000659F3" w:rsidRDefault="000659F3" w:rsidP="000659F3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Pr="00AC1AA0" w:rsidRDefault="000659F3" w:rsidP="00AC4991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AC4991" w:rsidRPr="00AC1AA0" w:rsidRDefault="00AC4991" w:rsidP="00AC4991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076851" w:rsidRPr="000659F3" w:rsidRDefault="00873138" w:rsidP="00AC4991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 w:rsidRPr="00AC1AA0">
        <w:rPr>
          <w:rFonts w:ascii="Times New Roman" w:hAnsi="Times New Roman"/>
          <w:sz w:val="20"/>
          <w:szCs w:val="20"/>
          <w:lang w:val="sq-AL"/>
        </w:rPr>
        <w:t>Megjithatë, dispozitat e mëparshme nuk cënojnë të drejtën e Shteteve për të zbatuar ligje, që ato i çmojnë të nevojshme për të rregulluar përdorimin e pasurive në përputhje me interesin e përgjithshëm ose për të siguruar pagimin e taksave ose të kontributeve ose të gjobave të tjera.</w:t>
      </w:r>
      <w:r w:rsidR="00076851" w:rsidRPr="000659F3">
        <w:rPr>
          <w:rFonts w:ascii="Times New Roman" w:hAnsi="Times New Roman"/>
          <w:sz w:val="20"/>
          <w:szCs w:val="20"/>
          <w:lang w:val="sq-AL"/>
        </w:rPr>
        <w:t>”</w:t>
      </w:r>
    </w:p>
    <w:p w:rsidR="00AC4991" w:rsidRPr="000659F3" w:rsidRDefault="00AC4991" w:rsidP="00AC4991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C2784A" w:rsidRPr="000659F3" w:rsidRDefault="00076851" w:rsidP="0007685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Qeveria parashtroi se kjo ankes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duhej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deklarohej e papajtueshme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ratinone materiae</w:t>
      </w:r>
      <w:r w:rsidRPr="000659F3">
        <w:rPr>
          <w:rFonts w:ascii="Times New Roman" w:hAnsi="Times New Roman"/>
          <w:sz w:val="24"/>
          <w:szCs w:val="24"/>
          <w:lang w:val="sq-AL"/>
        </w:rPr>
        <w:t>, duke qen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ankuesit nuk ishin njohur nga Komisioni. Ankuesi nuk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kishte ndonj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pritshm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ri legjitime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ligjin vendas, por thjesht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shpres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njohjen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tij ndaj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s.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zimi i dokumentave nuk akordonte automatikisht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ndaj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s. I mbetej autoriteteve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vendosnin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zimin e dokumenteve dhe </w:t>
      </w:r>
      <w:r w:rsidR="00C2784A" w:rsidRPr="000659F3">
        <w:rPr>
          <w:rFonts w:ascii="Times New Roman" w:hAnsi="Times New Roman"/>
          <w:sz w:val="24"/>
          <w:szCs w:val="24"/>
          <w:lang w:val="sq-AL"/>
        </w:rPr>
        <w:t>duke pasur parasysh edhe interesin e publikut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2784A" w:rsidRPr="000659F3">
        <w:rPr>
          <w:rFonts w:ascii="Times New Roman" w:hAnsi="Times New Roman"/>
          <w:sz w:val="24"/>
          <w:szCs w:val="24"/>
          <w:lang w:val="sq-AL"/>
        </w:rPr>
        <w:t xml:space="preserve"> vendosnin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2784A" w:rsidRPr="000659F3">
        <w:rPr>
          <w:rFonts w:ascii="Times New Roman" w:hAnsi="Times New Roman"/>
          <w:sz w:val="24"/>
          <w:szCs w:val="24"/>
          <w:lang w:val="sq-AL"/>
        </w:rPr>
        <w:t>se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2784A" w:rsidRPr="000659F3">
        <w:rPr>
          <w:rFonts w:ascii="Times New Roman" w:hAnsi="Times New Roman"/>
          <w:sz w:val="24"/>
          <w:szCs w:val="24"/>
          <w:lang w:val="sq-AL"/>
        </w:rPr>
        <w:t xml:space="preserve"> drejtat e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2784A" w:rsidRPr="000659F3">
        <w:rPr>
          <w:rFonts w:ascii="Times New Roman" w:hAnsi="Times New Roman"/>
          <w:sz w:val="24"/>
          <w:szCs w:val="24"/>
          <w:lang w:val="sq-AL"/>
        </w:rPr>
        <w:t>s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2784A" w:rsidRPr="000659F3">
        <w:rPr>
          <w:rFonts w:ascii="Times New Roman" w:hAnsi="Times New Roman"/>
          <w:sz w:val="24"/>
          <w:szCs w:val="24"/>
          <w:lang w:val="sq-AL"/>
        </w:rPr>
        <w:t xml:space="preserve"> ankuesit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C2784A" w:rsidRPr="000659F3">
        <w:rPr>
          <w:rFonts w:ascii="Times New Roman" w:hAnsi="Times New Roman"/>
          <w:sz w:val="24"/>
          <w:szCs w:val="24"/>
          <w:lang w:val="sq-AL"/>
        </w:rPr>
        <w:t xml:space="preserve"> njiheshin. </w:t>
      </w:r>
    </w:p>
    <w:p w:rsidR="00C2784A" w:rsidRPr="000659F3" w:rsidRDefault="00C2784A" w:rsidP="0007685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Ankuesi shpjegoi se kishte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“pritshm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ri l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egjitime” se autoritetet do t’i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i</w:t>
      </w:r>
      <w:r w:rsidRPr="000659F3">
        <w:rPr>
          <w:rFonts w:ascii="Times New Roman" w:hAnsi="Times New Roman"/>
          <w:sz w:val="24"/>
          <w:szCs w:val="24"/>
          <w:lang w:val="sq-AL"/>
        </w:rPr>
        <w:t>hnin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n. Ai kishte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zuar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 xml:space="preserve"> gjit</w:t>
      </w:r>
      <w:r w:rsidRPr="000659F3">
        <w:rPr>
          <w:rFonts w:ascii="Times New Roman" w:hAnsi="Times New Roman"/>
          <w:sz w:val="24"/>
          <w:szCs w:val="24"/>
          <w:lang w:val="sq-AL"/>
        </w:rPr>
        <w:t>h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dokumentet e nevojshme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rputhje me ligjin. Mosnjoftimi i ankuesit nga ana e autoriteteve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procedimet e pashmangshme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ri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ankuesi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besonte se i kishte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rmbushur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rkesat statutore dhe se nuk kishte arsye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kjo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refuzohej. </w:t>
      </w:r>
    </w:p>
    <w:p w:rsidR="000659F3" w:rsidRDefault="00C2784A" w:rsidP="0007685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thekson se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ankues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pretendoj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shkelje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Protokollit Nr. 1, vet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se vendimet e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rshtuara kan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jn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me “pasurin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” e tij ose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saj, sipas interpretimit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atij parashikimi. Koncepti i “pasuris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” ka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kuptim autonom, i cili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i pavarur nga klasifikimi formal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ligjin vendas (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>Former King i Greqis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 xml:space="preserve"> (Ish Mbreti i Greqis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>) dhe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>r Greqis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[GC], nr. 25701/94, § 60 GJEDNJ 2000-XII</w:t>
      </w:r>
      <w:r w:rsidRPr="000659F3">
        <w:rPr>
          <w:rFonts w:ascii="Times New Roman" w:hAnsi="Times New Roman"/>
          <w:sz w:val="24"/>
          <w:szCs w:val="24"/>
          <w:lang w:val="sq-AL"/>
        </w:rPr>
        <w:t>)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. “Pasurit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”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jen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“pasutri ekzistuese” ose asete, duke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rfshir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rkesat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cilat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ankues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argumentoj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se ka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pakt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n “nj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pritshm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ri legjitime” (e cila duhet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konkrete sesa thjesht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shpres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) e cila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realizohet,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’ka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thot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se ai ose ajo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g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zoj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n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n (shiko 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>Gratzinger dhe Gratzingerova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>r Republik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 xml:space="preserve">s Çeke 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(vendim) [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DHM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 xml:space="preserve">], nr. 39794/98, GJEDNJ 2002-VII, § 69, dhe </w:t>
      </w:r>
      <w:r w:rsidR="00AB1D5B" w:rsidRPr="000659F3">
        <w:rPr>
          <w:rFonts w:ascii="Times New Roman" w:hAnsi="Times New Roman"/>
          <w:i/>
          <w:sz w:val="24"/>
          <w:szCs w:val="24"/>
          <w:lang w:val="sq-AL"/>
        </w:rPr>
        <w:t>Kopecký</w:t>
      </w:r>
      <w:r w:rsidR="00127A11" w:rsidRPr="000659F3">
        <w:rPr>
          <w:rFonts w:ascii="Times New Roman" w:hAnsi="Times New Roman"/>
          <w:i/>
          <w:sz w:val="24"/>
          <w:szCs w:val="24"/>
          <w:lang w:val="sq-AL"/>
        </w:rPr>
        <w:t xml:space="preserve">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i/>
          <w:sz w:val="24"/>
          <w:szCs w:val="24"/>
          <w:lang w:val="sq-AL"/>
        </w:rPr>
        <w:t>r Sllovakis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[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DHM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], nr. 44912/98, § 35, GJEDNJ 2004-IX</w:t>
      </w:r>
      <w:r w:rsidR="00AB1D5B" w:rsidRPr="000659F3">
        <w:rPr>
          <w:rFonts w:ascii="Times New Roman" w:hAnsi="Times New Roman"/>
          <w:sz w:val="24"/>
          <w:szCs w:val="24"/>
          <w:lang w:val="sq-AL"/>
        </w:rPr>
        <w:t>)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.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konsiderohet si e vlefshme kur argumentohet mjaftuesh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m se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e zbatueshme (shiko </w:t>
      </w:r>
      <w:r w:rsidR="00127A11" w:rsidRPr="000659F3">
        <w:rPr>
          <w:rFonts w:ascii="Times New Roman" w:hAnsi="Times New Roman"/>
          <w:i/>
          <w:sz w:val="24"/>
          <w:szCs w:val="24"/>
          <w:lang w:val="sq-AL"/>
        </w:rPr>
        <w:t xml:space="preserve">Kopecký, 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cituar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r, § 49; dhe </w:t>
      </w:r>
      <w:r w:rsidR="00127A11" w:rsidRPr="000659F3">
        <w:rPr>
          <w:rFonts w:ascii="Times New Roman" w:hAnsi="Times New Roman"/>
          <w:i/>
          <w:sz w:val="24"/>
          <w:szCs w:val="24"/>
          <w:lang w:val="sq-AL"/>
        </w:rPr>
        <w:t>Stran Greek Refineries (Rafinerit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i/>
          <w:sz w:val="24"/>
          <w:szCs w:val="24"/>
          <w:lang w:val="sq-AL"/>
        </w:rPr>
        <w:t xml:space="preserve"> Greke Stran) dhe Stratis Andreadis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i/>
          <w:sz w:val="24"/>
          <w:szCs w:val="24"/>
          <w:lang w:val="sq-AL"/>
        </w:rPr>
        <w:t>r Greqis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vendim i dat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s 9 Dhjet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o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1994, Serit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A nr. 301-B, fq. 84, § 59). Nga ana tjet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r, shpresa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r njohje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n e ekzistenc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s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drejte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vjet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r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n, e cila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r n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gjat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ka qen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e pamundur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ushtrohej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efikase, nuk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konsiderohet si “pasuri”,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interpretimin e N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enit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Protokollit Nr. 1. Po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shtu edhe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e kusht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zuar, e cila tejzgjatet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r shkak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mosp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>rmbushjes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kushtit,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mos njihet (shiko </w:t>
      </w:r>
      <w:r w:rsidR="00652C86" w:rsidRPr="000659F3">
        <w:rPr>
          <w:rFonts w:ascii="Times New Roman" w:hAnsi="Times New Roman"/>
          <w:i/>
          <w:sz w:val="24"/>
          <w:szCs w:val="24"/>
          <w:lang w:val="sq-AL"/>
        </w:rPr>
        <w:t>Prince Hans-Adam II i Lihtenshtajnit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i/>
          <w:sz w:val="24"/>
          <w:szCs w:val="24"/>
          <w:lang w:val="sq-AL"/>
        </w:rPr>
        <w:t>r Gjermanis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 [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DHM</w:t>
      </w:r>
      <w:r w:rsidR="00652C86" w:rsidRPr="000659F3">
        <w:rPr>
          <w:rFonts w:ascii="Times New Roman" w:hAnsi="Times New Roman"/>
          <w:sz w:val="24"/>
          <w:szCs w:val="24"/>
          <w:lang w:val="sq-AL"/>
        </w:rPr>
        <w:t xml:space="preserve">], nr. 42527/98, § </w:t>
      </w:r>
    </w:p>
    <w:p w:rsidR="000659F3" w:rsidRPr="000659F3" w:rsidRDefault="000659F3" w:rsidP="000659F3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Default="000659F3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52C86" w:rsidRPr="000659F3" w:rsidRDefault="00652C86" w:rsidP="000659F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83, GJEDNJ 2001-VIII). Sipas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s,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 kusht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zuar ku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r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varet nga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ngjarje e pasigurt e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ardhmes.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“e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legjitimi” nuk hyn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munges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rcaktuar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t’iu referuar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aseti. </w:t>
      </w:r>
    </w:p>
    <w:p w:rsidR="00B53A04" w:rsidRPr="000659F3" w:rsidRDefault="00652C86" w:rsidP="0007685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çë</w:t>
      </w:r>
      <w:r w:rsidRPr="000659F3">
        <w:rPr>
          <w:rFonts w:ascii="Times New Roman" w:hAnsi="Times New Roman"/>
          <w:sz w:val="24"/>
          <w:szCs w:val="24"/>
          <w:lang w:val="sq-AL"/>
        </w:rPr>
        <w:t>shtjen konkrete, ankuesi ka qen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pala 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paditëse</w:t>
      </w:r>
      <w:r w:rsidRPr="000659F3">
        <w:rPr>
          <w:rFonts w:ascii="Times New Roman" w:hAnsi="Times New Roman"/>
          <w:sz w:val="24"/>
          <w:szCs w:val="24"/>
          <w:lang w:val="sq-AL"/>
        </w:rPr>
        <w:t>, i cili ka paraqitur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njohjen, kthimin dhe/ose kompensimin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s. Duke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n, ankuesi i besoi vendimit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njohjen e ekzistenc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faktit ligjor se i ndjeri, babai i tij, pretendohet se zot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ronte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rfaqe toke bujq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 xml:space="preserve">sore (shiko paragrafin </w:t>
      </w:r>
      <w:r w:rsidRPr="000659F3">
        <w:rPr>
          <w:rFonts w:ascii="Times New Roman" w:hAnsi="Times New Roman"/>
          <w:sz w:val="24"/>
          <w:szCs w:val="24"/>
          <w:lang w:val="sq-AL"/>
        </w:rPr>
        <w:t>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r).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pasoj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ankesa nuk kishte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nte me “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>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>sin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ekzistuese</w:t>
      </w:r>
      <w:r w:rsidRPr="000659F3">
        <w:rPr>
          <w:rFonts w:ascii="Times New Roman" w:hAnsi="Times New Roman"/>
          <w:sz w:val="24"/>
          <w:szCs w:val="24"/>
          <w:lang w:val="sq-AL"/>
        </w:rPr>
        <w:t>”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vet ankuesit. Prandaj mbetet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>r t’u vendosur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>se ankuesi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konsiderohet se ka pasur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“pritshm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>ri legjitime”, se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>rkesa,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njohjen 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vendimi gjykate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njeh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fakt ligjor, i referohet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aseti i cili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jepet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53A04" w:rsidRPr="000659F3">
        <w:rPr>
          <w:rFonts w:ascii="Times New Roman" w:hAnsi="Times New Roman"/>
          <w:sz w:val="24"/>
          <w:szCs w:val="24"/>
          <w:lang w:val="sq-AL"/>
        </w:rPr>
        <w:t xml:space="preserve"> favorin e tij. </w:t>
      </w:r>
    </w:p>
    <w:p w:rsidR="001A7305" w:rsidRPr="000659F3" w:rsidRDefault="00B53A04" w:rsidP="0007685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Gjykata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ren se nje vendim gjykate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njeh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fakt ligjor,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nat e dokumentuara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cilit jan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zhdukur, i marr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Nenin 388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KPP,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i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natyre deklarative (gjith</w:t>
      </w:r>
      <w:r w:rsidR="00AC4991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shtu shiko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Marku kund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ris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nr. 54710/12, §§ 19 dhe 37, 1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5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Korrik 2014).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vendim i till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vetvete nuk i referohet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rkuesi, apo ndonj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drejte tjet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Pr="000659F3">
        <w:rPr>
          <w:rFonts w:ascii="Times New Roman" w:hAnsi="Times New Roman"/>
          <w:sz w:val="24"/>
          <w:szCs w:val="24"/>
          <w:lang w:val="sq-AL"/>
        </w:rPr>
        <w:t>far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do qoft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ajo. Sipas ligjit vendas, njohja 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drejtave 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rkuesi i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rkiste Komisionit, i cili ishte autoriteti administrativ kompetent,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merrej me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rkesat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kthimin dhe kompensimin e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ish pronar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ve (shiko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Ramadhi dhe t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EF4605" w:rsidRPr="000659F3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Pr="000659F3">
        <w:rPr>
          <w:rFonts w:ascii="Times New Roman" w:hAnsi="Times New Roman"/>
          <w:sz w:val="24"/>
          <w:szCs w:val="24"/>
          <w:lang w:val="sq-AL"/>
        </w:rPr>
        <w:t>cituar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r, § 25). Komisioni 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nuk 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rmbush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automatike pretendimin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rkuesit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kthimin dhe/ose kompensimin e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s, duke pasur parasysh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drejtat e tij ndaj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,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njohen nga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sipas Nenit 388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KPP. Komisioni duhet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sigurohet se ankesa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rmbush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rkesat statutore si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parashikohet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Ligjin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r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n. Ligji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vendimet e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vijim ofron mb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shtetje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aspektin se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vendim i till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gjykate nuk mjaftonte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njihte atomatikisht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drejtat 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 xml:space="preserve">e një kërkuesi 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>mbi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(shiko praragrafin 22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1A7305" w:rsidRPr="000659F3" w:rsidRDefault="001A7305" w:rsidP="0007685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Rezulton se ankuesi nuk ka as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dhe as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shtet “pritsh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mrin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legjitime”, sipas ligjit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nxjerr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nga vendimi i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fituar rikthimin e pron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dhe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vijim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“pasuri” sipas interpretimit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Protokollit Nr. 1.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j vijohet, se kjo ankes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 papajtueshme me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ratione materiae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dhe duhet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rshtohet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rputhje me Nenin 35 §§ 3 (a) dhe 4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1A7305" w:rsidRPr="000659F3" w:rsidRDefault="001A7305" w:rsidP="001A730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305" w:rsidRPr="000659F3" w:rsidRDefault="001A7305" w:rsidP="001A730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III.ZBATIMI I NENIT 41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</w:t>
      </w:r>
    </w:p>
    <w:p w:rsidR="001A7305" w:rsidRPr="000659F3" w:rsidRDefault="001A7305" w:rsidP="001A730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305" w:rsidRPr="000659F3" w:rsidRDefault="001A7305" w:rsidP="001A73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Neni 41 i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 parashikon: </w:t>
      </w:r>
    </w:p>
    <w:p w:rsidR="001A7305" w:rsidRDefault="001A7305" w:rsidP="001A730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Pr="000659F3" w:rsidRDefault="000659F3" w:rsidP="000659F3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lastRenderedPageBreak/>
        <w:t>VENDIMI BICI KUNDËR SHQIPËRISË</w:t>
      </w:r>
    </w:p>
    <w:p w:rsidR="000659F3" w:rsidRPr="000659F3" w:rsidRDefault="000659F3" w:rsidP="001A730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305" w:rsidRPr="000659F3" w:rsidRDefault="001A7305" w:rsidP="001A730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0"/>
          <w:szCs w:val="20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“</w:t>
      </w:r>
      <w:r w:rsidR="00BC14A1" w:rsidRPr="00AC1AA0">
        <w:rPr>
          <w:rFonts w:ascii="Times New Roman" w:hAnsi="Times New Roman"/>
          <w:sz w:val="20"/>
          <w:szCs w:val="20"/>
          <w:lang w:val="sq-AL"/>
        </w:rPr>
        <w:t>Kur Gjykata konstaton se ka pasur një shkelje të Konventës ose të protokolleve të saj, dhe nëse e drejta e brendshme e Palës së Lartë Kontraktuese lejon të bëhet vetëm një ndreqje e pjesshme, Gjykata, kur është e nevojshme, i akordon shpërblim të drejtë palës së dëmtuar.</w:t>
      </w:r>
      <w:r w:rsidRPr="000659F3">
        <w:rPr>
          <w:rFonts w:ascii="Times New Roman" w:hAnsi="Times New Roman"/>
          <w:sz w:val="20"/>
          <w:szCs w:val="20"/>
          <w:lang w:val="sq-AL"/>
        </w:rPr>
        <w:t>”</w:t>
      </w:r>
    </w:p>
    <w:p w:rsidR="00BC14A1" w:rsidRPr="000659F3" w:rsidRDefault="00BC14A1" w:rsidP="001A7305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A7305" w:rsidRPr="000659F3" w:rsidRDefault="001A7305" w:rsidP="001A7305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D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mi </w:t>
      </w:r>
    </w:p>
    <w:p w:rsidR="001A7305" w:rsidRPr="000659F3" w:rsidRDefault="001A7305" w:rsidP="001A7305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5657E" w:rsidRPr="000659F3" w:rsidRDefault="00C5657E" w:rsidP="001A73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Ankuesi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rkoi 30,000 euro (EUR)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min jo monetar. </w:t>
      </w:r>
    </w:p>
    <w:p w:rsidR="00C5657E" w:rsidRPr="000659F3" w:rsidRDefault="00C5657E" w:rsidP="001A73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Qeveria kontestoi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me justifikimin se nuk ishte e detajuar dhe nuk bazohej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asnj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dokument. </w:t>
      </w:r>
    </w:p>
    <w:p w:rsidR="00C5657E" w:rsidRPr="000659F3" w:rsidRDefault="00C5657E" w:rsidP="001A730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gjykon se ankuesit duhet t’i 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shkaktuar 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 jo monetar. Duke gjykuar me paanshm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ri, ajo i akordon atij EUR 7,000. </w:t>
      </w:r>
    </w:p>
    <w:p w:rsidR="00C5657E" w:rsidRPr="000659F3" w:rsidRDefault="00C5657E" w:rsidP="00C5657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5657E" w:rsidRPr="000659F3" w:rsidRDefault="00C5657E" w:rsidP="00C5657E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Kostot dhe shpenzimet</w:t>
      </w:r>
    </w:p>
    <w:p w:rsidR="00C5657E" w:rsidRPr="000659F3" w:rsidRDefault="00C5657E" w:rsidP="00C5657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C5657E" w:rsidRPr="000659F3" w:rsidRDefault="00C5657E" w:rsidP="00C5657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Ankuesi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rkoi EUR 2,600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kostot dhe shpenzimet e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ra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nga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cilat EUR 130 ishin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zimin e ankimit, EUR 1,900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dor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zimin e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zhgimeve, EUR 290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shillim ligjor dhe EUR 280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shpenzimet administrative dhe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rkthimet. </w:t>
      </w:r>
    </w:p>
    <w:p w:rsidR="00B4429D" w:rsidRPr="000659F3" w:rsidRDefault="00C5657E" w:rsidP="00C5657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Qeveria e kontestoi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me argumentin se ankuesi nuk i mb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shteti dhe nuk i specifikoi shpenzimet, sipas edhe Rregullit 60 § 2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B4429D" w:rsidRPr="000659F3" w:rsidRDefault="00B4429D" w:rsidP="00C5657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ata argumenton se kostot dhe shp</w:t>
      </w:r>
      <w:r w:rsidRPr="000659F3">
        <w:rPr>
          <w:rFonts w:ascii="Times New Roman" w:hAnsi="Times New Roman"/>
          <w:sz w:val="24"/>
          <w:szCs w:val="24"/>
          <w:lang w:val="sq-AL"/>
        </w:rPr>
        <w:t>enzimet, bazuar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Nenin 41, nuk do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ako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r</w:t>
      </w:r>
      <w:r w:rsidRPr="000659F3">
        <w:rPr>
          <w:rFonts w:ascii="Times New Roman" w:hAnsi="Times New Roman"/>
          <w:sz w:val="24"/>
          <w:szCs w:val="24"/>
          <w:lang w:val="sq-AL"/>
        </w:rPr>
        <w:t>dohen,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se nuk gjykohet se ato jan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faktikisht, kan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qen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nevojshme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t’u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, dhe jan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racionale (shiko </w:t>
      </w:r>
      <w:r w:rsidRPr="000659F3">
        <w:rPr>
          <w:rFonts w:ascii="Times New Roman" w:hAnsi="Times New Roman"/>
          <w:i/>
          <w:sz w:val="24"/>
          <w:szCs w:val="24"/>
          <w:lang w:val="sq-AL"/>
        </w:rPr>
        <w:t>Driza</w:t>
      </w:r>
      <w:r w:rsidRPr="000659F3">
        <w:rPr>
          <w:rFonts w:ascii="Times New Roman" w:hAnsi="Times New Roman"/>
          <w:sz w:val="24"/>
          <w:szCs w:val="24"/>
          <w:lang w:val="sq-AL"/>
        </w:rPr>
        <w:t>, cituar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r, § 141).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tep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r, kostot ligjore jan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659F3">
        <w:rPr>
          <w:rFonts w:ascii="Times New Roman" w:hAnsi="Times New Roman"/>
          <w:sz w:val="24"/>
          <w:szCs w:val="24"/>
          <w:lang w:val="sq-AL"/>
        </w:rPr>
        <w:t>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 xml:space="preserve"> shlyeshme v</w:t>
      </w:r>
      <w:r w:rsidRPr="000659F3">
        <w:rPr>
          <w:rFonts w:ascii="Times New Roman" w:hAnsi="Times New Roman"/>
          <w:sz w:val="24"/>
          <w:szCs w:val="24"/>
          <w:lang w:val="sq-AL"/>
        </w:rPr>
        <w:t>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se kan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shkeljen e ko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n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statuar (shiko </w:t>
      </w:r>
      <w:r w:rsidRPr="00AC1AA0">
        <w:rPr>
          <w:rFonts w:ascii="Times New Roman" w:hAnsi="Times New Roman"/>
          <w:i/>
          <w:iCs/>
          <w:sz w:val="24"/>
          <w:szCs w:val="24"/>
          <w:lang w:val="sq-AL"/>
        </w:rPr>
        <w:t>Vistiņš dhe Perepjolkins kund</w:t>
      </w:r>
      <w:r w:rsidR="00EF4605" w:rsidRPr="00AC1AA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AC1AA0">
        <w:rPr>
          <w:rFonts w:ascii="Times New Roman" w:hAnsi="Times New Roman"/>
          <w:i/>
          <w:iCs/>
          <w:sz w:val="24"/>
          <w:szCs w:val="24"/>
          <w:lang w:val="sq-AL"/>
        </w:rPr>
        <w:t>r Letonis</w:t>
      </w:r>
      <w:r w:rsidR="00EF4605" w:rsidRPr="00AC1AA0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AC1AA0">
        <w:rPr>
          <w:rFonts w:ascii="Times New Roman" w:hAnsi="Times New Roman"/>
          <w:i/>
          <w:iCs/>
          <w:sz w:val="24"/>
          <w:szCs w:val="24"/>
          <w:lang w:val="sq-AL"/>
        </w:rPr>
        <w:t xml:space="preserve"> </w:t>
      </w:r>
      <w:r w:rsidRPr="00AC1AA0">
        <w:rPr>
          <w:rFonts w:ascii="Times New Roman" w:hAnsi="Times New Roman"/>
          <w:iCs/>
          <w:sz w:val="24"/>
          <w:szCs w:val="24"/>
          <w:lang w:val="sq-AL"/>
        </w:rPr>
        <w:t>(</w:t>
      </w:r>
      <w:r w:rsidR="00BC14A1" w:rsidRPr="00AC1AA0">
        <w:rPr>
          <w:rFonts w:ascii="Times New Roman" w:hAnsi="Times New Roman"/>
          <w:iCs/>
          <w:sz w:val="24"/>
          <w:szCs w:val="24"/>
          <w:lang w:val="sq-AL"/>
        </w:rPr>
        <w:t>shpërblim</w:t>
      </w:r>
      <w:r w:rsidRPr="00AC1AA0">
        <w:rPr>
          <w:rFonts w:ascii="Times New Roman" w:hAnsi="Times New Roman"/>
          <w:iCs/>
          <w:sz w:val="24"/>
          <w:szCs w:val="24"/>
          <w:lang w:val="sq-AL"/>
        </w:rPr>
        <w:t xml:space="preserve"> i drejt</w:t>
      </w:r>
      <w:r w:rsidR="00EF4605" w:rsidRPr="00AC1AA0">
        <w:rPr>
          <w:rFonts w:ascii="Times New Roman" w:hAnsi="Times New Roman"/>
          <w:iCs/>
          <w:sz w:val="24"/>
          <w:szCs w:val="24"/>
          <w:lang w:val="sq-AL"/>
        </w:rPr>
        <w:t>ë</w:t>
      </w:r>
      <w:r w:rsidRPr="00AC1AA0">
        <w:rPr>
          <w:rFonts w:ascii="Times New Roman" w:hAnsi="Times New Roman"/>
          <w:iCs/>
          <w:sz w:val="24"/>
          <w:szCs w:val="24"/>
          <w:lang w:val="sq-AL"/>
        </w:rPr>
        <w:t>) [</w:t>
      </w:r>
      <w:r w:rsidR="00BC14A1" w:rsidRPr="00AC1AA0">
        <w:rPr>
          <w:rFonts w:ascii="Times New Roman" w:hAnsi="Times New Roman"/>
          <w:iCs/>
          <w:sz w:val="24"/>
          <w:szCs w:val="24"/>
          <w:lang w:val="sq-AL"/>
        </w:rPr>
        <w:t>DHM</w:t>
      </w:r>
      <w:r w:rsidRPr="00AC1AA0">
        <w:rPr>
          <w:rFonts w:ascii="Times New Roman" w:hAnsi="Times New Roman"/>
          <w:iCs/>
          <w:sz w:val="24"/>
          <w:szCs w:val="24"/>
          <w:lang w:val="sq-AL"/>
        </w:rPr>
        <w:t>], nr. 71243/01, § 50, GJEDNJ 2014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:rsidR="00B4429D" w:rsidRPr="000659F3" w:rsidRDefault="00B4429D" w:rsidP="00C5657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v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ren se nuk i jan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faturat mb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shtet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provuar se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gjitha shpenzimet e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ra jan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reale.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vijim, ajo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pyetjen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se shp</w:t>
      </w:r>
      <w:r w:rsidRPr="000659F3">
        <w:rPr>
          <w:rFonts w:ascii="Times New Roman" w:hAnsi="Times New Roman"/>
          <w:sz w:val="24"/>
          <w:szCs w:val="24"/>
          <w:lang w:val="sq-AL"/>
        </w:rPr>
        <w:t>enzimet e mbetura jan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arsyeshme. Duke pasur parasysh dokumentet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zot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rimin e saj si edhe konstatimet, Gjykat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a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i akordon ankuesit EUR 850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 procedimet e Strasburgut.  </w:t>
      </w:r>
      <w:r w:rsidR="001A7305" w:rsidRPr="000659F3">
        <w:rPr>
          <w:rFonts w:ascii="Times New Roman" w:hAnsi="Times New Roman"/>
          <w:sz w:val="24"/>
          <w:szCs w:val="24"/>
          <w:lang w:val="sq-AL"/>
        </w:rPr>
        <w:t xml:space="preserve">    </w:t>
      </w:r>
      <w:r w:rsidR="00127A11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B4429D" w:rsidRPr="000659F3" w:rsidRDefault="00B4429D" w:rsidP="00B4429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4429D" w:rsidRPr="000659F3" w:rsidRDefault="00B4429D" w:rsidP="00B4429D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b/>
          <w:sz w:val="24"/>
          <w:szCs w:val="24"/>
          <w:lang w:val="sq-AL"/>
        </w:rPr>
        <w:t>Kamat</w:t>
      </w:r>
      <w:r w:rsidR="00EF4605" w:rsidRPr="000659F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b/>
          <w:sz w:val="24"/>
          <w:szCs w:val="24"/>
          <w:lang w:val="sq-AL"/>
        </w:rPr>
        <w:t xml:space="preserve">vonesa </w:t>
      </w:r>
    </w:p>
    <w:p w:rsidR="00B4429D" w:rsidRPr="000659F3" w:rsidRDefault="00B4429D" w:rsidP="00B4429D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D2CEE" w:rsidRPr="000659F3" w:rsidRDefault="008D2CEE" w:rsidP="008D2CE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Gjykata e shikon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arsyeshme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kamat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vonesa duhet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bazohet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huadh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se marxhinale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Qendrore Europiane, duke i shtuar pik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tre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rqind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she. </w:t>
      </w:r>
    </w:p>
    <w:p w:rsidR="008D2CEE" w:rsidRDefault="008D2CEE" w:rsidP="008D2CE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Default="000659F3" w:rsidP="008D2CE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Default="000659F3" w:rsidP="008D2CE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659F3" w:rsidRPr="000659F3" w:rsidRDefault="000659F3" w:rsidP="000659F3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0659F3">
        <w:rPr>
          <w:rFonts w:ascii="Times New Roman" w:hAnsi="Times New Roman"/>
          <w:sz w:val="18"/>
          <w:szCs w:val="18"/>
          <w:lang w:val="sq-AL"/>
        </w:rPr>
        <w:t>VENDIMI BICI KUNDËR SHQIPËRISË</w:t>
      </w:r>
    </w:p>
    <w:p w:rsidR="000659F3" w:rsidRPr="000659F3" w:rsidRDefault="000659F3" w:rsidP="008D2CE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D2CEE" w:rsidRPr="000659F3" w:rsidRDefault="008D2CEE" w:rsidP="008D2CEE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TO ARSYE, GJYKATA,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NYR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UNANIME, </w:t>
      </w:r>
    </w:p>
    <w:p w:rsidR="008D2CEE" w:rsidRPr="000659F3" w:rsidRDefault="008D2CEE" w:rsidP="008D2CE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D2CEE" w:rsidRPr="000659F3" w:rsidRDefault="008D2CEE" w:rsidP="008D2CEE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 xml:space="preserve">E deklaron </w:t>
      </w:r>
      <w:r w:rsidRPr="000659F3">
        <w:rPr>
          <w:rFonts w:ascii="Times New Roman" w:hAnsi="Times New Roman"/>
          <w:sz w:val="24"/>
          <w:szCs w:val="24"/>
          <w:lang w:val="sq-AL"/>
        </w:rPr>
        <w:t>ankes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zgjatjen e tepruar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procedimeve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pranueshme dhe pjes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tjet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papranuesh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m; </w:t>
      </w:r>
    </w:p>
    <w:p w:rsidR="008D2CEE" w:rsidRPr="000659F3" w:rsidRDefault="008D2CEE" w:rsidP="008D2CEE">
      <w:pPr>
        <w:pStyle w:val="NoSpacing"/>
        <w:spacing w:line="276" w:lineRule="auto"/>
        <w:ind w:left="36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8D2CEE" w:rsidRPr="000659F3" w:rsidRDefault="008D2CEE" w:rsidP="008D2CEE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Vendos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se ka pasur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Nenit 6 § 1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zgjatjen e procedimeve; </w:t>
      </w:r>
    </w:p>
    <w:p w:rsidR="008D2CEE" w:rsidRPr="000659F3" w:rsidRDefault="008D2CEE" w:rsidP="008D2CEE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8D2CEE" w:rsidRPr="000659F3" w:rsidRDefault="008D2CEE" w:rsidP="008D2CEE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Vendos</w:t>
      </w:r>
    </w:p>
    <w:p w:rsidR="008D2CEE" w:rsidRPr="000659F3" w:rsidRDefault="008D2CEE" w:rsidP="008D2CEE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se Shteti i paditur duhet t’i paguaj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ankuesit, brenda tre muajve nga data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vendimi u b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i form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rpthje me Nenin 44 § 2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s, shumat e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poshtme,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duhet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konvertohen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n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m</w:t>
      </w:r>
      <w:r w:rsidRPr="000659F3">
        <w:rPr>
          <w:rFonts w:ascii="Times New Roman" w:hAnsi="Times New Roman"/>
          <w:sz w:val="24"/>
          <w:szCs w:val="24"/>
          <w:lang w:val="sq-AL"/>
        </w:rPr>
        <w:t>onetare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Shtetit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paditur,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e zbatueshme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n e zgjidhjes: </w:t>
      </w:r>
    </w:p>
    <w:p w:rsidR="003A5A90" w:rsidRPr="000659F3" w:rsidRDefault="008D2CEE" w:rsidP="008D2CEE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EUR 7,000 (shtat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mij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euro), plus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Pr="000659F3">
        <w:rPr>
          <w:rFonts w:ascii="Times New Roman" w:hAnsi="Times New Roman"/>
          <w:sz w:val="24"/>
          <w:szCs w:val="24"/>
          <w:lang w:val="sq-AL"/>
        </w:rPr>
        <w:t>do taks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 cila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 tarifueshme,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min jo monetar; </w:t>
      </w:r>
    </w:p>
    <w:p w:rsidR="008D2CEE" w:rsidRPr="000659F3" w:rsidRDefault="008D2CEE" w:rsidP="008D2CEE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EUR 850 (tet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qind e pes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dhjet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euro), plus 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ç</w:t>
      </w:r>
      <w:r w:rsidRPr="000659F3">
        <w:rPr>
          <w:rFonts w:ascii="Times New Roman" w:hAnsi="Times New Roman"/>
          <w:sz w:val="24"/>
          <w:szCs w:val="24"/>
          <w:lang w:val="sq-AL"/>
        </w:rPr>
        <w:t>do taks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e tarifueshme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 ankuesin,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lidhje me kostot dhe shpenzimet; </w:t>
      </w:r>
    </w:p>
    <w:p w:rsidR="008D2CEE" w:rsidRPr="000659F3" w:rsidRDefault="008D2CEE" w:rsidP="008D2CEE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se q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nga data 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rfundimit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afatit tre mujor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rmendur dhe deri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zgjidhjen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rfundimtare, interesi i thjesht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duhet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i paguesh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m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shumat e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rme 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barabart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me norm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n marxhinale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huadh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nies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s Qendrore Europiane, gjat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periudh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kamat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vones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s plus pik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 tre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rqind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 xml:space="preserve">she; </w:t>
      </w:r>
    </w:p>
    <w:p w:rsidR="00EC24A9" w:rsidRPr="000659F3" w:rsidRDefault="00EC24A9" w:rsidP="00EC24A9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i/>
          <w:sz w:val="24"/>
          <w:szCs w:val="24"/>
          <w:lang w:val="sq-AL"/>
        </w:rPr>
        <w:t>Pezullon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pjes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n e mbetur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rkes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ankuesit p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BC14A1" w:rsidRPr="000659F3">
        <w:rPr>
          <w:rFonts w:ascii="Times New Roman" w:hAnsi="Times New Roman"/>
          <w:sz w:val="24"/>
          <w:szCs w:val="24"/>
          <w:lang w:val="sq-AL"/>
        </w:rPr>
        <w:t>shpërblim të drejtë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664B3F" w:rsidRPr="000659F3" w:rsidRDefault="00664B3F" w:rsidP="00A82C75">
      <w:pPr>
        <w:pStyle w:val="NoSpacing"/>
        <w:spacing w:before="24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E hartuar n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anglisht dhe e mbajtur me shkrim, m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3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Dhjetor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201</w:t>
      </w:r>
      <w:r w:rsidR="00EC24A9" w:rsidRPr="000659F3">
        <w:rPr>
          <w:rFonts w:ascii="Times New Roman" w:hAnsi="Times New Roman"/>
          <w:sz w:val="24"/>
          <w:szCs w:val="24"/>
          <w:lang w:val="sq-AL"/>
        </w:rPr>
        <w:t>5</w:t>
      </w:r>
      <w:r w:rsidRPr="000659F3">
        <w:rPr>
          <w:rFonts w:ascii="Times New Roman" w:hAnsi="Times New Roman"/>
          <w:sz w:val="24"/>
          <w:szCs w:val="24"/>
          <w:lang w:val="sq-AL"/>
        </w:rPr>
        <w:t>, sipas Nenit 77 §§ 2 dhe 3 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Rregullores s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664B3F" w:rsidRPr="000659F3" w:rsidRDefault="00664B3F" w:rsidP="00A82C75">
      <w:pPr>
        <w:pStyle w:val="NoSpacing"/>
        <w:spacing w:before="24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53DBA" w:rsidRPr="000659F3" w:rsidRDefault="00EC24A9" w:rsidP="00A82C75">
      <w:pPr>
        <w:pStyle w:val="NoSpacing"/>
        <w:spacing w:before="24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 xml:space="preserve">André </w:t>
      </w:r>
      <w:r w:rsidR="000659F3" w:rsidRPr="000659F3">
        <w:rPr>
          <w:rFonts w:ascii="Times New Roman" w:hAnsi="Times New Roman"/>
          <w:sz w:val="24"/>
          <w:szCs w:val="24"/>
          <w:lang w:val="sq-AL"/>
        </w:rPr>
        <w:t>W</w:t>
      </w:r>
      <w:r w:rsidRPr="000659F3">
        <w:rPr>
          <w:rFonts w:ascii="Times New Roman" w:hAnsi="Times New Roman"/>
          <w:sz w:val="24"/>
          <w:szCs w:val="24"/>
          <w:lang w:val="sq-AL"/>
        </w:rPr>
        <w:t>ampach</w:t>
      </w:r>
      <w:r w:rsidR="00053DBA" w:rsidRPr="000659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4B3F" w:rsidRPr="000659F3">
        <w:rPr>
          <w:rFonts w:ascii="Times New Roman" w:hAnsi="Times New Roman"/>
          <w:sz w:val="24"/>
          <w:szCs w:val="24"/>
          <w:lang w:val="sq-AL"/>
        </w:rPr>
        <w:t xml:space="preserve">                                  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                        Mirjana Lazarova Trajkovska</w:t>
      </w:r>
    </w:p>
    <w:p w:rsidR="00664B3F" w:rsidRPr="000659F3" w:rsidRDefault="00EC24A9" w:rsidP="00A82C75">
      <w:pPr>
        <w:pStyle w:val="NoSpacing"/>
        <w:spacing w:before="240"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659F3">
        <w:rPr>
          <w:rFonts w:ascii="Times New Roman" w:hAnsi="Times New Roman"/>
          <w:sz w:val="24"/>
          <w:szCs w:val="24"/>
          <w:lang w:val="sq-AL"/>
        </w:rPr>
        <w:t>Z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>vend</w:t>
      </w:r>
      <w:r w:rsidR="00EF4605" w:rsidRPr="000659F3">
        <w:rPr>
          <w:rFonts w:ascii="Times New Roman" w:hAnsi="Times New Roman"/>
          <w:sz w:val="24"/>
          <w:szCs w:val="24"/>
          <w:lang w:val="sq-AL"/>
        </w:rPr>
        <w:t>ë</w:t>
      </w:r>
      <w:r w:rsidRPr="000659F3">
        <w:rPr>
          <w:rFonts w:ascii="Times New Roman" w:hAnsi="Times New Roman"/>
          <w:sz w:val="24"/>
          <w:szCs w:val="24"/>
          <w:lang w:val="sq-AL"/>
        </w:rPr>
        <w:t xml:space="preserve">s </w:t>
      </w:r>
      <w:r w:rsidR="00664B3F" w:rsidRPr="000659F3">
        <w:rPr>
          <w:rFonts w:ascii="Times New Roman" w:hAnsi="Times New Roman"/>
          <w:sz w:val="24"/>
          <w:szCs w:val="24"/>
          <w:lang w:val="sq-AL"/>
        </w:rPr>
        <w:t>Sekretare                                                                    Presidente</w:t>
      </w:r>
    </w:p>
    <w:p w:rsidR="001E3EC0" w:rsidRPr="000659F3" w:rsidRDefault="001E3EC0" w:rsidP="00A82C7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sectPr w:rsidR="001E3EC0" w:rsidRPr="000659F3" w:rsidSect="00943D1A">
      <w:headerReference w:type="default" r:id="rId7"/>
      <w:footerReference w:type="default" r:id="rId8"/>
      <w:pgSz w:w="12240" w:h="15840"/>
      <w:pgMar w:top="99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3B" w:rsidRDefault="0051293B">
      <w:pPr>
        <w:spacing w:after="0" w:line="240" w:lineRule="auto"/>
      </w:pPr>
      <w:r>
        <w:separator/>
      </w:r>
    </w:p>
  </w:endnote>
  <w:endnote w:type="continuationSeparator" w:id="0">
    <w:p w:rsidR="0051293B" w:rsidRDefault="0051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605" w:rsidRDefault="00EF4605">
    <w:pPr>
      <w:pStyle w:val="Footer"/>
      <w:jc w:val="center"/>
      <w:rPr>
        <w:b/>
        <w:i/>
        <w:color w:val="000080"/>
        <w:sz w:val="22"/>
      </w:rPr>
    </w:pPr>
  </w:p>
  <w:p w:rsidR="00EF4605" w:rsidRPr="008941FC" w:rsidRDefault="00EF4605">
    <w:pPr>
      <w:pStyle w:val="Footer"/>
      <w:pBdr>
        <w:top w:val="single" w:sz="4" w:space="1" w:color="auto"/>
      </w:pBdr>
      <w:jc w:val="center"/>
      <w:rPr>
        <w:b/>
        <w:i/>
        <w:color w:val="000080"/>
        <w:sz w:val="22"/>
        <w:lang w:val="it-IT"/>
      </w:rPr>
    </w:pPr>
    <w:r w:rsidRPr="008941FC">
      <w:rPr>
        <w:b/>
        <w:i/>
        <w:color w:val="000080"/>
        <w:sz w:val="22"/>
        <w:lang w:val="it-IT"/>
      </w:rPr>
      <w:t>Shërbimi i Përkthimit Zyrtar, Ministria e Drejtësisë, Republika e Shqipërisë</w:t>
    </w:r>
  </w:p>
  <w:p w:rsidR="00EF4605" w:rsidRDefault="00EF4605">
    <w:pPr>
      <w:pStyle w:val="Footer"/>
      <w:jc w:val="center"/>
      <w:rPr>
        <w:b/>
        <w:i/>
        <w:color w:val="000080"/>
        <w:sz w:val="22"/>
      </w:rPr>
    </w:pPr>
    <w:r>
      <w:rPr>
        <w:b/>
        <w:i/>
        <w:color w:val="000080"/>
        <w:sz w:val="22"/>
      </w:rPr>
      <w:t>Service des Traductions Officielles du Ministére de la Justice de la République d’Albanie</w:t>
    </w:r>
  </w:p>
  <w:p w:rsidR="00EF4605" w:rsidRDefault="00EF4605">
    <w:pPr>
      <w:pStyle w:val="Footer"/>
      <w:jc w:val="center"/>
      <w:rPr>
        <w:b/>
        <w:i/>
        <w:color w:val="000080"/>
        <w:sz w:val="22"/>
      </w:rPr>
    </w:pPr>
    <w:smartTag w:uri="urn:schemas-microsoft-com:office:smarttags" w:element="place">
      <w:smartTag w:uri="urn:schemas-microsoft-com:office:smarttags" w:element="PlaceType">
        <w:r>
          <w:rPr>
            <w:b/>
            <w:i/>
            <w:color w:val="000080"/>
            <w:sz w:val="22"/>
          </w:rPr>
          <w:t>Republic</w:t>
        </w:r>
      </w:smartTag>
      <w:r>
        <w:rPr>
          <w:b/>
          <w:i/>
          <w:color w:val="000080"/>
          <w:sz w:val="22"/>
        </w:rPr>
        <w:t xml:space="preserve"> of </w:t>
      </w:r>
      <w:smartTag w:uri="urn:schemas-microsoft-com:office:smarttags" w:element="PlaceName">
        <w:r>
          <w:rPr>
            <w:b/>
            <w:i/>
            <w:color w:val="000080"/>
            <w:sz w:val="22"/>
          </w:rPr>
          <w:t>Albania</w:t>
        </w:r>
      </w:smartTag>
    </w:smartTag>
    <w:r>
      <w:rPr>
        <w:b/>
        <w:i/>
        <w:color w:val="000080"/>
        <w:sz w:val="22"/>
      </w:rPr>
      <w:t>, Ministry of Justice, Official Translations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3B" w:rsidRDefault="0051293B">
      <w:pPr>
        <w:spacing w:after="0" w:line="240" w:lineRule="auto"/>
      </w:pPr>
      <w:r>
        <w:separator/>
      </w:r>
    </w:p>
  </w:footnote>
  <w:footnote w:type="continuationSeparator" w:id="0">
    <w:p w:rsidR="0051293B" w:rsidRDefault="0051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605" w:rsidRDefault="00EF4605">
    <w:pPr>
      <w:pStyle w:val="Header"/>
      <w:pBdr>
        <w:bottom w:val="single" w:sz="4" w:space="1" w:color="auto"/>
      </w:pBdr>
      <w:rPr>
        <w:b/>
        <w:color w:val="000080"/>
        <w:sz w:val="18"/>
      </w:rPr>
    </w:pPr>
    <w:r>
      <w:rPr>
        <w:b/>
        <w:color w:val="000080"/>
        <w:sz w:val="18"/>
      </w:rPr>
      <w:t>PERKTHIM ZYRTAR                       TRADUCTION OFFICIELLE</w:t>
    </w:r>
    <w:r>
      <w:rPr>
        <w:b/>
        <w:color w:val="000080"/>
        <w:sz w:val="18"/>
      </w:rPr>
      <w:tab/>
      <w:t xml:space="preserve">     OFFICIAL TRANSLATION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232"/>
    <w:multiLevelType w:val="hybridMultilevel"/>
    <w:tmpl w:val="FBE41B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17A"/>
    <w:multiLevelType w:val="hybridMultilevel"/>
    <w:tmpl w:val="3C5275F4"/>
    <w:lvl w:ilvl="0" w:tplc="41BE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B5455"/>
    <w:multiLevelType w:val="hybridMultilevel"/>
    <w:tmpl w:val="16783C8C"/>
    <w:lvl w:ilvl="0" w:tplc="F224F09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584"/>
    <w:multiLevelType w:val="hybridMultilevel"/>
    <w:tmpl w:val="079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D77CE"/>
    <w:multiLevelType w:val="hybridMultilevel"/>
    <w:tmpl w:val="BBFEB190"/>
    <w:lvl w:ilvl="0" w:tplc="CF1264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66D3B"/>
    <w:multiLevelType w:val="hybridMultilevel"/>
    <w:tmpl w:val="91F60A16"/>
    <w:lvl w:ilvl="0" w:tplc="661A6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643DB"/>
    <w:multiLevelType w:val="hybridMultilevel"/>
    <w:tmpl w:val="A2CAAE26"/>
    <w:lvl w:ilvl="0" w:tplc="7BF4D9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B1536"/>
    <w:multiLevelType w:val="hybridMultilevel"/>
    <w:tmpl w:val="CC70907A"/>
    <w:lvl w:ilvl="0" w:tplc="1654D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5665"/>
    <w:multiLevelType w:val="hybridMultilevel"/>
    <w:tmpl w:val="EAAEA66C"/>
    <w:lvl w:ilvl="0" w:tplc="9C24B8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903AD"/>
    <w:multiLevelType w:val="hybridMultilevel"/>
    <w:tmpl w:val="240C3706"/>
    <w:lvl w:ilvl="0" w:tplc="DBA02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60832"/>
    <w:multiLevelType w:val="hybridMultilevel"/>
    <w:tmpl w:val="BDE0D2EA"/>
    <w:lvl w:ilvl="0" w:tplc="C7580F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833C1"/>
    <w:multiLevelType w:val="hybridMultilevel"/>
    <w:tmpl w:val="86EECA94"/>
    <w:lvl w:ilvl="0" w:tplc="5A6A28C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01FB3"/>
    <w:multiLevelType w:val="hybridMultilevel"/>
    <w:tmpl w:val="079E9B42"/>
    <w:lvl w:ilvl="0" w:tplc="BC1AA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A0F"/>
    <w:multiLevelType w:val="hybridMultilevel"/>
    <w:tmpl w:val="9B56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05581"/>
    <w:multiLevelType w:val="hybridMultilevel"/>
    <w:tmpl w:val="FEA80284"/>
    <w:lvl w:ilvl="0" w:tplc="875C6A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C916FC"/>
    <w:multiLevelType w:val="hybridMultilevel"/>
    <w:tmpl w:val="3A08A340"/>
    <w:lvl w:ilvl="0" w:tplc="DAA2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639E5"/>
    <w:multiLevelType w:val="hybridMultilevel"/>
    <w:tmpl w:val="631C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2308"/>
    <w:multiLevelType w:val="hybridMultilevel"/>
    <w:tmpl w:val="DEFE3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12822"/>
    <w:multiLevelType w:val="hybridMultilevel"/>
    <w:tmpl w:val="12C21FFE"/>
    <w:lvl w:ilvl="0" w:tplc="9E5811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446B5"/>
    <w:multiLevelType w:val="hybridMultilevel"/>
    <w:tmpl w:val="E0801494"/>
    <w:lvl w:ilvl="0" w:tplc="B7EA0D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67421"/>
    <w:multiLevelType w:val="hybridMultilevel"/>
    <w:tmpl w:val="B9B2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30302"/>
    <w:multiLevelType w:val="hybridMultilevel"/>
    <w:tmpl w:val="01684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A43BB"/>
    <w:multiLevelType w:val="hybridMultilevel"/>
    <w:tmpl w:val="F8DCCC88"/>
    <w:lvl w:ilvl="0" w:tplc="3BF6C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4794"/>
    <w:multiLevelType w:val="hybridMultilevel"/>
    <w:tmpl w:val="4106E500"/>
    <w:lvl w:ilvl="0" w:tplc="6C5C77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67913"/>
    <w:multiLevelType w:val="hybridMultilevel"/>
    <w:tmpl w:val="88B04F98"/>
    <w:lvl w:ilvl="0" w:tplc="95B02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F517D"/>
    <w:multiLevelType w:val="hybridMultilevel"/>
    <w:tmpl w:val="C948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E04A0"/>
    <w:multiLevelType w:val="hybridMultilevel"/>
    <w:tmpl w:val="8DF0A0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33D1E"/>
    <w:multiLevelType w:val="hybridMultilevel"/>
    <w:tmpl w:val="4C745660"/>
    <w:lvl w:ilvl="0" w:tplc="DCAEB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047FF"/>
    <w:multiLevelType w:val="hybridMultilevel"/>
    <w:tmpl w:val="88DE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42362"/>
    <w:multiLevelType w:val="hybridMultilevel"/>
    <w:tmpl w:val="05ACD894"/>
    <w:lvl w:ilvl="0" w:tplc="8626D1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21"/>
  </w:num>
  <w:num w:numId="5">
    <w:abstractNumId w:val="6"/>
  </w:num>
  <w:num w:numId="6">
    <w:abstractNumId w:val="25"/>
  </w:num>
  <w:num w:numId="7">
    <w:abstractNumId w:val="3"/>
  </w:num>
  <w:num w:numId="8">
    <w:abstractNumId w:val="12"/>
  </w:num>
  <w:num w:numId="9">
    <w:abstractNumId w:val="15"/>
  </w:num>
  <w:num w:numId="10">
    <w:abstractNumId w:val="8"/>
  </w:num>
  <w:num w:numId="11">
    <w:abstractNumId w:val="26"/>
  </w:num>
  <w:num w:numId="12">
    <w:abstractNumId w:val="24"/>
  </w:num>
  <w:num w:numId="13">
    <w:abstractNumId w:val="22"/>
  </w:num>
  <w:num w:numId="14">
    <w:abstractNumId w:val="20"/>
  </w:num>
  <w:num w:numId="15">
    <w:abstractNumId w:val="27"/>
  </w:num>
  <w:num w:numId="16">
    <w:abstractNumId w:val="18"/>
  </w:num>
  <w:num w:numId="17">
    <w:abstractNumId w:val="0"/>
  </w:num>
  <w:num w:numId="18">
    <w:abstractNumId w:val="16"/>
  </w:num>
  <w:num w:numId="19">
    <w:abstractNumId w:val="28"/>
  </w:num>
  <w:num w:numId="20">
    <w:abstractNumId w:val="13"/>
  </w:num>
  <w:num w:numId="21">
    <w:abstractNumId w:val="5"/>
  </w:num>
  <w:num w:numId="22">
    <w:abstractNumId w:val="23"/>
  </w:num>
  <w:num w:numId="23">
    <w:abstractNumId w:val="2"/>
  </w:num>
  <w:num w:numId="24">
    <w:abstractNumId w:val="29"/>
  </w:num>
  <w:num w:numId="25">
    <w:abstractNumId w:val="10"/>
  </w:num>
  <w:num w:numId="26">
    <w:abstractNumId w:val="17"/>
  </w:num>
  <w:num w:numId="27">
    <w:abstractNumId w:val="9"/>
  </w:num>
  <w:num w:numId="28">
    <w:abstractNumId w:val="14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0"/>
    <w:rsid w:val="00012051"/>
    <w:rsid w:val="00015063"/>
    <w:rsid w:val="000444CF"/>
    <w:rsid w:val="00044A7F"/>
    <w:rsid w:val="00053DBA"/>
    <w:rsid w:val="0006552E"/>
    <w:rsid w:val="000659F3"/>
    <w:rsid w:val="00076851"/>
    <w:rsid w:val="0007781E"/>
    <w:rsid w:val="00082876"/>
    <w:rsid w:val="0009609D"/>
    <w:rsid w:val="000B2AAA"/>
    <w:rsid w:val="000D4FA4"/>
    <w:rsid w:val="000D6946"/>
    <w:rsid w:val="000E2E27"/>
    <w:rsid w:val="000F4FCB"/>
    <w:rsid w:val="000F504B"/>
    <w:rsid w:val="001210D4"/>
    <w:rsid w:val="00127A11"/>
    <w:rsid w:val="001448C5"/>
    <w:rsid w:val="00145EAE"/>
    <w:rsid w:val="001628A9"/>
    <w:rsid w:val="00164CDB"/>
    <w:rsid w:val="00187AE0"/>
    <w:rsid w:val="001A7305"/>
    <w:rsid w:val="001B0AAD"/>
    <w:rsid w:val="001C3B2D"/>
    <w:rsid w:val="001E11BC"/>
    <w:rsid w:val="001E3EC0"/>
    <w:rsid w:val="001E5712"/>
    <w:rsid w:val="001E70E2"/>
    <w:rsid w:val="001F6A1F"/>
    <w:rsid w:val="002050A9"/>
    <w:rsid w:val="00206AED"/>
    <w:rsid w:val="00286360"/>
    <w:rsid w:val="002871E1"/>
    <w:rsid w:val="002908F3"/>
    <w:rsid w:val="002A03FB"/>
    <w:rsid w:val="002B60F2"/>
    <w:rsid w:val="002B6922"/>
    <w:rsid w:val="002D53D8"/>
    <w:rsid w:val="002D7A68"/>
    <w:rsid w:val="00322C08"/>
    <w:rsid w:val="00325771"/>
    <w:rsid w:val="00337C06"/>
    <w:rsid w:val="00347C2F"/>
    <w:rsid w:val="003633A9"/>
    <w:rsid w:val="003635A3"/>
    <w:rsid w:val="00382E9A"/>
    <w:rsid w:val="00397E4E"/>
    <w:rsid w:val="003A0A5A"/>
    <w:rsid w:val="003A5A90"/>
    <w:rsid w:val="003B0B56"/>
    <w:rsid w:val="003D5741"/>
    <w:rsid w:val="003F3D57"/>
    <w:rsid w:val="003F6895"/>
    <w:rsid w:val="0041383B"/>
    <w:rsid w:val="00442CBC"/>
    <w:rsid w:val="004644E8"/>
    <w:rsid w:val="00471BA0"/>
    <w:rsid w:val="00477B65"/>
    <w:rsid w:val="00480936"/>
    <w:rsid w:val="00491D7C"/>
    <w:rsid w:val="004B1B94"/>
    <w:rsid w:val="0051293B"/>
    <w:rsid w:val="00513CDA"/>
    <w:rsid w:val="00524048"/>
    <w:rsid w:val="005376CD"/>
    <w:rsid w:val="00573009"/>
    <w:rsid w:val="00580265"/>
    <w:rsid w:val="005C2879"/>
    <w:rsid w:val="005C32CA"/>
    <w:rsid w:val="005E0D82"/>
    <w:rsid w:val="00614324"/>
    <w:rsid w:val="0062547F"/>
    <w:rsid w:val="00652C86"/>
    <w:rsid w:val="00657C85"/>
    <w:rsid w:val="00660E69"/>
    <w:rsid w:val="006613A9"/>
    <w:rsid w:val="00664A70"/>
    <w:rsid w:val="00664B3F"/>
    <w:rsid w:val="00690F02"/>
    <w:rsid w:val="006956B5"/>
    <w:rsid w:val="00696322"/>
    <w:rsid w:val="006B4D7C"/>
    <w:rsid w:val="006C2275"/>
    <w:rsid w:val="006D1BE1"/>
    <w:rsid w:val="006E642D"/>
    <w:rsid w:val="006F14AB"/>
    <w:rsid w:val="00721194"/>
    <w:rsid w:val="007C34A0"/>
    <w:rsid w:val="007C425E"/>
    <w:rsid w:val="007D1E70"/>
    <w:rsid w:val="007E090D"/>
    <w:rsid w:val="007F6EE5"/>
    <w:rsid w:val="007F7DF8"/>
    <w:rsid w:val="00854489"/>
    <w:rsid w:val="00855361"/>
    <w:rsid w:val="00857113"/>
    <w:rsid w:val="00871C20"/>
    <w:rsid w:val="00873138"/>
    <w:rsid w:val="00883EAF"/>
    <w:rsid w:val="008A1F16"/>
    <w:rsid w:val="008C589B"/>
    <w:rsid w:val="008D11E7"/>
    <w:rsid w:val="008D2CEE"/>
    <w:rsid w:val="008E5A72"/>
    <w:rsid w:val="008F47FD"/>
    <w:rsid w:val="008F7F47"/>
    <w:rsid w:val="00904CEF"/>
    <w:rsid w:val="009173F8"/>
    <w:rsid w:val="009268B1"/>
    <w:rsid w:val="009318F2"/>
    <w:rsid w:val="00943D1A"/>
    <w:rsid w:val="00975E14"/>
    <w:rsid w:val="009764C9"/>
    <w:rsid w:val="0097707F"/>
    <w:rsid w:val="009B276F"/>
    <w:rsid w:val="009B2C53"/>
    <w:rsid w:val="009D0076"/>
    <w:rsid w:val="009E2202"/>
    <w:rsid w:val="00A10757"/>
    <w:rsid w:val="00A54E5D"/>
    <w:rsid w:val="00A61498"/>
    <w:rsid w:val="00A80370"/>
    <w:rsid w:val="00A82C75"/>
    <w:rsid w:val="00A92637"/>
    <w:rsid w:val="00AB1D5B"/>
    <w:rsid w:val="00AC1AA0"/>
    <w:rsid w:val="00AC3F85"/>
    <w:rsid w:val="00AC4988"/>
    <w:rsid w:val="00AC4991"/>
    <w:rsid w:val="00AF1B7F"/>
    <w:rsid w:val="00B05DCF"/>
    <w:rsid w:val="00B066B2"/>
    <w:rsid w:val="00B16FAF"/>
    <w:rsid w:val="00B17827"/>
    <w:rsid w:val="00B30C43"/>
    <w:rsid w:val="00B312FE"/>
    <w:rsid w:val="00B42213"/>
    <w:rsid w:val="00B4429D"/>
    <w:rsid w:val="00B53A04"/>
    <w:rsid w:val="00B76093"/>
    <w:rsid w:val="00BA7AB9"/>
    <w:rsid w:val="00BC14A1"/>
    <w:rsid w:val="00BD1EF9"/>
    <w:rsid w:val="00BD3FD6"/>
    <w:rsid w:val="00C10165"/>
    <w:rsid w:val="00C23747"/>
    <w:rsid w:val="00C2784A"/>
    <w:rsid w:val="00C40F0E"/>
    <w:rsid w:val="00C46EC9"/>
    <w:rsid w:val="00C5518E"/>
    <w:rsid w:val="00C5657E"/>
    <w:rsid w:val="00C707FF"/>
    <w:rsid w:val="00CB72F1"/>
    <w:rsid w:val="00CC50B9"/>
    <w:rsid w:val="00CD0A65"/>
    <w:rsid w:val="00CE5FCB"/>
    <w:rsid w:val="00D05E80"/>
    <w:rsid w:val="00D1089D"/>
    <w:rsid w:val="00D1374E"/>
    <w:rsid w:val="00D31BEB"/>
    <w:rsid w:val="00D31C20"/>
    <w:rsid w:val="00D52522"/>
    <w:rsid w:val="00D56209"/>
    <w:rsid w:val="00D81768"/>
    <w:rsid w:val="00D831A0"/>
    <w:rsid w:val="00D90CBB"/>
    <w:rsid w:val="00D93087"/>
    <w:rsid w:val="00D93285"/>
    <w:rsid w:val="00DA045E"/>
    <w:rsid w:val="00DA5C5E"/>
    <w:rsid w:val="00DE4929"/>
    <w:rsid w:val="00DE78E0"/>
    <w:rsid w:val="00E0020E"/>
    <w:rsid w:val="00E011DF"/>
    <w:rsid w:val="00E0275B"/>
    <w:rsid w:val="00E0595E"/>
    <w:rsid w:val="00E50FA9"/>
    <w:rsid w:val="00E512C7"/>
    <w:rsid w:val="00E5431C"/>
    <w:rsid w:val="00E745FA"/>
    <w:rsid w:val="00E760CE"/>
    <w:rsid w:val="00E91611"/>
    <w:rsid w:val="00E95D70"/>
    <w:rsid w:val="00EB381D"/>
    <w:rsid w:val="00EC24A9"/>
    <w:rsid w:val="00EF4605"/>
    <w:rsid w:val="00F1552A"/>
    <w:rsid w:val="00F15B3D"/>
    <w:rsid w:val="00F22046"/>
    <w:rsid w:val="00F4394C"/>
    <w:rsid w:val="00F51BA1"/>
    <w:rsid w:val="00F56BFB"/>
    <w:rsid w:val="00F57CFD"/>
    <w:rsid w:val="00F626D8"/>
    <w:rsid w:val="00F76CF2"/>
    <w:rsid w:val="00F93BCF"/>
    <w:rsid w:val="00FA0830"/>
    <w:rsid w:val="00FA1D59"/>
    <w:rsid w:val="00FC7AD9"/>
    <w:rsid w:val="00FD5A78"/>
    <w:rsid w:val="00FE0BC3"/>
    <w:rsid w:val="00FE3103"/>
    <w:rsid w:val="00FE3324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C0D74-9F7F-4785-AC11-EB979C15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EC0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A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dritantelhaj@gmail.com</cp:lastModifiedBy>
  <cp:revision>2</cp:revision>
  <dcterms:created xsi:type="dcterms:W3CDTF">2020-07-01T12:44:00Z</dcterms:created>
  <dcterms:modified xsi:type="dcterms:W3CDTF">2020-07-01T12:44:00Z</dcterms:modified>
</cp:coreProperties>
</file>