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CB" w:rsidRDefault="006F4ACB" w:rsidP="006F4ACB">
      <w:pPr>
        <w:jc w:val="center"/>
        <w:rPr>
          <w:lang w:val="sq-AL"/>
        </w:rPr>
      </w:pPr>
      <w:r>
        <w:rPr>
          <w:noProof/>
          <w:sz w:val="4"/>
          <w:szCs w:val="4"/>
          <w:lang w:val="el-GR" w:eastAsia="el-GR"/>
        </w:rPr>
        <w:drawing>
          <wp:inline distT="0" distB="0" distL="0" distR="0">
            <wp:extent cx="4095750" cy="2085975"/>
            <wp:effectExtent l="19050" t="0" r="0" b="0"/>
            <wp:docPr id="4"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8" cstate="print"/>
                    <a:srcRect/>
                    <a:stretch>
                      <a:fillRect/>
                    </a:stretch>
                  </pic:blipFill>
                  <pic:spPr bwMode="auto">
                    <a:xfrm>
                      <a:off x="0" y="0"/>
                      <a:ext cx="4095750" cy="2085975"/>
                    </a:xfrm>
                    <a:prstGeom prst="rect">
                      <a:avLst/>
                    </a:prstGeom>
                    <a:noFill/>
                    <a:ln w="9525">
                      <a:noFill/>
                      <a:miter lim="800000"/>
                      <a:headEnd/>
                      <a:tailEnd/>
                    </a:ln>
                  </pic:spPr>
                </pic:pic>
              </a:graphicData>
            </a:graphic>
          </wp:inline>
        </w:drawing>
      </w:r>
    </w:p>
    <w:p w:rsidR="006F4ACB" w:rsidRDefault="006F4ACB" w:rsidP="006F4ACB">
      <w:pPr>
        <w:jc w:val="center"/>
        <w:rPr>
          <w:lang w:val="sq-AL"/>
        </w:rPr>
      </w:pPr>
    </w:p>
    <w:p w:rsidR="006F4ACB" w:rsidRDefault="006F4ACB" w:rsidP="006F4ACB">
      <w:pPr>
        <w:jc w:val="center"/>
        <w:rPr>
          <w:lang w:val="sq-AL"/>
        </w:rPr>
      </w:pPr>
    </w:p>
    <w:p w:rsidR="006F4ACB" w:rsidRDefault="006F4ACB" w:rsidP="006F4ACB">
      <w:pPr>
        <w:jc w:val="center"/>
        <w:rPr>
          <w:lang w:val="sq-AL"/>
        </w:rPr>
      </w:pPr>
    </w:p>
    <w:p w:rsidR="006F4ACB" w:rsidRPr="000A7ADF" w:rsidRDefault="006F4ACB" w:rsidP="006F4ACB">
      <w:pPr>
        <w:jc w:val="center"/>
        <w:rPr>
          <w:lang w:val="sq-AL"/>
        </w:rPr>
      </w:pPr>
      <w:r w:rsidRPr="000A7ADF">
        <w:rPr>
          <w:lang w:val="sq-AL"/>
        </w:rPr>
        <w:t>SEKSIONI I KATERT</w:t>
      </w:r>
    </w:p>
    <w:p w:rsidR="006F4ACB" w:rsidRPr="000A7ADF" w:rsidRDefault="006F4ACB" w:rsidP="006F4ACB">
      <w:pPr>
        <w:jc w:val="center"/>
        <w:rPr>
          <w:lang w:val="sq-AL"/>
        </w:rPr>
      </w:pPr>
    </w:p>
    <w:p w:rsidR="006F4ACB" w:rsidRPr="000A7ADF" w:rsidRDefault="006F4ACB" w:rsidP="006F4ACB">
      <w:pPr>
        <w:jc w:val="center"/>
        <w:rPr>
          <w:lang w:val="sq-AL"/>
        </w:rPr>
      </w:pPr>
    </w:p>
    <w:p w:rsidR="006F4ACB" w:rsidRPr="00E771C2" w:rsidRDefault="006F4ACB" w:rsidP="006F4ACB">
      <w:pPr>
        <w:jc w:val="center"/>
        <w:rPr>
          <w:b/>
          <w:lang w:val="sq-AL"/>
        </w:rPr>
      </w:pPr>
      <w:r w:rsidRPr="00E771C2">
        <w:rPr>
          <w:b/>
          <w:lang w:val="sq-AL"/>
        </w:rPr>
        <w:t>VENDIM MBI</w:t>
      </w:r>
      <w:r>
        <w:rPr>
          <w:b/>
          <w:lang w:val="sq-AL"/>
        </w:rPr>
        <w:t xml:space="preserve"> PRANUESHM</w:t>
      </w:r>
      <w:r w:rsidRPr="00E771C2">
        <w:rPr>
          <w:b/>
          <w:lang w:val="sq-AL"/>
        </w:rPr>
        <w:t xml:space="preserve">ËRINË </w:t>
      </w:r>
    </w:p>
    <w:p w:rsidR="006F4ACB" w:rsidRPr="000A7ADF" w:rsidRDefault="006F4ACB" w:rsidP="006F4ACB">
      <w:pPr>
        <w:jc w:val="center"/>
        <w:rPr>
          <w:b/>
          <w:u w:val="single"/>
          <w:lang w:val="sq-AL"/>
        </w:rPr>
      </w:pPr>
    </w:p>
    <w:p w:rsidR="006F4ACB" w:rsidRDefault="006F4ACB" w:rsidP="006F4ACB">
      <w:pPr>
        <w:jc w:val="center"/>
        <w:rPr>
          <w:lang w:val="sq-AL"/>
        </w:rPr>
      </w:pPr>
      <w:r w:rsidRPr="00E771C2">
        <w:rPr>
          <w:lang w:val="sq-AL"/>
        </w:rPr>
        <w:t>Ankimi nr.24096/05</w:t>
      </w:r>
    </w:p>
    <w:p w:rsidR="006F4ACB" w:rsidRDefault="006F4ACB" w:rsidP="006F4ACB">
      <w:pPr>
        <w:jc w:val="center"/>
        <w:rPr>
          <w:lang w:val="sq-AL"/>
        </w:rPr>
      </w:pPr>
      <w:r>
        <w:rPr>
          <w:lang w:val="sq-AL"/>
        </w:rPr>
        <w:t>Nga Vefa Holding sh.p.k dhe Alimuçaj</w:t>
      </w:r>
    </w:p>
    <w:p w:rsidR="006F4ACB" w:rsidRPr="00E771C2" w:rsidRDefault="006F4ACB" w:rsidP="006F4ACB">
      <w:pPr>
        <w:jc w:val="center"/>
        <w:rPr>
          <w:lang w:val="sq-AL"/>
        </w:rPr>
      </w:pPr>
      <w:r>
        <w:rPr>
          <w:lang w:val="sq-AL"/>
        </w:rPr>
        <w:t>kundër Shqipërisë</w:t>
      </w:r>
    </w:p>
    <w:p w:rsidR="006F4ACB" w:rsidRPr="00E771C2" w:rsidRDefault="006F4ACB" w:rsidP="006F4ACB">
      <w:pPr>
        <w:pStyle w:val="JuPara"/>
        <w:jc w:val="center"/>
        <w:rPr>
          <w:b/>
          <w:sz w:val="22"/>
          <w:lang w:val="sq-AL"/>
        </w:rPr>
      </w:pPr>
    </w:p>
    <w:p w:rsidR="006F4ACB" w:rsidRDefault="006F4ACB" w:rsidP="006F4ACB">
      <w:pPr>
        <w:pStyle w:val="JuPara"/>
        <w:jc w:val="center"/>
        <w:rPr>
          <w:b/>
          <w:sz w:val="22"/>
          <w:lang w:val="sq-AL"/>
        </w:rPr>
      </w:pPr>
    </w:p>
    <w:p w:rsidR="006F4ACB" w:rsidRDefault="006F4ACB" w:rsidP="006F4ACB">
      <w:pPr>
        <w:pStyle w:val="JuPara"/>
        <w:jc w:val="center"/>
        <w:rPr>
          <w:b/>
          <w:sz w:val="22"/>
          <w:lang w:val="sq-AL"/>
        </w:rPr>
      </w:pPr>
    </w:p>
    <w:p w:rsidR="006F4ACB" w:rsidRPr="00E771C2" w:rsidRDefault="006F4ACB" w:rsidP="006F4ACB">
      <w:pPr>
        <w:pStyle w:val="JuPara"/>
        <w:jc w:val="center"/>
        <w:rPr>
          <w:b/>
          <w:sz w:val="22"/>
          <w:lang w:val="sq-AL"/>
        </w:rPr>
      </w:pPr>
    </w:p>
    <w:p w:rsidR="006F4ACB" w:rsidRDefault="006F4ACB" w:rsidP="006F4ACB">
      <w:pPr>
        <w:pStyle w:val="ListParagraph"/>
        <w:ind w:left="0"/>
        <w:jc w:val="both"/>
        <w:rPr>
          <w:lang w:val="sq-AL"/>
        </w:rPr>
      </w:pPr>
    </w:p>
    <w:p w:rsidR="006F4ACB" w:rsidRDefault="006F4ACB" w:rsidP="006F4ACB">
      <w:pPr>
        <w:jc w:val="both"/>
        <w:rPr>
          <w:lang w:val="sq-AL"/>
        </w:rPr>
      </w:pPr>
      <w:r w:rsidRPr="000A7ADF">
        <w:rPr>
          <w:lang w:val="sq-AL"/>
        </w:rPr>
        <w:t xml:space="preserve">Gjykata Europiane e të Drejtave të Njeriut (Seksioni i katërt), në cilësinë e një Dhome të përbërë nga: </w:t>
      </w:r>
    </w:p>
    <w:p w:rsidR="006F4ACB" w:rsidRDefault="006F4ACB" w:rsidP="006F4ACB">
      <w:pPr>
        <w:jc w:val="both"/>
        <w:rPr>
          <w:lang w:val="sq-AL"/>
        </w:rPr>
      </w:pPr>
    </w:p>
    <w:p w:rsidR="006F4ACB" w:rsidRDefault="006F4ACB" w:rsidP="007B4475">
      <w:pPr>
        <w:ind w:left="360" w:firstLine="348"/>
        <w:rPr>
          <w:lang w:val="sq-AL"/>
        </w:rPr>
      </w:pPr>
      <w:r w:rsidRPr="00027922">
        <w:rPr>
          <w:rStyle w:val="JuJudgesChar"/>
          <w:lang w:val="sq-AL"/>
        </w:rPr>
        <w:t>Nicolas Bratza,</w:t>
      </w:r>
      <w:r w:rsidRPr="00027922">
        <w:rPr>
          <w:rStyle w:val="JuJudgesChar"/>
          <w:i/>
          <w:lang w:val="sq-AL"/>
        </w:rPr>
        <w:t xml:space="preserve"> </w:t>
      </w:r>
      <w:r>
        <w:rPr>
          <w:rStyle w:val="JuJudgesChar"/>
          <w:i/>
          <w:lang w:val="sq-AL"/>
        </w:rPr>
        <w:t>Kryetar</w:t>
      </w:r>
      <w:r w:rsidRPr="00027922">
        <w:rPr>
          <w:rStyle w:val="JuJudgesChar"/>
          <w:i/>
          <w:lang w:val="sq-AL"/>
        </w:rPr>
        <w:t>,</w:t>
      </w:r>
      <w:r w:rsidRPr="00027922">
        <w:rPr>
          <w:rStyle w:val="JuJudgesChar"/>
          <w:i/>
          <w:lang w:val="sq-AL"/>
        </w:rPr>
        <w:br/>
      </w:r>
      <w:r w:rsidRPr="00027922">
        <w:rPr>
          <w:rStyle w:val="JuJudgesChar"/>
          <w:lang w:val="sq-AL"/>
        </w:rPr>
        <w:tab/>
        <w:t>Lech Garlicki,</w:t>
      </w:r>
      <w:r w:rsidRPr="00027922">
        <w:rPr>
          <w:rStyle w:val="JuJudgesChar"/>
          <w:i/>
          <w:lang w:val="sq-AL"/>
        </w:rPr>
        <w:br/>
      </w:r>
      <w:r w:rsidRPr="00027922">
        <w:rPr>
          <w:rStyle w:val="JuJudgesChar"/>
          <w:lang w:val="sq-AL"/>
        </w:rPr>
        <w:tab/>
        <w:t>Ljiljana Mijović,</w:t>
      </w:r>
      <w:r w:rsidRPr="00027922">
        <w:rPr>
          <w:rStyle w:val="JuJudgesChar"/>
          <w:i/>
          <w:lang w:val="sq-AL"/>
        </w:rPr>
        <w:br/>
      </w:r>
      <w:r w:rsidRPr="00027922">
        <w:rPr>
          <w:rStyle w:val="JuJudgesChar"/>
          <w:lang w:val="sq-AL"/>
        </w:rPr>
        <w:tab/>
        <w:t>Ján Šikuta,</w:t>
      </w:r>
      <w:r w:rsidRPr="00027922">
        <w:rPr>
          <w:rStyle w:val="JuJudgesChar"/>
          <w:i/>
          <w:lang w:val="sq-AL"/>
        </w:rPr>
        <w:br/>
      </w:r>
      <w:r w:rsidRPr="00027922">
        <w:rPr>
          <w:rStyle w:val="JuJudgesChar"/>
          <w:lang w:val="sq-AL"/>
        </w:rPr>
        <w:tab/>
        <w:t>Päivi Hirvelä,</w:t>
      </w:r>
      <w:r w:rsidRPr="00027922">
        <w:rPr>
          <w:rStyle w:val="JuJudgesChar"/>
          <w:i/>
          <w:lang w:val="sq-AL"/>
        </w:rPr>
        <w:br/>
      </w:r>
      <w:r w:rsidRPr="00027922">
        <w:rPr>
          <w:rStyle w:val="JuJudgesChar"/>
          <w:lang w:val="sq-AL"/>
        </w:rPr>
        <w:tab/>
        <w:t>Zdravka Kalaydjieva,</w:t>
      </w:r>
      <w:r w:rsidRPr="00027922">
        <w:rPr>
          <w:rStyle w:val="JuJudgesChar"/>
          <w:i/>
          <w:lang w:val="sq-AL"/>
        </w:rPr>
        <w:br/>
      </w:r>
      <w:r w:rsidRPr="00027922">
        <w:rPr>
          <w:rStyle w:val="JuJudgesChar"/>
          <w:lang w:val="sq-AL"/>
        </w:rPr>
        <w:tab/>
        <w:t>Nebojša Vučinić,</w:t>
      </w:r>
      <w:r w:rsidRPr="00027922">
        <w:rPr>
          <w:rStyle w:val="JuJudgesChar"/>
          <w:i/>
          <w:lang w:val="sq-AL"/>
        </w:rPr>
        <w:t xml:space="preserve"> </w:t>
      </w:r>
      <w:r>
        <w:rPr>
          <w:rStyle w:val="JuJudgesChar"/>
          <w:i/>
          <w:lang w:val="sq-AL"/>
        </w:rPr>
        <w:t>gjyqtarë</w:t>
      </w:r>
      <w:r w:rsidRPr="00027922">
        <w:rPr>
          <w:rStyle w:val="JuJudgesChar"/>
          <w:i/>
          <w:lang w:val="sq-AL"/>
        </w:rPr>
        <w:t>,</w:t>
      </w:r>
      <w:r w:rsidRPr="00027922">
        <w:rPr>
          <w:lang w:val="sq-AL"/>
        </w:rPr>
        <w:br/>
      </w:r>
      <w:r w:rsidR="007B4475">
        <w:rPr>
          <w:lang w:val="sq-AL"/>
        </w:rPr>
        <w:t xml:space="preserve">     </w:t>
      </w:r>
      <w:r w:rsidRPr="00027922">
        <w:rPr>
          <w:lang w:val="sq-AL"/>
        </w:rPr>
        <w:t>and</w:t>
      </w:r>
      <w:r w:rsidRPr="00027922">
        <w:rPr>
          <w:szCs w:val="24"/>
          <w:lang w:val="sq-AL"/>
        </w:rPr>
        <w:t xml:space="preserve"> </w:t>
      </w:r>
      <w:r w:rsidRPr="00027922">
        <w:rPr>
          <w:lang w:val="sq-AL"/>
        </w:rPr>
        <w:t xml:space="preserve">Fatoş Aracı, </w:t>
      </w:r>
      <w:r>
        <w:rPr>
          <w:lang w:val="sq-AL"/>
        </w:rPr>
        <w:t xml:space="preserve"> </w:t>
      </w:r>
      <w:r w:rsidRPr="00D25C21">
        <w:rPr>
          <w:i/>
          <w:lang w:val="sq-AL"/>
        </w:rPr>
        <w:t>Z</w:t>
      </w:r>
      <w:r>
        <w:rPr>
          <w:i/>
          <w:lang w:val="sq-AL"/>
        </w:rPr>
        <w:t>ë</w:t>
      </w:r>
      <w:r w:rsidRPr="00D25C21">
        <w:rPr>
          <w:i/>
          <w:lang w:val="sq-AL"/>
        </w:rPr>
        <w:t>vend</w:t>
      </w:r>
      <w:r>
        <w:rPr>
          <w:i/>
          <w:lang w:val="sq-AL"/>
        </w:rPr>
        <w:t>ë</w:t>
      </w:r>
      <w:r w:rsidRPr="00D25C21">
        <w:rPr>
          <w:i/>
          <w:lang w:val="sq-AL"/>
        </w:rPr>
        <w:t>s</w:t>
      </w:r>
      <w:r>
        <w:rPr>
          <w:rStyle w:val="JuJudgesChar"/>
          <w:i/>
          <w:iCs/>
          <w:lang w:val="sq-AL"/>
        </w:rPr>
        <w:t>r</w:t>
      </w:r>
      <w:r w:rsidRPr="000A7ADF">
        <w:rPr>
          <w:rStyle w:val="JuJudgesChar"/>
          <w:i/>
          <w:iCs/>
          <w:lang w:val="sq-AL"/>
        </w:rPr>
        <w:t>egjistrues i Seksionit</w:t>
      </w:r>
      <w:r w:rsidRPr="000A7ADF">
        <w:rPr>
          <w:lang w:val="sq-AL"/>
        </w:rPr>
        <w:t>,</w:t>
      </w:r>
    </w:p>
    <w:p w:rsidR="006F4ACB" w:rsidRPr="00A5591B" w:rsidRDefault="006F4ACB" w:rsidP="007B4475">
      <w:pPr>
        <w:rPr>
          <w:szCs w:val="24"/>
          <w:lang w:val="sq-AL"/>
        </w:rPr>
      </w:pPr>
      <w:r>
        <w:rPr>
          <w:lang w:val="sq-AL"/>
        </w:rPr>
        <w:t>Duke pasur parasysh ankimin e mësipërm depozituar më 2 Qershor 2005,</w:t>
      </w:r>
    </w:p>
    <w:p w:rsidR="006F4ACB" w:rsidRPr="00027922" w:rsidRDefault="006F4ACB" w:rsidP="007B4475">
      <w:pPr>
        <w:pStyle w:val="JuJudges"/>
        <w:rPr>
          <w:lang w:val="sq-AL"/>
        </w:rPr>
      </w:pPr>
      <w:r>
        <w:rPr>
          <w:lang w:val="sq-AL"/>
        </w:rPr>
        <w:t xml:space="preserve">Duke pasur parasysh vëzhgimet e parashtruara nga Qeveria e paditur dhe vëzhgimet        </w:t>
      </w:r>
    </w:p>
    <w:p w:rsidR="006F4ACB" w:rsidRDefault="006F4ACB" w:rsidP="007B4475">
      <w:pPr>
        <w:ind w:firstLine="708"/>
        <w:jc w:val="both"/>
        <w:rPr>
          <w:lang w:val="sq-AL"/>
        </w:rPr>
      </w:pPr>
      <w:r>
        <w:rPr>
          <w:lang w:val="sq-AL"/>
        </w:rPr>
        <w:t xml:space="preserve">në përgjigje të parashtruara nga ankuesit, </w:t>
      </w:r>
    </w:p>
    <w:p w:rsidR="006F4ACB" w:rsidRPr="000A7ADF" w:rsidRDefault="006F4ACB" w:rsidP="007B4475">
      <w:pPr>
        <w:ind w:firstLine="708"/>
        <w:jc w:val="both"/>
        <w:rPr>
          <w:lang w:val="sq-AL"/>
        </w:rPr>
      </w:pPr>
      <w:r>
        <w:rPr>
          <w:lang w:val="sq-AL"/>
        </w:rPr>
        <w:t>Pas shqy</w:t>
      </w:r>
      <w:r w:rsidR="007B4475">
        <w:rPr>
          <w:lang w:val="sq-AL"/>
        </w:rPr>
        <w:t>rtimit, vendosi si më poshtë:</w:t>
      </w:r>
    </w:p>
    <w:p w:rsidR="006F4ACB" w:rsidRPr="000A7ADF" w:rsidRDefault="006F4ACB" w:rsidP="006F4ACB">
      <w:pPr>
        <w:pStyle w:val="JuPara"/>
        <w:rPr>
          <w:lang w:val="sq-AL"/>
        </w:rPr>
      </w:pPr>
    </w:p>
    <w:p w:rsidR="006F4ACB" w:rsidRDefault="006F4ACB" w:rsidP="006F4ACB">
      <w:pPr>
        <w:jc w:val="both"/>
        <w:rPr>
          <w:lang w:val="sq-AL"/>
        </w:rPr>
      </w:pPr>
    </w:p>
    <w:p w:rsidR="006F4ACB" w:rsidRDefault="006F4ACB" w:rsidP="006F4ACB">
      <w:pPr>
        <w:jc w:val="both"/>
        <w:rPr>
          <w:lang w:val="sq-AL"/>
        </w:rPr>
      </w:pPr>
    </w:p>
    <w:p w:rsidR="006F4ACB" w:rsidRDefault="006F4ACB" w:rsidP="006F4ACB">
      <w:pPr>
        <w:jc w:val="both"/>
        <w:rPr>
          <w:lang w:val="sq-AL"/>
        </w:rPr>
      </w:pPr>
    </w:p>
    <w:p w:rsidR="006F4ACB" w:rsidRDefault="006F4ACB" w:rsidP="006F4ACB">
      <w:pPr>
        <w:jc w:val="both"/>
        <w:rPr>
          <w:lang w:val="sq-AL"/>
        </w:rPr>
      </w:pPr>
    </w:p>
    <w:p w:rsidR="006F4ACB" w:rsidRDefault="006F4ACB" w:rsidP="006F4ACB">
      <w:pPr>
        <w:jc w:val="both"/>
        <w:rPr>
          <w:lang w:val="sq-AL"/>
        </w:rPr>
      </w:pPr>
    </w:p>
    <w:p w:rsidR="006F4ACB" w:rsidRPr="000A7ADF" w:rsidRDefault="006F4ACB" w:rsidP="006F4ACB">
      <w:pPr>
        <w:jc w:val="both"/>
        <w:rPr>
          <w:lang w:val="sq-AL"/>
        </w:rPr>
      </w:pPr>
    </w:p>
    <w:p w:rsidR="006F4ACB" w:rsidRDefault="00970745" w:rsidP="006F4ACB">
      <w:pPr>
        <w:jc w:val="both"/>
        <w:rPr>
          <w:lang w:val="sq-AL"/>
        </w:rPr>
      </w:pPr>
      <w:r>
        <w:rPr>
          <w:lang w:val="sq-AL"/>
        </w:rPr>
        <w:lastRenderedPageBreak/>
        <w:t>FAKTE</w:t>
      </w:r>
      <w:bookmarkStart w:id="0" w:name="_GoBack"/>
      <w:bookmarkEnd w:id="0"/>
    </w:p>
    <w:p w:rsidR="00A31CC6" w:rsidRPr="000A7ADF" w:rsidRDefault="00A31CC6" w:rsidP="006F4ACB">
      <w:pPr>
        <w:jc w:val="both"/>
        <w:rPr>
          <w:lang w:val="sq-AL"/>
        </w:rPr>
      </w:pPr>
    </w:p>
    <w:p w:rsidR="006F4ACB" w:rsidRPr="000A7ADF" w:rsidRDefault="006F4ACB" w:rsidP="006F4ACB">
      <w:pPr>
        <w:ind w:left="360"/>
        <w:jc w:val="both"/>
        <w:rPr>
          <w:lang w:val="sq-AL"/>
        </w:rPr>
      </w:pPr>
    </w:p>
    <w:p w:rsidR="006F4ACB" w:rsidRDefault="006F4ACB" w:rsidP="000409D4">
      <w:pPr>
        <w:pStyle w:val="ListParagraph"/>
        <w:numPr>
          <w:ilvl w:val="0"/>
          <w:numId w:val="1"/>
        </w:numPr>
        <w:tabs>
          <w:tab w:val="left" w:pos="90"/>
        </w:tabs>
        <w:ind w:left="0" w:firstLine="360"/>
        <w:jc w:val="both"/>
        <w:rPr>
          <w:lang w:val="sq-AL"/>
        </w:rPr>
      </w:pPr>
      <w:r w:rsidRPr="00E33C9E">
        <w:rPr>
          <w:lang w:val="sq-AL"/>
        </w:rPr>
        <w:t>Shoq</w:t>
      </w:r>
      <w:r>
        <w:rPr>
          <w:lang w:val="sq-AL"/>
        </w:rPr>
        <w:t>ë</w:t>
      </w:r>
      <w:r w:rsidR="005A2155">
        <w:rPr>
          <w:lang w:val="sq-AL"/>
        </w:rPr>
        <w:t>ria ankuese, Vefa Holding s</w:t>
      </w:r>
      <w:r w:rsidRPr="00E33C9E">
        <w:rPr>
          <w:lang w:val="sq-AL"/>
        </w:rPr>
        <w:t xml:space="preserve">h.p.k, </w:t>
      </w:r>
      <w:r>
        <w:rPr>
          <w:lang w:val="sq-AL"/>
        </w:rPr>
        <w:t>ë</w:t>
      </w:r>
      <w:r w:rsidRPr="00E33C9E">
        <w:rPr>
          <w:lang w:val="sq-AL"/>
        </w:rPr>
        <w:t>sht</w:t>
      </w:r>
      <w:r>
        <w:rPr>
          <w:lang w:val="sq-AL"/>
        </w:rPr>
        <w:t>ë</w:t>
      </w:r>
      <w:r w:rsidRPr="00E33C9E">
        <w:rPr>
          <w:lang w:val="sq-AL"/>
        </w:rPr>
        <w:t xml:space="preserve"> nj</w:t>
      </w:r>
      <w:r>
        <w:rPr>
          <w:lang w:val="sq-AL"/>
        </w:rPr>
        <w:t>ë</w:t>
      </w:r>
      <w:r w:rsidRPr="00E33C9E">
        <w:rPr>
          <w:lang w:val="sq-AL"/>
        </w:rPr>
        <w:t xml:space="preserve"> shoq</w:t>
      </w:r>
      <w:r>
        <w:rPr>
          <w:lang w:val="sq-AL"/>
        </w:rPr>
        <w:t>ë</w:t>
      </w:r>
      <w:r w:rsidRPr="00E33C9E">
        <w:rPr>
          <w:lang w:val="sq-AL"/>
        </w:rPr>
        <w:t>ri me p</w:t>
      </w:r>
      <w:r>
        <w:rPr>
          <w:lang w:val="sq-AL"/>
        </w:rPr>
        <w:t>ë</w:t>
      </w:r>
      <w:r w:rsidRPr="00E33C9E">
        <w:rPr>
          <w:lang w:val="sq-AL"/>
        </w:rPr>
        <w:t>rgjegj</w:t>
      </w:r>
      <w:r>
        <w:rPr>
          <w:lang w:val="sq-AL"/>
        </w:rPr>
        <w:t>ë</w:t>
      </w:r>
      <w:r w:rsidRPr="00E33C9E">
        <w:rPr>
          <w:lang w:val="sq-AL"/>
        </w:rPr>
        <w:t>si t</w:t>
      </w:r>
      <w:r>
        <w:rPr>
          <w:lang w:val="sq-AL"/>
        </w:rPr>
        <w:t>ë</w:t>
      </w:r>
      <w:r w:rsidRPr="00E33C9E">
        <w:rPr>
          <w:lang w:val="sq-AL"/>
        </w:rPr>
        <w:t xml:space="preserve"> kufizuar, aktualisht n</w:t>
      </w:r>
      <w:r>
        <w:rPr>
          <w:lang w:val="sq-AL"/>
        </w:rPr>
        <w:t>ë</w:t>
      </w:r>
      <w:r w:rsidRPr="00E33C9E">
        <w:rPr>
          <w:lang w:val="sq-AL"/>
        </w:rPr>
        <w:t xml:space="preserve"> administrim t</w:t>
      </w:r>
      <w:r>
        <w:rPr>
          <w:lang w:val="sq-AL"/>
        </w:rPr>
        <w:t>ë</w:t>
      </w:r>
      <w:r w:rsidR="009C7D11">
        <w:rPr>
          <w:lang w:val="sq-AL"/>
        </w:rPr>
        <w:t xml:space="preserve"> kufizuar, me zyrë të regjistruar</w:t>
      </w:r>
      <w:r w:rsidRPr="00E33C9E">
        <w:rPr>
          <w:lang w:val="sq-AL"/>
        </w:rPr>
        <w:t xml:space="preserve"> n</w:t>
      </w:r>
      <w:r>
        <w:rPr>
          <w:lang w:val="sq-AL"/>
        </w:rPr>
        <w:t>ë</w:t>
      </w:r>
      <w:r w:rsidRPr="00E33C9E">
        <w:rPr>
          <w:lang w:val="sq-AL"/>
        </w:rPr>
        <w:t xml:space="preserve"> Tiran</w:t>
      </w:r>
      <w:r>
        <w:rPr>
          <w:lang w:val="sq-AL"/>
        </w:rPr>
        <w:t>ë</w:t>
      </w:r>
      <w:r w:rsidRPr="00E33C9E">
        <w:rPr>
          <w:lang w:val="sq-AL"/>
        </w:rPr>
        <w:t>, Shqip</w:t>
      </w:r>
      <w:r>
        <w:rPr>
          <w:lang w:val="sq-AL"/>
        </w:rPr>
        <w:t>ë</w:t>
      </w:r>
      <w:r w:rsidRPr="00E33C9E">
        <w:rPr>
          <w:lang w:val="sq-AL"/>
        </w:rPr>
        <w:t xml:space="preserve">ri. Ankimi </w:t>
      </w:r>
      <w:r>
        <w:rPr>
          <w:lang w:val="sq-AL"/>
        </w:rPr>
        <w:t>ë</w:t>
      </w:r>
      <w:r w:rsidRPr="00E33C9E">
        <w:rPr>
          <w:lang w:val="sq-AL"/>
        </w:rPr>
        <w:t>sht</w:t>
      </w:r>
      <w:r>
        <w:rPr>
          <w:lang w:val="sq-AL"/>
        </w:rPr>
        <w:t>ë</w:t>
      </w:r>
      <w:r w:rsidRPr="00E33C9E">
        <w:rPr>
          <w:lang w:val="sq-AL"/>
        </w:rPr>
        <w:t xml:space="preserve"> paraqitur n</w:t>
      </w:r>
      <w:r>
        <w:rPr>
          <w:lang w:val="sq-AL"/>
        </w:rPr>
        <w:t>ë</w:t>
      </w:r>
      <w:r w:rsidRPr="00E33C9E">
        <w:rPr>
          <w:lang w:val="sq-AL"/>
        </w:rPr>
        <w:t xml:space="preserve"> em</w:t>
      </w:r>
      <w:r>
        <w:rPr>
          <w:lang w:val="sq-AL"/>
        </w:rPr>
        <w:t>ë</w:t>
      </w:r>
      <w:r w:rsidRPr="00E33C9E">
        <w:rPr>
          <w:lang w:val="sq-AL"/>
        </w:rPr>
        <w:t>r t</w:t>
      </w:r>
      <w:r>
        <w:rPr>
          <w:lang w:val="sq-AL"/>
        </w:rPr>
        <w:t>ë</w:t>
      </w:r>
      <w:r w:rsidRPr="00E33C9E">
        <w:rPr>
          <w:lang w:val="sq-AL"/>
        </w:rPr>
        <w:t xml:space="preserve"> saj nga Z. Vehbi Alimu</w:t>
      </w:r>
      <w:r>
        <w:rPr>
          <w:lang w:val="sq-AL"/>
        </w:rPr>
        <w:t>ç</w:t>
      </w:r>
      <w:r w:rsidRPr="00E33C9E">
        <w:rPr>
          <w:lang w:val="sq-AL"/>
        </w:rPr>
        <w:t>aj, nj</w:t>
      </w:r>
      <w:r>
        <w:rPr>
          <w:lang w:val="sq-AL"/>
        </w:rPr>
        <w:t>ë</w:t>
      </w:r>
      <w:r w:rsidRPr="00E33C9E">
        <w:rPr>
          <w:lang w:val="sq-AL"/>
        </w:rPr>
        <w:t xml:space="preserve"> shtetas Shqiptar i cili ka lindur n</w:t>
      </w:r>
      <w:r>
        <w:rPr>
          <w:lang w:val="sq-AL"/>
        </w:rPr>
        <w:t>ë</w:t>
      </w:r>
      <w:r w:rsidRPr="00E33C9E">
        <w:rPr>
          <w:lang w:val="sq-AL"/>
        </w:rPr>
        <w:t xml:space="preserve"> </w:t>
      </w:r>
      <w:r w:rsidR="009C7D11">
        <w:rPr>
          <w:lang w:val="sq-AL"/>
        </w:rPr>
        <w:t xml:space="preserve">vitin </w:t>
      </w:r>
      <w:r w:rsidRPr="00E33C9E">
        <w:rPr>
          <w:lang w:val="sq-AL"/>
        </w:rPr>
        <w:t>1949 dhe vuan d</w:t>
      </w:r>
      <w:r>
        <w:rPr>
          <w:lang w:val="sq-AL"/>
        </w:rPr>
        <w:t>ë</w:t>
      </w:r>
      <w:r w:rsidRPr="00E33C9E">
        <w:rPr>
          <w:lang w:val="sq-AL"/>
        </w:rPr>
        <w:t>nimin me burgim n</w:t>
      </w:r>
      <w:r>
        <w:rPr>
          <w:lang w:val="sq-AL"/>
        </w:rPr>
        <w:t>ë</w:t>
      </w:r>
      <w:r w:rsidR="00F83BB7">
        <w:rPr>
          <w:lang w:val="sq-AL"/>
        </w:rPr>
        <w:t xml:space="preserve"> burgu</w:t>
      </w:r>
      <w:r w:rsidRPr="00E33C9E">
        <w:rPr>
          <w:lang w:val="sq-AL"/>
        </w:rPr>
        <w:t>n e Peqinit (“ankuesi individual”). Z. Alimu</w:t>
      </w:r>
      <w:r>
        <w:rPr>
          <w:lang w:val="sq-AL"/>
        </w:rPr>
        <w:t>ç</w:t>
      </w:r>
      <w:r w:rsidRPr="00E33C9E">
        <w:rPr>
          <w:lang w:val="sq-AL"/>
        </w:rPr>
        <w:t>aj ishte presidenti i shoq</w:t>
      </w:r>
      <w:r>
        <w:rPr>
          <w:lang w:val="sq-AL"/>
        </w:rPr>
        <w:t>ë</w:t>
      </w:r>
      <w:r w:rsidRPr="00E33C9E">
        <w:rPr>
          <w:lang w:val="sq-AL"/>
        </w:rPr>
        <w:t>ris</w:t>
      </w:r>
      <w:r>
        <w:rPr>
          <w:lang w:val="sq-AL"/>
        </w:rPr>
        <w:t>ë</w:t>
      </w:r>
      <w:r w:rsidRPr="00E33C9E">
        <w:rPr>
          <w:lang w:val="sq-AL"/>
        </w:rPr>
        <w:t xml:space="preserve"> ankuese dhe aksioneri i vet</w:t>
      </w:r>
      <w:r>
        <w:rPr>
          <w:lang w:val="sq-AL"/>
        </w:rPr>
        <w:t>ë</w:t>
      </w:r>
      <w:r w:rsidRPr="00E33C9E">
        <w:rPr>
          <w:lang w:val="sq-AL"/>
        </w:rPr>
        <w:t xml:space="preserve">m </w:t>
      </w:r>
      <w:r w:rsidR="001A1F3B">
        <w:rPr>
          <w:lang w:val="sq-AL"/>
        </w:rPr>
        <w:t xml:space="preserve">i saj </w:t>
      </w:r>
      <w:r w:rsidRPr="00E33C9E">
        <w:rPr>
          <w:lang w:val="sq-AL"/>
        </w:rPr>
        <w:t>deri kur ajo u vendos n</w:t>
      </w:r>
      <w:r>
        <w:rPr>
          <w:lang w:val="sq-AL"/>
        </w:rPr>
        <w:t>ë</w:t>
      </w:r>
      <w:r w:rsidRPr="00E33C9E">
        <w:rPr>
          <w:lang w:val="sq-AL"/>
        </w:rPr>
        <w:t xml:space="preserve"> administrim t</w:t>
      </w:r>
      <w:r>
        <w:rPr>
          <w:lang w:val="sq-AL"/>
        </w:rPr>
        <w:t>ë</w:t>
      </w:r>
      <w:r w:rsidRPr="00E33C9E">
        <w:rPr>
          <w:lang w:val="sq-AL"/>
        </w:rPr>
        <w:t xml:space="preserve"> detyruar. </w:t>
      </w:r>
    </w:p>
    <w:p w:rsidR="006F4ACB" w:rsidRDefault="006F4ACB" w:rsidP="000409D4">
      <w:pPr>
        <w:pStyle w:val="ListParagraph"/>
        <w:numPr>
          <w:ilvl w:val="0"/>
          <w:numId w:val="1"/>
        </w:numPr>
        <w:tabs>
          <w:tab w:val="left" w:pos="90"/>
        </w:tabs>
        <w:ind w:left="0" w:firstLine="360"/>
        <w:jc w:val="both"/>
        <w:rPr>
          <w:lang w:val="sq-AL"/>
        </w:rPr>
      </w:pPr>
      <w:r>
        <w:rPr>
          <w:lang w:val="sq-AL"/>
        </w:rPr>
        <w:t>Ankuesit u përfaqësuan para Gjykat</w:t>
      </w:r>
      <w:r w:rsidR="00D02B1D">
        <w:rPr>
          <w:lang w:val="sq-AL"/>
        </w:rPr>
        <w:t>ës nga Z. Sh. Dizdari, avokat i cili</w:t>
      </w:r>
      <w:r>
        <w:rPr>
          <w:lang w:val="sq-AL"/>
        </w:rPr>
        <w:t xml:space="preserve"> ushtron profesionin në Tiranë. Qeveria Shqiptare (“Qeveria”) </w:t>
      </w:r>
      <w:r w:rsidR="005A2155">
        <w:rPr>
          <w:lang w:val="sq-AL"/>
        </w:rPr>
        <w:t>u përfaqësua nga Agjentja e saj</w:t>
      </w:r>
      <w:r>
        <w:rPr>
          <w:lang w:val="sq-AL"/>
        </w:rPr>
        <w:t xml:space="preserve">, Znj. E. Hajro </w:t>
      </w:r>
      <w:r w:rsidR="00E06488">
        <w:rPr>
          <w:lang w:val="sq-AL"/>
        </w:rPr>
        <w:t>nga Avokatura e</w:t>
      </w:r>
      <w:r>
        <w:rPr>
          <w:lang w:val="sq-AL"/>
        </w:rPr>
        <w:t xml:space="preserve"> Shtetit. </w:t>
      </w:r>
    </w:p>
    <w:p w:rsidR="006F4ACB" w:rsidRDefault="006F4ACB" w:rsidP="006F4ACB">
      <w:pPr>
        <w:tabs>
          <w:tab w:val="left" w:pos="90"/>
        </w:tabs>
        <w:jc w:val="both"/>
        <w:rPr>
          <w:lang w:val="sq-AL"/>
        </w:rPr>
      </w:pPr>
    </w:p>
    <w:p w:rsidR="006F4ACB" w:rsidRDefault="006F4ACB" w:rsidP="000409D4">
      <w:pPr>
        <w:pStyle w:val="ListParagraph"/>
        <w:numPr>
          <w:ilvl w:val="0"/>
          <w:numId w:val="2"/>
        </w:numPr>
        <w:tabs>
          <w:tab w:val="left" w:pos="90"/>
        </w:tabs>
        <w:jc w:val="both"/>
        <w:rPr>
          <w:b/>
          <w:lang w:val="sq-AL"/>
        </w:rPr>
      </w:pPr>
      <w:r w:rsidRPr="00E33C9E">
        <w:rPr>
          <w:b/>
          <w:lang w:val="sq-AL"/>
        </w:rPr>
        <w:t xml:space="preserve">Rrethanat e </w:t>
      </w:r>
      <w:r>
        <w:rPr>
          <w:b/>
          <w:lang w:val="sq-AL"/>
        </w:rPr>
        <w:t>çë</w:t>
      </w:r>
      <w:r w:rsidRPr="00E33C9E">
        <w:rPr>
          <w:b/>
          <w:lang w:val="sq-AL"/>
        </w:rPr>
        <w:t>shtjes</w:t>
      </w:r>
    </w:p>
    <w:p w:rsidR="006F4ACB" w:rsidRPr="00E33C9E" w:rsidRDefault="006F4ACB" w:rsidP="006F4ACB">
      <w:pPr>
        <w:tabs>
          <w:tab w:val="left" w:pos="90"/>
        </w:tabs>
        <w:ind w:left="270"/>
        <w:jc w:val="both"/>
        <w:rPr>
          <w:b/>
          <w:lang w:val="sq-AL"/>
        </w:rPr>
      </w:pPr>
    </w:p>
    <w:p w:rsidR="006F4ACB" w:rsidRDefault="006F4ACB" w:rsidP="000409D4">
      <w:pPr>
        <w:pStyle w:val="ListParagraph"/>
        <w:numPr>
          <w:ilvl w:val="0"/>
          <w:numId w:val="1"/>
        </w:numPr>
        <w:tabs>
          <w:tab w:val="left" w:pos="90"/>
        </w:tabs>
        <w:ind w:left="0" w:firstLine="360"/>
        <w:jc w:val="both"/>
        <w:rPr>
          <w:lang w:val="sq-AL"/>
        </w:rPr>
      </w:pPr>
      <w:r>
        <w:rPr>
          <w:lang w:val="sq-AL"/>
        </w:rPr>
        <w:t>Faktet e çështjes, siç u parashtruan nga palët, mund t</w:t>
      </w:r>
      <w:r w:rsidR="00D02B1D">
        <w:rPr>
          <w:lang w:val="sq-AL"/>
        </w:rPr>
        <w:t>ë</w:t>
      </w:r>
      <w:r>
        <w:rPr>
          <w:lang w:val="sq-AL"/>
        </w:rPr>
        <w:t xml:space="preserve"> përmblidhen si më poshtë vijon.</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Ankuesi individual ishte pronari i shoqërisë ankuese, e cila fillimisht u krijua si një </w:t>
      </w:r>
      <w:r w:rsidRPr="004B23DE">
        <w:rPr>
          <w:lang w:val="sq-AL"/>
        </w:rPr>
        <w:t xml:space="preserve">shoqëri </w:t>
      </w:r>
      <w:r>
        <w:rPr>
          <w:lang w:val="sq-AL"/>
        </w:rPr>
        <w:t>tr</w:t>
      </w:r>
      <w:r w:rsidR="00D02B1D">
        <w:rPr>
          <w:lang w:val="sq-AL"/>
        </w:rPr>
        <w:t>egtare më 28 Gusht 1992. Objekti</w:t>
      </w:r>
      <w:r>
        <w:rPr>
          <w:lang w:val="sq-AL"/>
        </w:rPr>
        <w:t xml:space="preserve"> i aktivitetit të saj u zgjerua në mënyrë progresive me kalimin e viteve si rezultat i së cilës ajo ndryshoi emrin e saj </w:t>
      </w:r>
      <w:r w:rsidRPr="004B23DE">
        <w:rPr>
          <w:lang w:val="sq-AL"/>
        </w:rPr>
        <w:t>të regjistruar</w:t>
      </w:r>
      <w:r w:rsidR="00D02B1D">
        <w:rPr>
          <w:lang w:val="sq-AL"/>
        </w:rPr>
        <w:t xml:space="preserve"> dhe objektin</w:t>
      </w:r>
      <w:r>
        <w:rPr>
          <w:lang w:val="sq-AL"/>
        </w:rPr>
        <w:t xml:space="preserve"> e aktivitetit respektivisht më 14 Dhjetor 1993, 10 Dhjetor 1994 dhe 3 Shkurt 1997, duke u njohur dhe regjistruar përfundimisht si “Vefa Holding sh.p.k”. Për shkak të </w:t>
      </w:r>
      <w:r w:rsidR="00D02B1D">
        <w:rPr>
          <w:lang w:val="sq-AL"/>
        </w:rPr>
        <w:t>pavull</w:t>
      </w:r>
      <w:r w:rsidR="00240CAF">
        <w:rPr>
          <w:lang w:val="sq-AL"/>
        </w:rPr>
        <w:t>netshm</w:t>
      </w:r>
      <w:r w:rsidR="00D02B1D">
        <w:rPr>
          <w:lang w:val="sq-AL"/>
        </w:rPr>
        <w:t>ë</w:t>
      </w:r>
      <w:r w:rsidR="00240CAF">
        <w:rPr>
          <w:lang w:val="sq-AL"/>
        </w:rPr>
        <w:t>ri</w:t>
      </w:r>
      <w:r w:rsidR="00D02B1D">
        <w:rPr>
          <w:lang w:val="sq-AL"/>
        </w:rPr>
        <w:t>së</w:t>
      </w:r>
      <w:r w:rsidR="005F5CD4">
        <w:rPr>
          <w:lang w:val="sq-AL"/>
        </w:rPr>
        <w:t xml:space="preserve"> s</w:t>
      </w:r>
      <w:r>
        <w:rPr>
          <w:lang w:val="sq-AL"/>
        </w:rPr>
        <w:t xml:space="preserve">ë bankave tregtare për të siguruar burime financiare për zgjerimin e saj, shoqëria ankuese hyri në kontrata huaje me individë. Dukej se nga viti 1994 deri në vitin 1997 shoqëria ankuese vazhdoi të merrte para </w:t>
      </w:r>
      <w:r w:rsidR="005F5CD4">
        <w:rPr>
          <w:lang w:val="sq-AL"/>
        </w:rPr>
        <w:t>hua me qëllim që të vazhdonte</w:t>
      </w:r>
      <w:r>
        <w:rPr>
          <w:lang w:val="sq-AL"/>
        </w:rPr>
        <w:t xml:space="preserve"> </w:t>
      </w:r>
      <w:r w:rsidR="003117C5">
        <w:rPr>
          <w:lang w:val="sq-AL"/>
        </w:rPr>
        <w:t xml:space="preserve">me </w:t>
      </w:r>
      <w:r>
        <w:rPr>
          <w:lang w:val="sq-AL"/>
        </w:rPr>
        <w:t>planet e saj të investimit.</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Në vitin 1997 Shqipëria u godit nga një trazirë civile në shkallë të gjerë, e cila u nxit nga rënia e të ashtëquajturave skema piramidale të cilat ishin krijuar gjatë viteve të mëparshme. </w:t>
      </w:r>
    </w:p>
    <w:p w:rsidR="006F4ACB" w:rsidRDefault="006F4ACB" w:rsidP="006F4ACB">
      <w:pPr>
        <w:pStyle w:val="ListParagraph"/>
        <w:tabs>
          <w:tab w:val="left" w:pos="90"/>
        </w:tabs>
        <w:ind w:left="360"/>
        <w:jc w:val="both"/>
        <w:rPr>
          <w:lang w:val="sq-AL"/>
        </w:rPr>
      </w:pPr>
    </w:p>
    <w:p w:rsidR="006F4ACB" w:rsidRDefault="006F4ACB" w:rsidP="000409D4">
      <w:pPr>
        <w:pStyle w:val="ListParagraph"/>
        <w:numPr>
          <w:ilvl w:val="0"/>
          <w:numId w:val="2"/>
        </w:numPr>
        <w:tabs>
          <w:tab w:val="left" w:pos="90"/>
        </w:tabs>
        <w:jc w:val="both"/>
        <w:rPr>
          <w:b/>
          <w:lang w:val="sq-AL"/>
        </w:rPr>
      </w:pPr>
      <w:r w:rsidRPr="00C44812">
        <w:rPr>
          <w:b/>
          <w:lang w:val="sq-AL"/>
        </w:rPr>
        <w:t>Procedurat e administrimit t</w:t>
      </w:r>
      <w:r>
        <w:rPr>
          <w:b/>
          <w:lang w:val="sq-AL"/>
        </w:rPr>
        <w:t>ë</w:t>
      </w:r>
      <w:r w:rsidRPr="00C44812">
        <w:rPr>
          <w:b/>
          <w:lang w:val="sq-AL"/>
        </w:rPr>
        <w:t xml:space="preserve"> detyruar</w:t>
      </w:r>
    </w:p>
    <w:p w:rsidR="006F4ACB" w:rsidRPr="00C44812" w:rsidRDefault="006F4ACB" w:rsidP="006F4ACB">
      <w:pPr>
        <w:tabs>
          <w:tab w:val="left" w:pos="90"/>
        </w:tabs>
        <w:ind w:left="270"/>
        <w:jc w:val="both"/>
        <w:rPr>
          <w:b/>
          <w:lang w:val="sq-AL"/>
        </w:rPr>
      </w:pPr>
    </w:p>
    <w:p w:rsidR="006F4ACB" w:rsidRDefault="006F4ACB" w:rsidP="000409D4">
      <w:pPr>
        <w:pStyle w:val="ListParagraph"/>
        <w:numPr>
          <w:ilvl w:val="0"/>
          <w:numId w:val="1"/>
        </w:numPr>
        <w:tabs>
          <w:tab w:val="left" w:pos="90"/>
        </w:tabs>
        <w:ind w:left="0" w:firstLine="360"/>
        <w:jc w:val="both"/>
        <w:rPr>
          <w:lang w:val="sq-AL"/>
        </w:rPr>
      </w:pPr>
      <w:r>
        <w:rPr>
          <w:lang w:val="sq-AL"/>
        </w:rPr>
        <w:t>Shteti ndërhyri për të rivendosur rendin publik dhe miratoi legjislacionin.</w:t>
      </w:r>
    </w:p>
    <w:p w:rsidR="006F4ACB" w:rsidRDefault="006F4ACB" w:rsidP="000409D4">
      <w:pPr>
        <w:pStyle w:val="ListParagraph"/>
        <w:numPr>
          <w:ilvl w:val="0"/>
          <w:numId w:val="1"/>
        </w:numPr>
        <w:tabs>
          <w:tab w:val="left" w:pos="90"/>
        </w:tabs>
        <w:ind w:left="0" w:firstLine="360"/>
        <w:jc w:val="both"/>
        <w:rPr>
          <w:lang w:val="sq-AL"/>
        </w:rPr>
      </w:pPr>
      <w:r>
        <w:rPr>
          <w:lang w:val="sq-AL"/>
        </w:rPr>
        <w:t>Më 23 Janar 1997 hyri në fuqi Ligji i Ndalimit të Skemave Piramidale (shih më poshtë</w:t>
      </w:r>
      <w:r w:rsidR="00030445">
        <w:rPr>
          <w:lang w:val="sq-AL"/>
        </w:rPr>
        <w:t xml:space="preserve"> “E drejta dhe praktika</w:t>
      </w:r>
      <w:r w:rsidR="0003470D">
        <w:rPr>
          <w:lang w:val="sq-AL"/>
        </w:rPr>
        <w:t xml:space="preserve"> </w:t>
      </w:r>
      <w:r w:rsidR="00C70652">
        <w:rPr>
          <w:lang w:val="sq-AL"/>
        </w:rPr>
        <w:t xml:space="preserve">përkatëse </w:t>
      </w:r>
      <w:r w:rsidR="00030445">
        <w:rPr>
          <w:lang w:val="sq-AL"/>
        </w:rPr>
        <w:t>vendase”). Ligji nuk lejoi që dy ankuesit</w:t>
      </w:r>
      <w:r>
        <w:rPr>
          <w:lang w:val="sq-AL"/>
        </w:rPr>
        <w:t xml:space="preserve"> të </w:t>
      </w:r>
      <w:r w:rsidR="0003470D">
        <w:rPr>
          <w:lang w:val="sq-AL"/>
        </w:rPr>
        <w:t xml:space="preserve">vazhdonin të </w:t>
      </w:r>
      <w:r>
        <w:rPr>
          <w:lang w:val="sq-AL"/>
        </w:rPr>
        <w:t>hyni</w:t>
      </w:r>
      <w:r w:rsidR="0003470D">
        <w:rPr>
          <w:lang w:val="sq-AL"/>
        </w:rPr>
        <w:t>n në kontratë huaje me individë</w:t>
      </w:r>
      <w:r>
        <w:rPr>
          <w:lang w:val="sq-AL"/>
        </w:rPr>
        <w:t xml:space="preserve"> për të ndjekur investimet e shoqërisë. </w:t>
      </w:r>
    </w:p>
    <w:p w:rsidR="006F4ACB" w:rsidRDefault="006F4ACB" w:rsidP="000409D4">
      <w:pPr>
        <w:pStyle w:val="ListParagraph"/>
        <w:numPr>
          <w:ilvl w:val="0"/>
          <w:numId w:val="1"/>
        </w:numPr>
        <w:tabs>
          <w:tab w:val="left" w:pos="90"/>
        </w:tabs>
        <w:ind w:left="0" w:firstLine="360"/>
        <w:jc w:val="both"/>
        <w:rPr>
          <w:lang w:val="sq-AL"/>
        </w:rPr>
      </w:pPr>
      <w:r>
        <w:rPr>
          <w:lang w:val="sq-AL"/>
        </w:rPr>
        <w:t>M</w:t>
      </w:r>
      <w:r w:rsidR="0003470D">
        <w:rPr>
          <w:lang w:val="sq-AL"/>
        </w:rPr>
        <w:t>ë</w:t>
      </w:r>
      <w:r>
        <w:rPr>
          <w:lang w:val="sq-AL"/>
        </w:rPr>
        <w:t xml:space="preserve"> 9 Maj 1997 hyri në fuqi Ligji </w:t>
      </w:r>
      <w:r w:rsidR="0003470D">
        <w:rPr>
          <w:lang w:val="sq-AL"/>
        </w:rPr>
        <w:t>për Kontrollin Financiar</w:t>
      </w:r>
      <w:r>
        <w:rPr>
          <w:lang w:val="sq-AL"/>
        </w:rPr>
        <w:t xml:space="preserve"> të </w:t>
      </w:r>
      <w:r w:rsidRPr="00C44812">
        <w:rPr>
          <w:color w:val="000000" w:themeColor="text1"/>
          <w:lang w:val="sq-AL"/>
        </w:rPr>
        <w:t>Personave</w:t>
      </w:r>
      <w:r>
        <w:rPr>
          <w:lang w:val="sq-AL"/>
        </w:rPr>
        <w:t xml:space="preserve"> </w:t>
      </w:r>
      <w:r w:rsidR="0003470D">
        <w:rPr>
          <w:lang w:val="sq-AL"/>
        </w:rPr>
        <w:t xml:space="preserve">Juridikë </w:t>
      </w:r>
      <w:r w:rsidR="007D0730">
        <w:rPr>
          <w:lang w:val="sq-AL"/>
        </w:rPr>
        <w:t>Jo-bankarë (“Ligji nr. 1”). Ligji</w:t>
      </w:r>
      <w:r>
        <w:rPr>
          <w:lang w:val="sq-AL"/>
        </w:rPr>
        <w:t xml:space="preserve"> nr.</w:t>
      </w:r>
      <w:r w:rsidR="007D0730">
        <w:rPr>
          <w:lang w:val="sq-AL"/>
        </w:rPr>
        <w:t xml:space="preserve"> 1 pësoi një s</w:t>
      </w:r>
      <w:r>
        <w:rPr>
          <w:lang w:val="sq-AL"/>
        </w:rPr>
        <w:t>ër</w:t>
      </w:r>
      <w:r w:rsidR="007D0730">
        <w:rPr>
          <w:lang w:val="sq-AL"/>
        </w:rPr>
        <w:t>ë</w:t>
      </w:r>
      <w:r>
        <w:rPr>
          <w:lang w:val="sq-AL"/>
        </w:rPr>
        <w:t xml:space="preserve"> ndryshimesh siç paraqiten në nenin më posht</w:t>
      </w:r>
      <w:r w:rsidR="00030445">
        <w:rPr>
          <w:lang w:val="sq-AL"/>
        </w:rPr>
        <w:t>ë “E drejta dhe praktika</w:t>
      </w:r>
      <w:r w:rsidR="009568F9">
        <w:rPr>
          <w:lang w:val="sq-AL"/>
        </w:rPr>
        <w:t xml:space="preserve"> </w:t>
      </w:r>
      <w:r w:rsidR="00C70652">
        <w:rPr>
          <w:lang w:val="sq-AL"/>
        </w:rPr>
        <w:t xml:space="preserve">përkatëse </w:t>
      </w:r>
      <w:r w:rsidR="00030445">
        <w:rPr>
          <w:lang w:val="sq-AL"/>
        </w:rPr>
        <w:t>vendase</w:t>
      </w:r>
      <w:r>
        <w:rPr>
          <w:lang w:val="sq-AL"/>
        </w:rPr>
        <w:t>”.</w:t>
      </w:r>
    </w:p>
    <w:p w:rsidR="006F4ACB" w:rsidRDefault="006F4ACB" w:rsidP="000409D4">
      <w:pPr>
        <w:pStyle w:val="ListParagraph"/>
        <w:numPr>
          <w:ilvl w:val="0"/>
          <w:numId w:val="1"/>
        </w:numPr>
        <w:tabs>
          <w:tab w:val="left" w:pos="90"/>
        </w:tabs>
        <w:ind w:left="0" w:firstLine="360"/>
        <w:jc w:val="both"/>
        <w:rPr>
          <w:lang w:val="sq-AL"/>
        </w:rPr>
      </w:pPr>
      <w:r>
        <w:rPr>
          <w:lang w:val="sq-AL"/>
        </w:rPr>
        <w:t>Më 22 Gusht 1997 Qeveria vendosi që shoqëria ankuese t</w:t>
      </w:r>
      <w:r w:rsidR="00030445">
        <w:rPr>
          <w:lang w:val="sq-AL"/>
        </w:rPr>
        <w:t>’</w:t>
      </w:r>
      <w:r>
        <w:rPr>
          <w:lang w:val="sq-AL"/>
        </w:rPr>
        <w:t xml:space="preserve">i nënshtrohej një kontrolli </w:t>
      </w:r>
      <w:r w:rsidR="00030445">
        <w:rPr>
          <w:lang w:val="sq-AL"/>
        </w:rPr>
        <w:t xml:space="preserve">financiar </w:t>
      </w:r>
      <w:r>
        <w:rPr>
          <w:lang w:val="sq-AL"/>
        </w:rPr>
        <w:t xml:space="preserve">sipas nenit 5 të Ligjit për Kontrollin </w:t>
      </w:r>
      <w:r w:rsidR="00030445">
        <w:rPr>
          <w:lang w:val="sq-AL"/>
        </w:rPr>
        <w:t>Financiar të</w:t>
      </w:r>
      <w:r>
        <w:rPr>
          <w:lang w:val="sq-AL"/>
        </w:rPr>
        <w:t xml:space="preserve"> Personave </w:t>
      </w:r>
      <w:r w:rsidR="00030445">
        <w:rPr>
          <w:lang w:val="sq-AL"/>
        </w:rPr>
        <w:t xml:space="preserve">Juridikë </w:t>
      </w:r>
      <w:r>
        <w:rPr>
          <w:lang w:val="sq-AL"/>
        </w:rPr>
        <w:t>Jo-bankarë (“</w:t>
      </w:r>
      <w:r w:rsidRPr="004B23DE">
        <w:rPr>
          <w:lang w:val="sq-AL"/>
        </w:rPr>
        <w:t>Ligji nr.2</w:t>
      </w:r>
      <w:r>
        <w:rPr>
          <w:lang w:val="sq-AL"/>
        </w:rPr>
        <w:t xml:space="preserve">”). Prandaj ajo caktoi tre administratorë </w:t>
      </w:r>
      <w:r w:rsidR="00030445">
        <w:rPr>
          <w:lang w:val="sq-AL"/>
        </w:rPr>
        <w:t>Shqiptarë. Vendimi nuk përmendi</w:t>
      </w:r>
      <w:r>
        <w:rPr>
          <w:lang w:val="sq-AL"/>
        </w:rPr>
        <w:t xml:space="preserve"> asnjë argument të veçant</w:t>
      </w:r>
      <w:r w:rsidR="00030445">
        <w:rPr>
          <w:lang w:val="sq-AL"/>
        </w:rPr>
        <w:t>ë</w:t>
      </w:r>
      <w:r>
        <w:rPr>
          <w:lang w:val="sq-AL"/>
        </w:rPr>
        <w:t xml:space="preserve"> ligjor referuar në nenin 5, në të cilin u bazua Qeveria.</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Në një datë të pacaktuar në vitin 1997 shoqëria ankuese apeloi kundër vendimit të Qev</w:t>
      </w:r>
      <w:r w:rsidR="003117C5">
        <w:rPr>
          <w:lang w:val="sq-AL"/>
        </w:rPr>
        <w:t>erisë të datës 22 Gusht 1997 në Gjykatën e</w:t>
      </w:r>
      <w:r>
        <w:rPr>
          <w:lang w:val="sq-AL"/>
        </w:rPr>
        <w:t xml:space="preserve"> Apelit Tiranë (“Gjykata e Apelit”).</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Më 17 Shtator 1997 Gjykata e Apelit prishi vendimin dhe urdhëroi pezullimin e masës së administrimit të detyruar. Ajo konstatoi se nuk ekzistonte </w:t>
      </w:r>
      <w:r w:rsidR="003953D3">
        <w:rPr>
          <w:lang w:val="sq-AL"/>
        </w:rPr>
        <w:t xml:space="preserve">asnjë </w:t>
      </w:r>
      <w:r>
        <w:rPr>
          <w:lang w:val="sq-AL"/>
        </w:rPr>
        <w:t xml:space="preserve">interes publik për caktimin e administratorëve. </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Më 28 Tetor 1997 Qeveria konfirmoi tre administratorët e njëjtë </w:t>
      </w:r>
      <w:r w:rsidR="007E67C4">
        <w:rPr>
          <w:lang w:val="sq-AL"/>
        </w:rPr>
        <w:t>që kishte caktuar</w:t>
      </w:r>
      <w:r>
        <w:rPr>
          <w:lang w:val="sq-AL"/>
        </w:rPr>
        <w:t xml:space="preserve"> në vendimin e saj të mëparshëm të datës 22 Gusht 1997, duke mos dhënë arsye të mëtejshme sipas nenit 5 të </w:t>
      </w:r>
      <w:r w:rsidRPr="00C60EA1">
        <w:rPr>
          <w:lang w:val="sq-AL"/>
        </w:rPr>
        <w:t>Ligjit nr. 2.</w:t>
      </w:r>
    </w:p>
    <w:p w:rsidR="006F4ACB" w:rsidRPr="00A8523C" w:rsidRDefault="006F4ACB" w:rsidP="000409D4">
      <w:pPr>
        <w:pStyle w:val="ListParagraph"/>
        <w:numPr>
          <w:ilvl w:val="0"/>
          <w:numId w:val="1"/>
        </w:numPr>
        <w:tabs>
          <w:tab w:val="left" w:pos="90"/>
        </w:tabs>
        <w:ind w:left="0" w:firstLine="360"/>
        <w:jc w:val="both"/>
        <w:rPr>
          <w:lang w:val="sq-AL"/>
        </w:rPr>
      </w:pPr>
      <w:r>
        <w:rPr>
          <w:lang w:val="sq-AL"/>
        </w:rPr>
        <w:lastRenderedPageBreak/>
        <w:t xml:space="preserve">   Më</w:t>
      </w:r>
      <w:r w:rsidR="007E67C4">
        <w:rPr>
          <w:lang w:val="sq-AL"/>
        </w:rPr>
        <w:t xml:space="preserve"> 6 Nëntor 1997 Qeveria lidhi </w:t>
      </w:r>
      <w:r>
        <w:rPr>
          <w:lang w:val="sq-AL"/>
        </w:rPr>
        <w:t xml:space="preserve">kontratë për shërbimet me një shoqëri ndërkombëtare, D, e cila duhej të zëvendësonte tre administratorët individualë dhe të vepronte si një administrator i vetëm i shoqërisë ankuese. Sipas </w:t>
      </w:r>
      <w:r w:rsidRPr="007E67C4">
        <w:rPr>
          <w:lang w:val="sq-AL"/>
        </w:rPr>
        <w:t xml:space="preserve">termave të </w:t>
      </w:r>
      <w:r w:rsidR="00240CAF" w:rsidRPr="007E67C4">
        <w:rPr>
          <w:lang w:val="sq-AL"/>
        </w:rPr>
        <w:t>p</w:t>
      </w:r>
      <w:r w:rsidR="007E67C4" w:rsidRPr="007E67C4">
        <w:rPr>
          <w:lang w:val="sq-AL"/>
        </w:rPr>
        <w:t>ë</w:t>
      </w:r>
      <w:r w:rsidR="00240CAF" w:rsidRPr="007E67C4">
        <w:rPr>
          <w:lang w:val="sq-AL"/>
        </w:rPr>
        <w:t>rcaktuara</w:t>
      </w:r>
      <w:r w:rsidRPr="007E67C4">
        <w:rPr>
          <w:lang w:val="sq-AL"/>
        </w:rPr>
        <w:t>,</w:t>
      </w:r>
      <w:r>
        <w:rPr>
          <w:color w:val="FF0000"/>
          <w:lang w:val="sq-AL"/>
        </w:rPr>
        <w:t xml:space="preserve"> </w:t>
      </w:r>
      <w:r>
        <w:rPr>
          <w:color w:val="000000" w:themeColor="text1"/>
          <w:lang w:val="sq-AL"/>
        </w:rPr>
        <w:t xml:space="preserve">detyrat e D-së duhej të kryheshin në dy faza. Gjatë fazës së parë, </w:t>
      </w:r>
      <w:r w:rsidRPr="004B717E">
        <w:rPr>
          <w:i/>
          <w:color w:val="000000" w:themeColor="text1"/>
          <w:lang w:val="sq-AL"/>
        </w:rPr>
        <w:t>inter alia</w:t>
      </w:r>
      <w:r>
        <w:rPr>
          <w:i/>
          <w:color w:val="000000" w:themeColor="text1"/>
          <w:lang w:val="sq-AL"/>
        </w:rPr>
        <w:t xml:space="preserve"> </w:t>
      </w:r>
      <w:r>
        <w:rPr>
          <w:color w:val="000000" w:themeColor="text1"/>
          <w:lang w:val="sq-AL"/>
        </w:rPr>
        <w:t>, D duhej të merrte kontrollin e shoqërisë ankuese, të ushtronte të gjitha kompetencat dhe të drejtat e caktuara në shoqëri, duke përfshirë kompetencën për të vazhduar bizne</w:t>
      </w:r>
      <w:r w:rsidR="00663F11">
        <w:rPr>
          <w:color w:val="000000" w:themeColor="text1"/>
          <w:lang w:val="sq-AL"/>
        </w:rPr>
        <w:t>sin e saj, për të paguar borxhet, për të ndërprerë aktivitetet</w:t>
      </w:r>
      <w:r>
        <w:rPr>
          <w:color w:val="000000" w:themeColor="text1"/>
          <w:lang w:val="sq-AL"/>
        </w:rPr>
        <w:t>, për të shitur asetet d</w:t>
      </w:r>
      <w:r w:rsidR="00663F11">
        <w:rPr>
          <w:color w:val="000000" w:themeColor="text1"/>
          <w:lang w:val="sq-AL"/>
        </w:rPr>
        <w:t>he për të mbajtur, pezulluar apo</w:t>
      </w:r>
      <w:r>
        <w:rPr>
          <w:color w:val="000000" w:themeColor="text1"/>
          <w:lang w:val="sq-AL"/>
        </w:rPr>
        <w:t xml:space="preserve"> zëve</w:t>
      </w:r>
      <w:r w:rsidR="00663F11">
        <w:rPr>
          <w:color w:val="000000" w:themeColor="text1"/>
          <w:lang w:val="sq-AL"/>
        </w:rPr>
        <w:t>ndësuar stafin ose</w:t>
      </w:r>
      <w:r>
        <w:rPr>
          <w:color w:val="000000" w:themeColor="text1"/>
          <w:lang w:val="sq-AL"/>
        </w:rPr>
        <w:t xml:space="preserve"> menaxherët. Do të përpilohej një inventar për asetet e shoqërisë ankuese dhe </w:t>
      </w:r>
      <w:r w:rsidR="00663F11">
        <w:rPr>
          <w:color w:val="000000" w:themeColor="text1"/>
          <w:lang w:val="sq-AL"/>
        </w:rPr>
        <w:t>do t</w:t>
      </w:r>
      <w:r w:rsidR="00663F11">
        <w:rPr>
          <w:lang w:val="sq-AL"/>
        </w:rPr>
        <w:t>ë</w:t>
      </w:r>
      <w:r w:rsidR="00663F11">
        <w:rPr>
          <w:color w:val="000000" w:themeColor="text1"/>
          <w:lang w:val="sq-AL"/>
        </w:rPr>
        <w:t xml:space="preserve"> p</w:t>
      </w:r>
      <w:r w:rsidR="00663F11">
        <w:rPr>
          <w:lang w:val="sq-AL"/>
        </w:rPr>
        <w:t>ë</w:t>
      </w:r>
      <w:r w:rsidR="00663F11">
        <w:rPr>
          <w:color w:val="000000" w:themeColor="text1"/>
          <w:lang w:val="sq-AL"/>
        </w:rPr>
        <w:t xml:space="preserve">rgatitej një plan veprimi </w:t>
      </w:r>
      <w:r>
        <w:rPr>
          <w:color w:val="000000" w:themeColor="text1"/>
          <w:lang w:val="sq-AL"/>
        </w:rPr>
        <w:t xml:space="preserve">për rimëkëmbjen e aseteve. Do të kryhej një kontroll nga </w:t>
      </w:r>
      <w:r w:rsidR="00C60EA1">
        <w:rPr>
          <w:color w:val="000000" w:themeColor="text1"/>
          <w:lang w:val="sq-AL"/>
        </w:rPr>
        <w:t>ekspert</w:t>
      </w:r>
      <w:r w:rsidR="00663F11">
        <w:rPr>
          <w:lang w:val="sq-AL"/>
        </w:rPr>
        <w:t>ë</w:t>
      </w:r>
      <w:r w:rsidR="00C60EA1">
        <w:rPr>
          <w:color w:val="000000" w:themeColor="text1"/>
          <w:lang w:val="sq-AL"/>
        </w:rPr>
        <w:t xml:space="preserve"> kontab</w:t>
      </w:r>
      <w:r w:rsidR="00663F11">
        <w:rPr>
          <w:lang w:val="sq-AL"/>
        </w:rPr>
        <w:t>ë</w:t>
      </w:r>
      <w:r w:rsidR="00C60EA1">
        <w:rPr>
          <w:color w:val="000000" w:themeColor="text1"/>
          <w:lang w:val="sq-AL"/>
        </w:rPr>
        <w:t>l</w:t>
      </w:r>
      <w:r>
        <w:rPr>
          <w:color w:val="000000" w:themeColor="text1"/>
          <w:lang w:val="sq-AL"/>
        </w:rPr>
        <w:t xml:space="preserve"> cilësorë të cilët do të caktoheshin nga Qeveria. Gjatë fa</w:t>
      </w:r>
      <w:r w:rsidR="00663F11">
        <w:rPr>
          <w:color w:val="000000" w:themeColor="text1"/>
          <w:lang w:val="sq-AL"/>
        </w:rPr>
        <w:t xml:space="preserve">zës së dytë, D do të zbatonte </w:t>
      </w:r>
      <w:r>
        <w:rPr>
          <w:color w:val="000000" w:themeColor="text1"/>
          <w:lang w:val="sq-AL"/>
        </w:rPr>
        <w:t>plan</w:t>
      </w:r>
      <w:r w:rsidR="00663F11">
        <w:rPr>
          <w:color w:val="000000" w:themeColor="text1"/>
          <w:lang w:val="sq-AL"/>
        </w:rPr>
        <w:t>in</w:t>
      </w:r>
      <w:r>
        <w:rPr>
          <w:color w:val="000000" w:themeColor="text1"/>
          <w:lang w:val="sq-AL"/>
        </w:rPr>
        <w:t xml:space="preserve"> </w:t>
      </w:r>
      <w:r w:rsidR="00663F11">
        <w:rPr>
          <w:color w:val="000000" w:themeColor="text1"/>
          <w:lang w:val="sq-AL"/>
        </w:rPr>
        <w:t xml:space="preserve">e </w:t>
      </w:r>
      <w:r>
        <w:rPr>
          <w:color w:val="000000" w:themeColor="text1"/>
          <w:lang w:val="sq-AL"/>
        </w:rPr>
        <w:t>veprimi</w:t>
      </w:r>
      <w:r w:rsidR="00663F11">
        <w:rPr>
          <w:color w:val="000000" w:themeColor="text1"/>
          <w:lang w:val="sq-AL"/>
        </w:rPr>
        <w:t>t</w:t>
      </w:r>
      <w:r>
        <w:rPr>
          <w:color w:val="000000" w:themeColor="text1"/>
          <w:lang w:val="sq-AL"/>
        </w:rPr>
        <w:t xml:space="preserve"> për rimëkëmbjen e aseteve duke përfshirë shitjen e tyre, do të depozitonte të githa fit</w:t>
      </w:r>
      <w:r w:rsidR="00663F11">
        <w:rPr>
          <w:color w:val="000000" w:themeColor="text1"/>
          <w:lang w:val="sq-AL"/>
        </w:rPr>
        <w:t>imet e rimëkëmbjes së aseteve pran</w:t>
      </w:r>
      <w:r w:rsidR="00663F11">
        <w:rPr>
          <w:lang w:val="sq-AL"/>
        </w:rPr>
        <w:t>ë</w:t>
      </w:r>
      <w:r>
        <w:rPr>
          <w:color w:val="000000" w:themeColor="text1"/>
          <w:lang w:val="sq-AL"/>
        </w:rPr>
        <w:t xml:space="preserve"> </w:t>
      </w:r>
      <w:r w:rsidR="00663F11" w:rsidRPr="00663F11">
        <w:rPr>
          <w:lang w:val="sq-AL"/>
        </w:rPr>
        <w:t>subjekti</w:t>
      </w:r>
      <w:r w:rsidR="003117C5">
        <w:rPr>
          <w:lang w:val="sq-AL"/>
        </w:rPr>
        <w:t>t</w:t>
      </w:r>
      <w:r w:rsidR="00663F11" w:rsidRPr="00663F11">
        <w:rPr>
          <w:lang w:val="sq-AL"/>
        </w:rPr>
        <w:t xml:space="preserve"> të </w:t>
      </w:r>
      <w:r w:rsidRPr="00663F11">
        <w:rPr>
          <w:lang w:val="sq-AL"/>
        </w:rPr>
        <w:t>caktuar nga Qeveria</w:t>
      </w:r>
      <w:r>
        <w:rPr>
          <w:color w:val="000000" w:themeColor="text1"/>
          <w:lang w:val="sq-AL"/>
        </w:rPr>
        <w:t>, do të asistonte në procesin e rishpërndarjes, do të bashk</w:t>
      </w:r>
      <w:r w:rsidR="003117C5">
        <w:rPr>
          <w:color w:val="000000" w:themeColor="text1"/>
          <w:lang w:val="sq-AL"/>
        </w:rPr>
        <w:t>ë</w:t>
      </w:r>
      <w:r>
        <w:rPr>
          <w:color w:val="000000" w:themeColor="text1"/>
          <w:lang w:val="sq-AL"/>
        </w:rPr>
        <w:t xml:space="preserve">punonte në përgatitjen e një kontrolli </w:t>
      </w:r>
      <w:r w:rsidR="00663F11">
        <w:rPr>
          <w:color w:val="000000" w:themeColor="text1"/>
          <w:lang w:val="sq-AL"/>
        </w:rPr>
        <w:t xml:space="preserve">financiar </w:t>
      </w:r>
      <w:r>
        <w:rPr>
          <w:color w:val="000000" w:themeColor="text1"/>
          <w:lang w:val="sq-AL"/>
        </w:rPr>
        <w:t xml:space="preserve">për </w:t>
      </w:r>
      <w:r w:rsidR="00240CAF">
        <w:rPr>
          <w:color w:val="000000" w:themeColor="text1"/>
          <w:lang w:val="sq-AL"/>
        </w:rPr>
        <w:t>situat</w:t>
      </w:r>
      <w:r w:rsidR="003117C5">
        <w:rPr>
          <w:color w:val="000000" w:themeColor="text1"/>
          <w:lang w:val="sq-AL"/>
        </w:rPr>
        <w:t>ë</w:t>
      </w:r>
      <w:r w:rsidR="00240CAF">
        <w:rPr>
          <w:color w:val="000000" w:themeColor="text1"/>
          <w:lang w:val="sq-AL"/>
        </w:rPr>
        <w:t>n</w:t>
      </w:r>
      <w:r>
        <w:rPr>
          <w:color w:val="000000" w:themeColor="text1"/>
          <w:lang w:val="sq-AL"/>
        </w:rPr>
        <w:t xml:space="preserve"> </w:t>
      </w:r>
      <w:r w:rsidRPr="00663F11">
        <w:rPr>
          <w:lang w:val="sq-AL"/>
        </w:rPr>
        <w:t>e mbylljes</w:t>
      </w:r>
      <w:r>
        <w:rPr>
          <w:color w:val="000000" w:themeColor="text1"/>
          <w:lang w:val="sq-AL"/>
        </w:rPr>
        <w:t xml:space="preserve"> dhe do të përgatiste një raport përfundimtar për Qeverinë.</w:t>
      </w:r>
    </w:p>
    <w:p w:rsidR="006F4ACB" w:rsidRPr="00A8523C" w:rsidRDefault="006F4ACB" w:rsidP="000409D4">
      <w:pPr>
        <w:pStyle w:val="ListParagraph"/>
        <w:numPr>
          <w:ilvl w:val="0"/>
          <w:numId w:val="1"/>
        </w:numPr>
        <w:tabs>
          <w:tab w:val="left" w:pos="90"/>
        </w:tabs>
        <w:ind w:left="0" w:firstLine="360"/>
        <w:jc w:val="both"/>
        <w:rPr>
          <w:lang w:val="sq-AL"/>
        </w:rPr>
      </w:pPr>
      <w:r>
        <w:rPr>
          <w:color w:val="000000" w:themeColor="text1"/>
          <w:lang w:val="sq-AL"/>
        </w:rPr>
        <w:t xml:space="preserve">  Në një datë të pacaktuar në vitin 1997 ankuesi individual kundërshtoi nenin 7 të Ligjit nr. 2</w:t>
      </w:r>
      <w:r w:rsidR="00663F11">
        <w:rPr>
          <w:color w:val="000000" w:themeColor="text1"/>
          <w:lang w:val="sq-AL"/>
        </w:rPr>
        <w:t xml:space="preserve"> para Gjykatës Kushtetuese, meqe</w:t>
      </w:r>
      <w:r>
        <w:rPr>
          <w:color w:val="000000" w:themeColor="text1"/>
          <w:lang w:val="sq-AL"/>
        </w:rPr>
        <w:t>nëse</w:t>
      </w:r>
      <w:r w:rsidR="00962C75">
        <w:rPr>
          <w:color w:val="000000" w:themeColor="text1"/>
          <w:lang w:val="sq-AL"/>
        </w:rPr>
        <w:t xml:space="preserve"> autorizonte administratorët</w:t>
      </w:r>
      <w:r w:rsidR="003117C5">
        <w:rPr>
          <w:color w:val="000000" w:themeColor="text1"/>
          <w:lang w:val="sq-AL"/>
        </w:rPr>
        <w:t xml:space="preserve"> ta</w:t>
      </w:r>
      <w:r>
        <w:rPr>
          <w:color w:val="000000" w:themeColor="text1"/>
          <w:lang w:val="sq-AL"/>
        </w:rPr>
        <w:t xml:space="preserve"> zëvendësonin atë dhe të merrnin përsipër të gjitha të drejtat e pronës të cilat ishin  </w:t>
      </w:r>
      <w:r w:rsidRPr="00A8523C">
        <w:rPr>
          <w:i/>
          <w:color w:val="000000" w:themeColor="text1"/>
          <w:lang w:val="sq-AL"/>
        </w:rPr>
        <w:t>stricto senso</w:t>
      </w:r>
      <w:r>
        <w:rPr>
          <w:color w:val="000000" w:themeColor="text1"/>
          <w:lang w:val="sq-AL"/>
        </w:rPr>
        <w:t xml:space="preserve"> të lidhura me pronësinë e tij të shoqërisë ankuese.</w:t>
      </w:r>
    </w:p>
    <w:p w:rsidR="006F4ACB" w:rsidRPr="00541281" w:rsidRDefault="006F4ACB" w:rsidP="000409D4">
      <w:pPr>
        <w:pStyle w:val="ListParagraph"/>
        <w:numPr>
          <w:ilvl w:val="0"/>
          <w:numId w:val="1"/>
        </w:numPr>
        <w:tabs>
          <w:tab w:val="left" w:pos="90"/>
        </w:tabs>
        <w:ind w:left="0" w:firstLine="360"/>
        <w:jc w:val="both"/>
        <w:rPr>
          <w:lang w:val="sq-AL"/>
        </w:rPr>
      </w:pPr>
      <w:r>
        <w:rPr>
          <w:color w:val="000000" w:themeColor="text1"/>
          <w:lang w:val="sq-AL"/>
        </w:rPr>
        <w:t xml:space="preserve">  Më 13 Nëntor 1</w:t>
      </w:r>
      <w:r w:rsidR="00C5663D">
        <w:rPr>
          <w:color w:val="000000" w:themeColor="text1"/>
          <w:lang w:val="sq-AL"/>
        </w:rPr>
        <w:t>997 Gjykata Kushtetuese shpalli</w:t>
      </w:r>
      <w:r>
        <w:rPr>
          <w:color w:val="000000" w:themeColor="text1"/>
          <w:lang w:val="sq-AL"/>
        </w:rPr>
        <w:t xml:space="preserve"> </w:t>
      </w:r>
      <w:r w:rsidR="000B0F36">
        <w:rPr>
          <w:color w:val="000000" w:themeColor="text1"/>
          <w:lang w:val="sq-AL"/>
        </w:rPr>
        <w:t xml:space="preserve">jokushtetues </w:t>
      </w:r>
      <w:r>
        <w:rPr>
          <w:color w:val="000000" w:themeColor="text1"/>
          <w:lang w:val="sq-AL"/>
        </w:rPr>
        <w:t>nenin 7 të Ligjit nr. 2. Ajo konstatoi se duke i caktuar administrat</w:t>
      </w:r>
      <w:r w:rsidR="00BE6ED1">
        <w:rPr>
          <w:color w:val="000000" w:themeColor="text1"/>
          <w:lang w:val="sq-AL"/>
        </w:rPr>
        <w:t>orëve disa detyra, si ndërprerjen</w:t>
      </w:r>
      <w:r>
        <w:rPr>
          <w:color w:val="000000" w:themeColor="text1"/>
          <w:lang w:val="sq-AL"/>
        </w:rPr>
        <w:t xml:space="preserve"> e detyrimeve kontraktuale, menaxhimi</w:t>
      </w:r>
      <w:r w:rsidR="00BE6ED1">
        <w:rPr>
          <w:color w:val="000000" w:themeColor="text1"/>
          <w:lang w:val="sq-AL"/>
        </w:rPr>
        <w:t>n e aktiviteteve</w:t>
      </w:r>
      <w:r>
        <w:rPr>
          <w:color w:val="000000" w:themeColor="text1"/>
          <w:lang w:val="sq-AL"/>
        </w:rPr>
        <w:t xml:space="preserve"> të</w:t>
      </w:r>
      <w:r w:rsidR="00BE6ED1">
        <w:rPr>
          <w:color w:val="000000" w:themeColor="text1"/>
          <w:lang w:val="sq-AL"/>
        </w:rPr>
        <w:t xml:space="preserve"> biznesit dhe pronës së subjektit</w:t>
      </w:r>
      <w:r>
        <w:rPr>
          <w:color w:val="000000" w:themeColor="text1"/>
          <w:lang w:val="sq-AL"/>
        </w:rPr>
        <w:t>, ushtrimi</w:t>
      </w:r>
      <w:r w:rsidR="00BE6ED1">
        <w:rPr>
          <w:color w:val="000000" w:themeColor="text1"/>
          <w:lang w:val="sq-AL"/>
        </w:rPr>
        <w:t>n e</w:t>
      </w:r>
      <w:r>
        <w:rPr>
          <w:color w:val="000000" w:themeColor="text1"/>
          <w:lang w:val="sq-AL"/>
        </w:rPr>
        <w:t xml:space="preserve"> t</w:t>
      </w:r>
      <w:r w:rsidR="00BE6ED1">
        <w:rPr>
          <w:lang w:val="sq-AL"/>
        </w:rPr>
        <w:t>ë</w:t>
      </w:r>
      <w:r>
        <w:rPr>
          <w:color w:val="000000" w:themeColor="text1"/>
          <w:lang w:val="sq-AL"/>
        </w:rPr>
        <w:t xml:space="preserve"> d</w:t>
      </w:r>
      <w:r w:rsidR="00BE6ED1">
        <w:rPr>
          <w:color w:val="000000" w:themeColor="text1"/>
          <w:lang w:val="sq-AL"/>
        </w:rPr>
        <w:t>rejtave të aksionerit dhe shitjen</w:t>
      </w:r>
      <w:r>
        <w:rPr>
          <w:color w:val="000000" w:themeColor="text1"/>
          <w:lang w:val="sq-AL"/>
        </w:rPr>
        <w:t xml:space="preserve"> e pronës, i kishte hequr të gjitha të drejtat e pronës aksionerit të vet</w:t>
      </w:r>
      <w:r w:rsidR="00BE6ED1">
        <w:rPr>
          <w:lang w:val="sq-AL"/>
        </w:rPr>
        <w:t>ë</w:t>
      </w:r>
      <w:r w:rsidR="00BE6ED1">
        <w:rPr>
          <w:color w:val="000000" w:themeColor="text1"/>
          <w:lang w:val="sq-AL"/>
        </w:rPr>
        <w:t>m në kund</w:t>
      </w:r>
      <w:r w:rsidR="00BE6ED1">
        <w:rPr>
          <w:lang w:val="sq-AL"/>
        </w:rPr>
        <w:t>ë</w:t>
      </w:r>
      <w:r w:rsidR="00BE6ED1">
        <w:rPr>
          <w:color w:val="000000" w:themeColor="text1"/>
          <w:lang w:val="sq-AL"/>
        </w:rPr>
        <w:t>rshtim</w:t>
      </w:r>
      <w:r>
        <w:rPr>
          <w:color w:val="000000" w:themeColor="text1"/>
          <w:lang w:val="sq-AL"/>
        </w:rPr>
        <w:t xml:space="preserve"> </w:t>
      </w:r>
      <w:r w:rsidR="00BE6ED1">
        <w:rPr>
          <w:color w:val="000000" w:themeColor="text1"/>
          <w:lang w:val="sq-AL"/>
        </w:rPr>
        <w:t>me nenet</w:t>
      </w:r>
      <w:r>
        <w:rPr>
          <w:color w:val="000000" w:themeColor="text1"/>
          <w:lang w:val="sq-AL"/>
        </w:rPr>
        <w:t xml:space="preserve"> 10 d</w:t>
      </w:r>
      <w:r w:rsidR="00BE6ED1">
        <w:rPr>
          <w:color w:val="000000" w:themeColor="text1"/>
          <w:lang w:val="sq-AL"/>
        </w:rPr>
        <w:t>he 11 të Ligjit p</w:t>
      </w:r>
      <w:r w:rsidR="00BE6ED1">
        <w:rPr>
          <w:lang w:val="sq-AL"/>
        </w:rPr>
        <w:t>ë</w:t>
      </w:r>
      <w:r w:rsidR="00BE6ED1">
        <w:rPr>
          <w:color w:val="000000" w:themeColor="text1"/>
          <w:lang w:val="sq-AL"/>
        </w:rPr>
        <w:t>r Dispozitat</w:t>
      </w:r>
      <w:r>
        <w:rPr>
          <w:color w:val="000000" w:themeColor="text1"/>
          <w:lang w:val="sq-AL"/>
        </w:rPr>
        <w:t xml:space="preserve"> </w:t>
      </w:r>
      <w:r w:rsidRPr="00541281">
        <w:rPr>
          <w:color w:val="000000" w:themeColor="text1"/>
          <w:lang w:val="sq-AL"/>
        </w:rPr>
        <w:t>Kryesore</w:t>
      </w:r>
      <w:r>
        <w:rPr>
          <w:color w:val="000000" w:themeColor="text1"/>
          <w:lang w:val="sq-AL"/>
        </w:rPr>
        <w:t xml:space="preserve"> Kushtetuese. Meqenës</w:t>
      </w:r>
      <w:r w:rsidR="009B673A">
        <w:rPr>
          <w:color w:val="000000" w:themeColor="text1"/>
          <w:lang w:val="sq-AL"/>
        </w:rPr>
        <w:t xml:space="preserve">e të drejta të tilla janë </w:t>
      </w:r>
      <w:r>
        <w:rPr>
          <w:color w:val="000000" w:themeColor="text1"/>
          <w:lang w:val="sq-AL"/>
        </w:rPr>
        <w:t xml:space="preserve">kompetencë </w:t>
      </w:r>
      <w:r w:rsidR="009B673A">
        <w:rPr>
          <w:color w:val="000000" w:themeColor="text1"/>
          <w:lang w:val="sq-AL"/>
        </w:rPr>
        <w:t>vet</w:t>
      </w:r>
      <w:r w:rsidR="009B673A">
        <w:rPr>
          <w:lang w:val="sq-AL"/>
        </w:rPr>
        <w:t>ë</w:t>
      </w:r>
      <w:r w:rsidR="009B673A">
        <w:rPr>
          <w:color w:val="000000" w:themeColor="text1"/>
          <w:lang w:val="sq-AL"/>
        </w:rPr>
        <w:t>m e gjykatave vendase, kalimi</w:t>
      </w:r>
      <w:r>
        <w:rPr>
          <w:color w:val="000000" w:themeColor="text1"/>
          <w:lang w:val="sq-AL"/>
        </w:rPr>
        <w:t xml:space="preserve"> i</w:t>
      </w:r>
      <w:r w:rsidR="009B673A">
        <w:rPr>
          <w:color w:val="000000" w:themeColor="text1"/>
          <w:lang w:val="sq-AL"/>
        </w:rPr>
        <w:t xml:space="preserve"> tyre tek administratorët kishte</w:t>
      </w:r>
      <w:r>
        <w:rPr>
          <w:color w:val="000000" w:themeColor="text1"/>
          <w:lang w:val="sq-AL"/>
        </w:rPr>
        <w:t xml:space="preserve"> shkelur parimin kushtetues të ndarjes së kompetenca</w:t>
      </w:r>
      <w:r w:rsidR="009B673A">
        <w:rPr>
          <w:color w:val="000000" w:themeColor="text1"/>
          <w:lang w:val="sq-AL"/>
        </w:rPr>
        <w:t>ve. Ajo argumentoi se neni 7 i L</w:t>
      </w:r>
      <w:r>
        <w:rPr>
          <w:color w:val="000000" w:themeColor="text1"/>
          <w:lang w:val="sq-AL"/>
        </w:rPr>
        <w:t xml:space="preserve">igjit nr. 2 ishte në kundërshtim me nenin 3 të Ligjit </w:t>
      </w:r>
      <w:r w:rsidR="009B673A">
        <w:rPr>
          <w:color w:val="000000" w:themeColor="text1"/>
          <w:lang w:val="sq-AL"/>
        </w:rPr>
        <w:t>p</w:t>
      </w:r>
      <w:r w:rsidR="009B673A">
        <w:rPr>
          <w:lang w:val="sq-AL"/>
        </w:rPr>
        <w:t>ë</w:t>
      </w:r>
      <w:r w:rsidR="009B673A">
        <w:rPr>
          <w:color w:val="000000" w:themeColor="text1"/>
          <w:lang w:val="sq-AL"/>
        </w:rPr>
        <w:t>r</w:t>
      </w:r>
      <w:r>
        <w:rPr>
          <w:color w:val="000000" w:themeColor="text1"/>
          <w:lang w:val="sq-AL"/>
        </w:rPr>
        <w:t xml:space="preserve"> Dispozitat Kryesore Kushtetuese.</w:t>
      </w:r>
    </w:p>
    <w:p w:rsidR="006F4ACB" w:rsidRPr="006A0E38" w:rsidRDefault="006F4ACB" w:rsidP="000409D4">
      <w:pPr>
        <w:pStyle w:val="ListParagraph"/>
        <w:numPr>
          <w:ilvl w:val="0"/>
          <w:numId w:val="1"/>
        </w:numPr>
        <w:tabs>
          <w:tab w:val="left" w:pos="90"/>
        </w:tabs>
        <w:ind w:left="0" w:firstLine="360"/>
        <w:jc w:val="both"/>
        <w:rPr>
          <w:lang w:val="sq-AL"/>
        </w:rPr>
      </w:pPr>
      <w:r>
        <w:rPr>
          <w:color w:val="000000" w:themeColor="text1"/>
          <w:lang w:val="sq-AL"/>
        </w:rPr>
        <w:t xml:space="preserve">  Më 19 Nëntor 1997 </w:t>
      </w:r>
      <w:r w:rsidR="009B673A">
        <w:rPr>
          <w:color w:val="000000" w:themeColor="text1"/>
          <w:lang w:val="sq-AL"/>
        </w:rPr>
        <w:t xml:space="preserve">u plotësua </w:t>
      </w:r>
      <w:r>
        <w:rPr>
          <w:color w:val="000000" w:themeColor="text1"/>
          <w:lang w:val="sq-AL"/>
        </w:rPr>
        <w:t xml:space="preserve">neni 10 i Ligjit </w:t>
      </w:r>
      <w:r w:rsidR="0073522B">
        <w:rPr>
          <w:color w:val="000000" w:themeColor="text1"/>
          <w:lang w:val="sq-AL"/>
        </w:rPr>
        <w:t>p</w:t>
      </w:r>
      <w:r w:rsidR="0073522B">
        <w:rPr>
          <w:lang w:val="sq-AL"/>
        </w:rPr>
        <w:t>ë</w:t>
      </w:r>
      <w:r w:rsidR="0073522B">
        <w:rPr>
          <w:color w:val="000000" w:themeColor="text1"/>
          <w:lang w:val="sq-AL"/>
        </w:rPr>
        <w:t>r</w:t>
      </w:r>
      <w:r>
        <w:rPr>
          <w:color w:val="000000" w:themeColor="text1"/>
          <w:lang w:val="sq-AL"/>
        </w:rPr>
        <w:t xml:space="preserve"> Dispozitat Kryesore Kushtetuese duke përfshirë të drejtën e Shtetit për të kontrolluar dhe administruar pronën e subjekteve private siç është shoqëria anku</w:t>
      </w:r>
      <w:r w:rsidR="00C50491">
        <w:rPr>
          <w:color w:val="000000" w:themeColor="text1"/>
          <w:lang w:val="sq-AL"/>
        </w:rPr>
        <w:t>ese. Si rezultat, po atë</w:t>
      </w:r>
      <w:r>
        <w:rPr>
          <w:color w:val="000000" w:themeColor="text1"/>
          <w:lang w:val="sq-AL"/>
        </w:rPr>
        <w:t xml:space="preserve"> ditë</w:t>
      </w:r>
      <w:r w:rsidR="0073522B">
        <w:rPr>
          <w:color w:val="000000" w:themeColor="text1"/>
          <w:lang w:val="sq-AL"/>
        </w:rPr>
        <w:t>, parlamenti miratoi</w:t>
      </w:r>
      <w:r>
        <w:rPr>
          <w:color w:val="000000" w:themeColor="text1"/>
          <w:lang w:val="sq-AL"/>
        </w:rPr>
        <w:t xml:space="preserve"> ndryshim</w:t>
      </w:r>
      <w:r w:rsidR="0073522B">
        <w:rPr>
          <w:color w:val="000000" w:themeColor="text1"/>
          <w:lang w:val="sq-AL"/>
        </w:rPr>
        <w:t>in e</w:t>
      </w:r>
      <w:r>
        <w:rPr>
          <w:color w:val="000000" w:themeColor="text1"/>
          <w:lang w:val="sq-AL"/>
        </w:rPr>
        <w:t xml:space="preserve"> Ligjit për Kontrollin </w:t>
      </w:r>
      <w:r w:rsidR="0073522B">
        <w:rPr>
          <w:color w:val="000000" w:themeColor="text1"/>
          <w:lang w:val="sq-AL"/>
        </w:rPr>
        <w:t>Financiar të</w:t>
      </w:r>
      <w:r>
        <w:rPr>
          <w:color w:val="000000" w:themeColor="text1"/>
          <w:lang w:val="sq-AL"/>
        </w:rPr>
        <w:t xml:space="preserve"> Personave </w:t>
      </w:r>
      <w:r w:rsidR="0073522B">
        <w:rPr>
          <w:color w:val="000000" w:themeColor="text1"/>
          <w:lang w:val="sq-AL"/>
        </w:rPr>
        <w:t xml:space="preserve">Juridikë </w:t>
      </w:r>
      <w:r>
        <w:rPr>
          <w:color w:val="000000" w:themeColor="text1"/>
          <w:lang w:val="sq-AL"/>
        </w:rPr>
        <w:t>Jo-bankarë (</w:t>
      </w:r>
      <w:r w:rsidR="0073522B">
        <w:rPr>
          <w:color w:val="000000" w:themeColor="text1"/>
          <w:lang w:val="sq-AL"/>
        </w:rPr>
        <w:t>“Ligji nr. 3”), duke rifutur</w:t>
      </w:r>
      <w:r>
        <w:rPr>
          <w:color w:val="000000" w:themeColor="text1"/>
          <w:lang w:val="sq-AL"/>
        </w:rPr>
        <w:t xml:space="preserve"> formulimin e nenit 7 të mëparshëm jokushtetues të Ligjit nr. 2.</w:t>
      </w:r>
    </w:p>
    <w:p w:rsidR="006F4ACB" w:rsidRPr="006A0E38" w:rsidRDefault="006F4ACB" w:rsidP="000409D4">
      <w:pPr>
        <w:pStyle w:val="ListParagraph"/>
        <w:numPr>
          <w:ilvl w:val="0"/>
          <w:numId w:val="1"/>
        </w:numPr>
        <w:tabs>
          <w:tab w:val="left" w:pos="90"/>
        </w:tabs>
        <w:ind w:left="0" w:firstLine="360"/>
        <w:jc w:val="both"/>
        <w:rPr>
          <w:lang w:val="sq-AL"/>
        </w:rPr>
      </w:pPr>
      <w:r>
        <w:rPr>
          <w:color w:val="000000" w:themeColor="text1"/>
          <w:lang w:val="sq-AL"/>
        </w:rPr>
        <w:t xml:space="preserve">  Më 24 Nëntor 1997 Qeveria prishi vendimin e saj të datës 28 Nëntor 1997 (“shih paragrafin 12 m</w:t>
      </w:r>
      <w:r w:rsidR="00DE4A4C">
        <w:rPr>
          <w:color w:val="000000" w:themeColor="text1"/>
          <w:lang w:val="sq-AL"/>
        </w:rPr>
        <w:t>ë lart”). Ajo përsëriti</w:t>
      </w:r>
      <w:r>
        <w:rPr>
          <w:color w:val="000000" w:themeColor="text1"/>
          <w:lang w:val="sq-AL"/>
        </w:rPr>
        <w:t xml:space="preserve"> masën e administrimit të detyruar në lidhje me shoqërinë ankuese dhe caktoi D-në si administrator. </w:t>
      </w:r>
    </w:p>
    <w:p w:rsidR="006F4ACB" w:rsidRPr="0013328D" w:rsidRDefault="006F4ACB" w:rsidP="000409D4">
      <w:pPr>
        <w:pStyle w:val="ListParagraph"/>
        <w:numPr>
          <w:ilvl w:val="0"/>
          <w:numId w:val="1"/>
        </w:numPr>
        <w:tabs>
          <w:tab w:val="left" w:pos="90"/>
        </w:tabs>
        <w:ind w:left="0" w:firstLine="360"/>
        <w:jc w:val="both"/>
        <w:rPr>
          <w:lang w:val="sq-AL"/>
        </w:rPr>
      </w:pPr>
      <w:r>
        <w:rPr>
          <w:color w:val="000000" w:themeColor="text1"/>
          <w:lang w:val="sq-AL"/>
        </w:rPr>
        <w:t xml:space="preserve">  Më 31 Janar 1998, D i paraqiti Qeverisë raportin e saj të parë. Raportit iu </w:t>
      </w:r>
      <w:r w:rsidR="00DE4A4C">
        <w:rPr>
          <w:color w:val="000000" w:themeColor="text1"/>
          <w:lang w:val="sq-AL"/>
        </w:rPr>
        <w:t>shtuan tabelat</w:t>
      </w:r>
      <w:r>
        <w:rPr>
          <w:color w:val="000000" w:themeColor="text1"/>
          <w:lang w:val="sq-AL"/>
        </w:rPr>
        <w:t xml:space="preserve"> e vlerësimit për asetet kryesore, </w:t>
      </w:r>
      <w:r w:rsidRPr="00DE4A4C">
        <w:rPr>
          <w:lang w:val="sq-AL"/>
        </w:rPr>
        <w:t>rikthimet e p</w:t>
      </w:r>
      <w:r w:rsidR="00DE4A4C" w:rsidRPr="00DE4A4C">
        <w:rPr>
          <w:lang w:val="sq-AL"/>
        </w:rPr>
        <w:t>lanifikuara</w:t>
      </w:r>
      <w:r>
        <w:rPr>
          <w:color w:val="000000" w:themeColor="text1"/>
          <w:lang w:val="sq-AL"/>
        </w:rPr>
        <w:t xml:space="preserve"> nga shitjet dhe pasqyrat financiare. Përmbledhja ekzekutive e ra</w:t>
      </w:r>
      <w:r w:rsidR="00DE4A4C">
        <w:rPr>
          <w:color w:val="000000" w:themeColor="text1"/>
          <w:lang w:val="sq-AL"/>
        </w:rPr>
        <w:t>portit përmbante një paragraf me</w:t>
      </w:r>
      <w:r>
        <w:rPr>
          <w:color w:val="000000" w:themeColor="text1"/>
          <w:lang w:val="sq-AL"/>
        </w:rPr>
        <w:t xml:space="preserve"> shkronja të zeza i cili deklaronte (marrë nga versioni origjinal në Anglisht):</w:t>
      </w:r>
    </w:p>
    <w:p w:rsidR="006F4ACB" w:rsidRDefault="006F4ACB" w:rsidP="006F4ACB">
      <w:pPr>
        <w:pStyle w:val="ListParagraph"/>
        <w:tabs>
          <w:tab w:val="left" w:pos="90"/>
        </w:tabs>
        <w:ind w:left="360"/>
        <w:jc w:val="both"/>
        <w:rPr>
          <w:color w:val="000000" w:themeColor="text1"/>
          <w:lang w:val="sq-AL"/>
        </w:rPr>
      </w:pPr>
    </w:p>
    <w:p w:rsidR="006F4ACB" w:rsidRDefault="006F4ACB" w:rsidP="006F4ACB">
      <w:pPr>
        <w:pStyle w:val="ListParagraph"/>
        <w:tabs>
          <w:tab w:val="left" w:pos="90"/>
        </w:tabs>
        <w:ind w:left="360"/>
        <w:jc w:val="both"/>
        <w:rPr>
          <w:color w:val="000000" w:themeColor="text1"/>
          <w:sz w:val="20"/>
          <w:lang w:val="sq-AL"/>
        </w:rPr>
      </w:pPr>
      <w:r w:rsidRPr="0013328D">
        <w:rPr>
          <w:color w:val="000000" w:themeColor="text1"/>
          <w:sz w:val="20"/>
          <w:lang w:val="sq-AL"/>
        </w:rPr>
        <w:t>“Rekomandimi i administrator</w:t>
      </w:r>
      <w:r>
        <w:rPr>
          <w:color w:val="000000" w:themeColor="text1"/>
          <w:sz w:val="20"/>
          <w:lang w:val="sq-AL"/>
        </w:rPr>
        <w:t>ë</w:t>
      </w:r>
      <w:r w:rsidRPr="0013328D">
        <w:rPr>
          <w:color w:val="000000" w:themeColor="text1"/>
          <w:sz w:val="20"/>
          <w:lang w:val="sq-AL"/>
        </w:rPr>
        <w:t xml:space="preserve">ve </w:t>
      </w:r>
      <w:r>
        <w:rPr>
          <w:color w:val="000000" w:themeColor="text1"/>
          <w:sz w:val="20"/>
          <w:lang w:val="sq-AL"/>
        </w:rPr>
        <w:t>ë</w:t>
      </w:r>
      <w:r w:rsidRPr="0013328D">
        <w:rPr>
          <w:color w:val="000000" w:themeColor="text1"/>
          <w:sz w:val="20"/>
          <w:lang w:val="sq-AL"/>
        </w:rPr>
        <w:t>sht</w:t>
      </w:r>
      <w:r>
        <w:rPr>
          <w:color w:val="000000" w:themeColor="text1"/>
          <w:sz w:val="20"/>
          <w:lang w:val="sq-AL"/>
        </w:rPr>
        <w:t>ë</w:t>
      </w:r>
      <w:r w:rsidRPr="0013328D">
        <w:rPr>
          <w:color w:val="000000" w:themeColor="text1"/>
          <w:sz w:val="20"/>
          <w:lang w:val="sq-AL"/>
        </w:rPr>
        <w:t xml:space="preserve"> q</w:t>
      </w:r>
      <w:r>
        <w:rPr>
          <w:color w:val="000000" w:themeColor="text1"/>
          <w:sz w:val="20"/>
          <w:lang w:val="sq-AL"/>
        </w:rPr>
        <w:t>ë</w:t>
      </w:r>
      <w:r w:rsidRPr="0013328D">
        <w:rPr>
          <w:color w:val="000000" w:themeColor="text1"/>
          <w:sz w:val="20"/>
          <w:lang w:val="sq-AL"/>
        </w:rPr>
        <w:t xml:space="preserve"> t</w:t>
      </w:r>
      <w:r>
        <w:rPr>
          <w:color w:val="000000" w:themeColor="text1"/>
          <w:sz w:val="20"/>
          <w:lang w:val="sq-AL"/>
        </w:rPr>
        <w:t>ë</w:t>
      </w:r>
      <w:r w:rsidRPr="0013328D">
        <w:rPr>
          <w:color w:val="000000" w:themeColor="text1"/>
          <w:sz w:val="20"/>
          <w:lang w:val="sq-AL"/>
        </w:rPr>
        <w:t xml:space="preserve"> shiten asetet e shoq</w:t>
      </w:r>
      <w:r>
        <w:rPr>
          <w:color w:val="000000" w:themeColor="text1"/>
          <w:sz w:val="20"/>
          <w:lang w:val="sq-AL"/>
        </w:rPr>
        <w:t>ë</w:t>
      </w:r>
      <w:r w:rsidRPr="0013328D">
        <w:rPr>
          <w:color w:val="000000" w:themeColor="text1"/>
          <w:sz w:val="20"/>
          <w:lang w:val="sq-AL"/>
        </w:rPr>
        <w:t>ris</w:t>
      </w:r>
      <w:r>
        <w:rPr>
          <w:color w:val="000000" w:themeColor="text1"/>
          <w:sz w:val="20"/>
          <w:lang w:val="sq-AL"/>
        </w:rPr>
        <w:t>ë</w:t>
      </w:r>
      <w:r w:rsidRPr="0013328D">
        <w:rPr>
          <w:color w:val="000000" w:themeColor="text1"/>
          <w:sz w:val="20"/>
          <w:lang w:val="sq-AL"/>
        </w:rPr>
        <w:t>. Kjo duhet b</w:t>
      </w:r>
      <w:r>
        <w:rPr>
          <w:color w:val="000000" w:themeColor="text1"/>
          <w:sz w:val="20"/>
          <w:lang w:val="sq-AL"/>
        </w:rPr>
        <w:t>ë</w:t>
      </w:r>
      <w:r w:rsidRPr="0013328D">
        <w:rPr>
          <w:color w:val="000000" w:themeColor="text1"/>
          <w:sz w:val="20"/>
          <w:lang w:val="sq-AL"/>
        </w:rPr>
        <w:t>r</w:t>
      </w:r>
      <w:r>
        <w:rPr>
          <w:color w:val="000000" w:themeColor="text1"/>
          <w:sz w:val="20"/>
          <w:lang w:val="sq-AL"/>
        </w:rPr>
        <w:t>ë</w:t>
      </w:r>
      <w:r w:rsidRPr="0013328D">
        <w:rPr>
          <w:color w:val="000000" w:themeColor="text1"/>
          <w:sz w:val="20"/>
          <w:lang w:val="sq-AL"/>
        </w:rPr>
        <w:t xml:space="preserve"> n</w:t>
      </w:r>
      <w:r>
        <w:rPr>
          <w:color w:val="000000" w:themeColor="text1"/>
          <w:sz w:val="20"/>
          <w:lang w:val="sq-AL"/>
        </w:rPr>
        <w:t>ë</w:t>
      </w:r>
      <w:r w:rsidRPr="0013328D">
        <w:rPr>
          <w:color w:val="000000" w:themeColor="text1"/>
          <w:sz w:val="20"/>
          <w:lang w:val="sq-AL"/>
        </w:rPr>
        <w:t xml:space="preserve"> m</w:t>
      </w:r>
      <w:r>
        <w:rPr>
          <w:color w:val="000000" w:themeColor="text1"/>
          <w:sz w:val="20"/>
          <w:lang w:val="sq-AL"/>
        </w:rPr>
        <w:t>ë</w:t>
      </w:r>
      <w:r w:rsidRPr="0013328D">
        <w:rPr>
          <w:color w:val="000000" w:themeColor="text1"/>
          <w:sz w:val="20"/>
          <w:lang w:val="sq-AL"/>
        </w:rPr>
        <w:t>nyr</w:t>
      </w:r>
      <w:r>
        <w:rPr>
          <w:color w:val="000000" w:themeColor="text1"/>
          <w:sz w:val="20"/>
          <w:lang w:val="sq-AL"/>
        </w:rPr>
        <w:t>ë</w:t>
      </w:r>
      <w:r w:rsidRPr="0013328D">
        <w:rPr>
          <w:color w:val="000000" w:themeColor="text1"/>
          <w:sz w:val="20"/>
          <w:lang w:val="sq-AL"/>
        </w:rPr>
        <w:t>n m</w:t>
      </w:r>
      <w:r>
        <w:rPr>
          <w:color w:val="000000" w:themeColor="text1"/>
          <w:sz w:val="20"/>
          <w:lang w:val="sq-AL"/>
        </w:rPr>
        <w:t>ë</w:t>
      </w:r>
      <w:r w:rsidRPr="0013328D">
        <w:rPr>
          <w:color w:val="000000" w:themeColor="text1"/>
          <w:sz w:val="20"/>
          <w:lang w:val="sq-AL"/>
        </w:rPr>
        <w:t xml:space="preserve"> t</w:t>
      </w:r>
      <w:r>
        <w:rPr>
          <w:color w:val="000000" w:themeColor="text1"/>
          <w:sz w:val="20"/>
          <w:lang w:val="sq-AL"/>
        </w:rPr>
        <w:t>ë</w:t>
      </w:r>
      <w:r w:rsidRPr="0013328D">
        <w:rPr>
          <w:color w:val="000000" w:themeColor="text1"/>
          <w:sz w:val="20"/>
          <w:lang w:val="sq-AL"/>
        </w:rPr>
        <w:t xml:space="preserve"> duhur p</w:t>
      </w:r>
      <w:r>
        <w:rPr>
          <w:color w:val="000000" w:themeColor="text1"/>
          <w:sz w:val="20"/>
          <w:lang w:val="sq-AL"/>
        </w:rPr>
        <w:t>ë</w:t>
      </w:r>
      <w:r w:rsidRPr="0013328D">
        <w:rPr>
          <w:color w:val="000000" w:themeColor="text1"/>
          <w:sz w:val="20"/>
          <w:lang w:val="sq-AL"/>
        </w:rPr>
        <w:t>r t’i siguruar kreditor</w:t>
      </w:r>
      <w:r>
        <w:rPr>
          <w:color w:val="000000" w:themeColor="text1"/>
          <w:sz w:val="20"/>
          <w:lang w:val="sq-AL"/>
        </w:rPr>
        <w:t>ë</w:t>
      </w:r>
      <w:r w:rsidRPr="0013328D">
        <w:rPr>
          <w:color w:val="000000" w:themeColor="text1"/>
          <w:sz w:val="20"/>
          <w:lang w:val="sq-AL"/>
        </w:rPr>
        <w:t>ve rikthimin m</w:t>
      </w:r>
      <w:r>
        <w:rPr>
          <w:color w:val="000000" w:themeColor="text1"/>
          <w:sz w:val="20"/>
          <w:lang w:val="sq-AL"/>
        </w:rPr>
        <w:t>ë</w:t>
      </w:r>
      <w:r w:rsidRPr="0013328D">
        <w:rPr>
          <w:color w:val="000000" w:themeColor="text1"/>
          <w:sz w:val="20"/>
          <w:lang w:val="sq-AL"/>
        </w:rPr>
        <w:t xml:space="preserve"> t</w:t>
      </w:r>
      <w:r>
        <w:rPr>
          <w:color w:val="000000" w:themeColor="text1"/>
          <w:sz w:val="20"/>
          <w:lang w:val="sq-AL"/>
        </w:rPr>
        <w:t>ë</w:t>
      </w:r>
      <w:r w:rsidRPr="0013328D">
        <w:rPr>
          <w:color w:val="000000" w:themeColor="text1"/>
          <w:sz w:val="20"/>
          <w:lang w:val="sq-AL"/>
        </w:rPr>
        <w:t xml:space="preserve"> mir</w:t>
      </w:r>
      <w:r>
        <w:rPr>
          <w:color w:val="000000" w:themeColor="text1"/>
          <w:sz w:val="20"/>
          <w:lang w:val="sq-AL"/>
        </w:rPr>
        <w:t>ë</w:t>
      </w:r>
      <w:r w:rsidRPr="0013328D">
        <w:rPr>
          <w:color w:val="000000" w:themeColor="text1"/>
          <w:sz w:val="20"/>
          <w:lang w:val="sq-AL"/>
        </w:rPr>
        <w:t xml:space="preserve"> brenda nj</w:t>
      </w:r>
      <w:r>
        <w:rPr>
          <w:color w:val="000000" w:themeColor="text1"/>
          <w:sz w:val="20"/>
          <w:lang w:val="sq-AL"/>
        </w:rPr>
        <w:t>ë</w:t>
      </w:r>
      <w:r w:rsidRPr="0013328D">
        <w:rPr>
          <w:color w:val="000000" w:themeColor="text1"/>
          <w:sz w:val="20"/>
          <w:lang w:val="sq-AL"/>
        </w:rPr>
        <w:t xml:space="preserve"> periudhe kohore t</w:t>
      </w:r>
      <w:r>
        <w:rPr>
          <w:color w:val="000000" w:themeColor="text1"/>
          <w:sz w:val="20"/>
          <w:lang w:val="sq-AL"/>
        </w:rPr>
        <w:t>ë</w:t>
      </w:r>
      <w:r w:rsidRPr="0013328D">
        <w:rPr>
          <w:color w:val="000000" w:themeColor="text1"/>
          <w:sz w:val="20"/>
          <w:lang w:val="sq-AL"/>
        </w:rPr>
        <w:t xml:space="preserve"> arsyeshme</w:t>
      </w:r>
      <w:r>
        <w:rPr>
          <w:color w:val="000000" w:themeColor="text1"/>
          <w:sz w:val="20"/>
          <w:lang w:val="sq-AL"/>
        </w:rPr>
        <w:t>.</w:t>
      </w:r>
      <w:r w:rsidRPr="0013328D">
        <w:rPr>
          <w:color w:val="000000" w:themeColor="text1"/>
          <w:sz w:val="20"/>
          <w:lang w:val="sq-AL"/>
        </w:rPr>
        <w:t>”</w:t>
      </w:r>
    </w:p>
    <w:p w:rsidR="006F4ACB" w:rsidRPr="006A0E38" w:rsidRDefault="006F4ACB" w:rsidP="006F4ACB">
      <w:pPr>
        <w:pStyle w:val="ListParagraph"/>
        <w:tabs>
          <w:tab w:val="left" w:pos="90"/>
        </w:tabs>
        <w:ind w:left="360"/>
        <w:jc w:val="both"/>
        <w:rPr>
          <w:lang w:val="sq-AL"/>
        </w:rPr>
      </w:pPr>
    </w:p>
    <w:p w:rsidR="006F4ACB" w:rsidRDefault="006F4ACB" w:rsidP="000409D4">
      <w:pPr>
        <w:pStyle w:val="ListParagraph"/>
        <w:numPr>
          <w:ilvl w:val="0"/>
          <w:numId w:val="1"/>
        </w:numPr>
        <w:tabs>
          <w:tab w:val="left" w:pos="90"/>
        </w:tabs>
        <w:ind w:left="0" w:firstLine="360"/>
        <w:jc w:val="both"/>
        <w:rPr>
          <w:lang w:val="sq-AL"/>
        </w:rPr>
      </w:pPr>
      <w:r>
        <w:rPr>
          <w:lang w:val="sq-AL"/>
        </w:rPr>
        <w:t>Më tej raporti deklaron</w:t>
      </w:r>
      <w:r w:rsidR="007F4D5A">
        <w:rPr>
          <w:lang w:val="sq-AL"/>
        </w:rPr>
        <w:t>te se shoqëria ankuese kishte qe</w:t>
      </w:r>
      <w:r>
        <w:rPr>
          <w:lang w:val="sq-AL"/>
        </w:rPr>
        <w:t xml:space="preserve">në një </w:t>
      </w:r>
      <w:r w:rsidRPr="000B0C14">
        <w:rPr>
          <w:lang w:val="sq-AL"/>
        </w:rPr>
        <w:t xml:space="preserve">biznes i </w:t>
      </w:r>
      <w:r w:rsidR="00240CAF" w:rsidRPr="000B0C14">
        <w:rPr>
          <w:lang w:val="sq-AL"/>
        </w:rPr>
        <w:t>larmish</w:t>
      </w:r>
      <w:r w:rsidR="00612433" w:rsidRPr="000B0C14">
        <w:rPr>
          <w:lang w:val="sq-AL"/>
        </w:rPr>
        <w:t>ë</w:t>
      </w:r>
      <w:r w:rsidR="00240CAF" w:rsidRPr="000B0C14">
        <w:rPr>
          <w:lang w:val="sq-AL"/>
        </w:rPr>
        <w:t>m</w:t>
      </w:r>
      <w:r w:rsidR="00240CAF">
        <w:rPr>
          <w:color w:val="FF0000"/>
          <w:lang w:val="sq-AL"/>
        </w:rPr>
        <w:t xml:space="preserve"> </w:t>
      </w:r>
      <w:r w:rsidR="007F4D5A">
        <w:rPr>
          <w:lang w:val="sq-AL"/>
        </w:rPr>
        <w:t xml:space="preserve"> i përbërë prej</w:t>
      </w:r>
      <w:r>
        <w:rPr>
          <w:lang w:val="sq-AL"/>
        </w:rPr>
        <w:t xml:space="preserve"> më shumë se 200 </w:t>
      </w:r>
      <w:r w:rsidR="00895017">
        <w:rPr>
          <w:lang w:val="sq-AL"/>
        </w:rPr>
        <w:t>aktivitete</w:t>
      </w:r>
      <w:r w:rsidR="00C50491">
        <w:rPr>
          <w:lang w:val="sq-AL"/>
        </w:rPr>
        <w:t>sh</w:t>
      </w:r>
      <w:r w:rsidR="000B0C14">
        <w:rPr>
          <w:lang w:val="sq-AL"/>
        </w:rPr>
        <w:t xml:space="preserve"> </w:t>
      </w:r>
      <w:r>
        <w:rPr>
          <w:lang w:val="sq-AL"/>
        </w:rPr>
        <w:t xml:space="preserve">në Shqipëri dhe </w:t>
      </w:r>
      <w:r w:rsidR="007F4D5A">
        <w:rPr>
          <w:lang w:val="sq-AL"/>
        </w:rPr>
        <w:t>aktivitete me kapital t</w:t>
      </w:r>
      <w:r w:rsidR="007F4D5A">
        <w:rPr>
          <w:color w:val="000000" w:themeColor="text1"/>
          <w:lang w:val="sq-AL"/>
        </w:rPr>
        <w:t>ë</w:t>
      </w:r>
      <w:r w:rsidR="007F4D5A">
        <w:rPr>
          <w:lang w:val="sq-AL"/>
        </w:rPr>
        <w:t xml:space="preserve"> p</w:t>
      </w:r>
      <w:r w:rsidR="007F4D5A">
        <w:rPr>
          <w:color w:val="000000" w:themeColor="text1"/>
          <w:lang w:val="sq-AL"/>
        </w:rPr>
        <w:t>ë</w:t>
      </w:r>
      <w:r w:rsidR="007F4D5A">
        <w:rPr>
          <w:lang w:val="sq-AL"/>
        </w:rPr>
        <w:t>rbashk</w:t>
      </w:r>
      <w:r w:rsidR="007F4D5A">
        <w:rPr>
          <w:color w:val="000000" w:themeColor="text1"/>
          <w:lang w:val="sq-AL"/>
        </w:rPr>
        <w:t>ë</w:t>
      </w:r>
      <w:r w:rsidR="007F4D5A">
        <w:rPr>
          <w:lang w:val="sq-AL"/>
        </w:rPr>
        <w:t>t</w:t>
      </w:r>
      <w:r>
        <w:rPr>
          <w:lang w:val="sq-AL"/>
        </w:rPr>
        <w:t xml:space="preserve"> si dhe agjenci në të paktën</w:t>
      </w:r>
      <w:r w:rsidR="00895017">
        <w:rPr>
          <w:lang w:val="sq-AL"/>
        </w:rPr>
        <w:t xml:space="preserve"> </w:t>
      </w:r>
      <w:r>
        <w:rPr>
          <w:lang w:val="sq-AL"/>
        </w:rPr>
        <w:t xml:space="preserve"> tetë vende </w:t>
      </w:r>
      <w:r w:rsidR="007F4D5A">
        <w:rPr>
          <w:lang w:val="sq-AL"/>
        </w:rPr>
        <w:t>të tjera. Shumë nga aktivitetet</w:t>
      </w:r>
      <w:r>
        <w:rPr>
          <w:lang w:val="sq-AL"/>
        </w:rPr>
        <w:t xml:space="preserve"> e saj ishin dëmtuar gjatë trazirave civile në pranverën e vitit 1997. Në përgatitjen e raportit nuk është kryer asnj</w:t>
      </w:r>
      <w:r w:rsidR="007F4D5A">
        <w:rPr>
          <w:color w:val="000000" w:themeColor="text1"/>
          <w:lang w:val="sq-AL"/>
        </w:rPr>
        <w:t>ë</w:t>
      </w:r>
      <w:r>
        <w:rPr>
          <w:lang w:val="sq-AL"/>
        </w:rPr>
        <w:t xml:space="preserve"> kontroll </w:t>
      </w:r>
      <w:r w:rsidR="000B0C14">
        <w:rPr>
          <w:lang w:val="sq-AL"/>
        </w:rPr>
        <w:t xml:space="preserve">financiar </w:t>
      </w:r>
      <w:r>
        <w:rPr>
          <w:lang w:val="sq-AL"/>
        </w:rPr>
        <w:t>i shoqërisë ankuese meqenëse nuk ishte pjesë e mandatit të tyre. D deklaroi se informa</w:t>
      </w:r>
      <w:r w:rsidR="000B0C14">
        <w:rPr>
          <w:lang w:val="sq-AL"/>
        </w:rPr>
        <w:t>cioni financiar që u ishte sigur</w:t>
      </w:r>
      <w:r>
        <w:rPr>
          <w:lang w:val="sq-AL"/>
        </w:rPr>
        <w:t xml:space="preserve">uar atyre nga shoqëria apo palë të treta, duke </w:t>
      </w:r>
      <w:r>
        <w:rPr>
          <w:lang w:val="sq-AL"/>
        </w:rPr>
        <w:lastRenderedPageBreak/>
        <w:t>përfshirë agjenci të ndryshme Qeveritare, shpesh ishte i pasigurtë dhe i paplotë për shkak të shkatërrimit të dokumenteve dhe regjistrave gjatë revoltave, zhdukjes së pretenduar të librave dhe regjistrave të shoqërisë, refuzimit të disa palëve pë</w:t>
      </w:r>
      <w:r w:rsidR="000B0C14">
        <w:rPr>
          <w:lang w:val="sq-AL"/>
        </w:rPr>
        <w:t>r të dhënë informacione</w:t>
      </w:r>
      <w:r>
        <w:rPr>
          <w:lang w:val="sq-AL"/>
        </w:rPr>
        <w:t xml:space="preserve"> përkatës</w:t>
      </w:r>
      <w:r w:rsidR="000B0C14">
        <w:rPr>
          <w:lang w:val="sq-AL"/>
        </w:rPr>
        <w:t>e</w:t>
      </w:r>
      <w:r>
        <w:rPr>
          <w:lang w:val="sq-AL"/>
        </w:rPr>
        <w:t xml:space="preserve"> ose, kur kërkohej për të dhënë shpjegime </w:t>
      </w:r>
      <w:r w:rsidR="000B0C14">
        <w:rPr>
          <w:lang w:val="sq-AL"/>
        </w:rPr>
        <w:t>për informacione apo</w:t>
      </w:r>
      <w:r>
        <w:rPr>
          <w:lang w:val="sq-AL"/>
        </w:rPr>
        <w:t xml:space="preserve"> të dhëna </w:t>
      </w:r>
      <w:r w:rsidR="000B0C14">
        <w:rPr>
          <w:lang w:val="sq-AL"/>
        </w:rPr>
        <w:t xml:space="preserve">të dyshimta, </w:t>
      </w:r>
      <w:r>
        <w:rPr>
          <w:lang w:val="sq-AL"/>
        </w:rPr>
        <w:t>dhe, dështimit të disa palëve për të ruajtur librat dhe regjistrat e duhur. Përveç kësaj, disa prona që supozoheshin në pronësinë e shoqërisë ankuese nuk mund të gjende</w:t>
      </w:r>
      <w:r w:rsidR="000B0C14">
        <w:rPr>
          <w:lang w:val="sq-AL"/>
        </w:rPr>
        <w:t>shin; ishin zbuluar prona të pa</w:t>
      </w:r>
      <w:r>
        <w:rPr>
          <w:lang w:val="sq-AL"/>
        </w:rPr>
        <w:t>regjistruara, disa prona ishin “pushtuar” dhe, për prona të tjera, pronësia pretendohej nga palë të treta. Më tej, të dhënat mbi pretendimet e mbledh</w:t>
      </w:r>
      <w:r w:rsidR="000B0C14">
        <w:rPr>
          <w:lang w:val="sq-AL"/>
        </w:rPr>
        <w:t>ura të kreditorëve vinin</w:t>
      </w:r>
      <w:r>
        <w:rPr>
          <w:lang w:val="sq-AL"/>
        </w:rPr>
        <w:t xml:space="preserve"> nga librat dhe regjistrat e pronarëve të shoqërisë, dhe jo nga vetë kreditorët.</w:t>
      </w:r>
    </w:p>
    <w:p w:rsidR="006F4ACB" w:rsidRDefault="00895017" w:rsidP="000409D4">
      <w:pPr>
        <w:pStyle w:val="ListParagraph"/>
        <w:numPr>
          <w:ilvl w:val="0"/>
          <w:numId w:val="1"/>
        </w:numPr>
        <w:tabs>
          <w:tab w:val="left" w:pos="90"/>
        </w:tabs>
        <w:ind w:left="0" w:firstLine="360"/>
        <w:jc w:val="both"/>
        <w:rPr>
          <w:lang w:val="sq-AL"/>
        </w:rPr>
      </w:pPr>
      <w:r>
        <w:rPr>
          <w:lang w:val="sq-AL"/>
        </w:rPr>
        <w:t>Sipas konstatimeve</w:t>
      </w:r>
      <w:r w:rsidR="006F4ACB">
        <w:rPr>
          <w:lang w:val="sq-AL"/>
        </w:rPr>
        <w:t xml:space="preserve"> kryesore të datës 30 Nëntor 1997 për pozicionin financiar të shoqërisë ankuese, </w:t>
      </w:r>
      <w:r w:rsidRPr="00895017">
        <w:rPr>
          <w:i/>
          <w:lang w:val="sq-AL"/>
        </w:rPr>
        <w:t>inter alia</w:t>
      </w:r>
      <w:r>
        <w:rPr>
          <w:lang w:val="sq-AL"/>
        </w:rPr>
        <w:t>, argumentohej</w:t>
      </w:r>
      <w:r w:rsidR="006F4ACB">
        <w:rPr>
          <w:lang w:val="sq-AL"/>
        </w:rPr>
        <w:t xml:space="preserve"> se shoqëria ankuese nuk ka vepru</w:t>
      </w:r>
      <w:r>
        <w:rPr>
          <w:lang w:val="sq-AL"/>
        </w:rPr>
        <w:t xml:space="preserve">ar asnjëherë me përfitim, se </w:t>
      </w:r>
      <w:r w:rsidR="006F4ACB">
        <w:rPr>
          <w:lang w:val="sq-AL"/>
        </w:rPr>
        <w:t>në të ardhmen e afërt</w:t>
      </w:r>
      <w:r>
        <w:rPr>
          <w:lang w:val="sq-AL"/>
        </w:rPr>
        <w:t xml:space="preserve"> nuk do të kishte para, nuk ishte në gjendje të përmbushte detyrimet e saj</w:t>
      </w:r>
      <w:r w:rsidR="006F4ACB">
        <w:rPr>
          <w:lang w:val="sq-AL"/>
        </w:rPr>
        <w:t xml:space="preserve"> dhe </w:t>
      </w:r>
      <w:r w:rsidRPr="00895017">
        <w:rPr>
          <w:lang w:val="sq-AL"/>
        </w:rPr>
        <w:t>ishte e</w:t>
      </w:r>
      <w:r w:rsidR="006F4ACB" w:rsidRPr="00895017">
        <w:rPr>
          <w:lang w:val="sq-AL"/>
        </w:rPr>
        <w:t xml:space="preserve"> paaftë të paguan</w:t>
      </w:r>
      <w:r w:rsidRPr="00895017">
        <w:rPr>
          <w:lang w:val="sq-AL"/>
        </w:rPr>
        <w:t>te</w:t>
      </w:r>
      <w:r>
        <w:rPr>
          <w:lang w:val="sq-AL"/>
        </w:rPr>
        <w:t>, bilanci i saj</w:t>
      </w:r>
      <w:r w:rsidR="006F4ACB">
        <w:rPr>
          <w:lang w:val="sq-AL"/>
        </w:rPr>
        <w:t xml:space="preserve"> nuk pasqyronte fondet e marra nga kreditorët </w:t>
      </w:r>
      <w:r>
        <w:rPr>
          <w:lang w:val="sq-AL"/>
        </w:rPr>
        <w:t>dhe librat dhe regjistrat e saj</w:t>
      </w:r>
      <w:r w:rsidR="006F4ACB">
        <w:rPr>
          <w:lang w:val="sq-AL"/>
        </w:rPr>
        <w:t xml:space="preserve"> nuk përputheshin me njëri tjetrin. Strategjia e propozuar për të </w:t>
      </w:r>
      <w:r>
        <w:rPr>
          <w:lang w:val="sq-AL"/>
        </w:rPr>
        <w:t>rritur në maksimum</w:t>
      </w:r>
      <w:r w:rsidR="006F4ACB">
        <w:rPr>
          <w:lang w:val="sq-AL"/>
        </w:rPr>
        <w:t xml:space="preserve"> rimëkëmbjen për kreditorët ishte shitja e aseteve t</w:t>
      </w:r>
      <w:r>
        <w:rPr>
          <w:lang w:val="sq-AL"/>
        </w:rPr>
        <w:t>ë</w:t>
      </w:r>
      <w:r w:rsidR="006F4ACB">
        <w:rPr>
          <w:lang w:val="sq-AL"/>
        </w:rPr>
        <w:t xml:space="preserve"> shoqërisë ankuese.</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Më 6 </w:t>
      </w:r>
      <w:r w:rsidR="00F00CFB">
        <w:rPr>
          <w:lang w:val="sq-AL"/>
        </w:rPr>
        <w:t>Mars 1998 Qeveria vendosi të kryej</w:t>
      </w:r>
      <w:r>
        <w:rPr>
          <w:lang w:val="sq-AL"/>
        </w:rPr>
        <w:t xml:space="preserve">ë një kontroll </w:t>
      </w:r>
      <w:r w:rsidR="00895017">
        <w:rPr>
          <w:lang w:val="sq-AL"/>
        </w:rPr>
        <w:t xml:space="preserve">financiar </w:t>
      </w:r>
      <w:r>
        <w:rPr>
          <w:lang w:val="sq-AL"/>
        </w:rPr>
        <w:t>të shoqërisë ankue</w:t>
      </w:r>
      <w:r w:rsidR="00895017">
        <w:rPr>
          <w:lang w:val="sq-AL"/>
        </w:rPr>
        <w:t>se dhe caktoi pesë ekspert</w:t>
      </w:r>
      <w:r>
        <w:rPr>
          <w:lang w:val="sq-AL"/>
        </w:rPr>
        <w:t xml:space="preserve">ë </w:t>
      </w:r>
      <w:r w:rsidR="00895017">
        <w:rPr>
          <w:lang w:val="sq-AL"/>
        </w:rPr>
        <w:t xml:space="preserve">kontabilistë </w:t>
      </w:r>
      <w:r>
        <w:rPr>
          <w:lang w:val="sq-AL"/>
        </w:rPr>
        <w:t>individualë.</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Më 25 Mars 1998 Ministri i Financave </w:t>
      </w:r>
      <w:r w:rsidRPr="00F00CFB">
        <w:rPr>
          <w:lang w:val="sq-AL"/>
        </w:rPr>
        <w:t xml:space="preserve">ndryshoi termat e </w:t>
      </w:r>
      <w:r w:rsidR="00F00CFB" w:rsidRPr="00F00CFB">
        <w:rPr>
          <w:lang w:val="sq-AL"/>
        </w:rPr>
        <w:t>përcaktuara t</w:t>
      </w:r>
      <w:r>
        <w:rPr>
          <w:lang w:val="sq-AL"/>
        </w:rPr>
        <w:t>ë kontratës që ishte përfunduar ndërmjet Qeverisë dhe administratorëve, D, sipas së cilës administratorët “do të bënin çdo përpjekje për të kthyer sa më shumë asete dhe biznese te fondeve për të likuiduar përpara datës 31 Dhjetor 1998”. Kjo shënoi fillimin e fazës së dytë të shërbimeve të administratorëve.</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Më 24 Qershor 1998 Qeveria caktoi shoqërinë B si </w:t>
      </w:r>
      <w:r w:rsidR="00F00CFB" w:rsidRPr="00F00CFB">
        <w:rPr>
          <w:lang w:val="sq-AL"/>
        </w:rPr>
        <w:t>eksperte kontabiliste</w:t>
      </w:r>
      <w:r w:rsidRPr="00F00CFB">
        <w:rPr>
          <w:lang w:val="sq-AL"/>
        </w:rPr>
        <w:t xml:space="preserve"> </w:t>
      </w:r>
      <w:r>
        <w:rPr>
          <w:lang w:val="sq-AL"/>
        </w:rPr>
        <w:t xml:space="preserve">përveç </w:t>
      </w:r>
      <w:r w:rsidR="00F00CFB">
        <w:rPr>
          <w:lang w:val="sq-AL"/>
        </w:rPr>
        <w:t xml:space="preserve">ekspertëve kontabilistë </w:t>
      </w:r>
      <w:r>
        <w:rPr>
          <w:lang w:val="sq-AL"/>
        </w:rPr>
        <w:t xml:space="preserve"> individualë të caktuar me 6 Mars 1998. Rrjedhimisht, më 5 Janar 1999 B paraqiti një raport. Sipas raportit</w:t>
      </w:r>
      <w:r w:rsidR="00F00CFB">
        <w:rPr>
          <w:lang w:val="sq-AL"/>
        </w:rPr>
        <w:t>, kishte qenë e pamundur për të p</w:t>
      </w:r>
      <w:r>
        <w:rPr>
          <w:lang w:val="sq-AL"/>
        </w:rPr>
        <w:t>ë</w:t>
      </w:r>
      <w:r w:rsidR="00F00CFB">
        <w:rPr>
          <w:lang w:val="sq-AL"/>
        </w:rPr>
        <w:t>rftuar</w:t>
      </w:r>
      <w:r>
        <w:rPr>
          <w:lang w:val="sq-AL"/>
        </w:rPr>
        <w:t xml:space="preserve"> ndonjë dokument deri më datën 28 Korrik 1998. Për shkak të kësaj vonese, koha e kufizuar në dispozicion nuk lejonte B</w:t>
      </w:r>
      <w:r w:rsidR="00F00CFB">
        <w:rPr>
          <w:lang w:val="sq-AL"/>
        </w:rPr>
        <w:t>-në</w:t>
      </w:r>
      <w:r>
        <w:rPr>
          <w:lang w:val="sq-AL"/>
        </w:rPr>
        <w:t xml:space="preserve"> të kryente dhe plotësonte kontrollin financiar të shoqërisë. </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Kontrolli financiar i shoqërisë ankuese duhej të bazohej vetëm në dokumentet e paraqitura nga Grupi i </w:t>
      </w:r>
      <w:r w:rsidR="004E3254">
        <w:rPr>
          <w:lang w:val="sq-AL"/>
        </w:rPr>
        <w:t>Mbikëqyrësve</w:t>
      </w:r>
      <w:r>
        <w:rPr>
          <w:lang w:val="sq-AL"/>
        </w:rPr>
        <w:t xml:space="preserve"> dhe administratorët, D, dhe duhej të përfundohej deri më 31 Dhjetor 1998. Përpara vitit 1996 nuk ë</w:t>
      </w:r>
      <w:r w:rsidR="004E3254">
        <w:rPr>
          <w:lang w:val="sq-AL"/>
        </w:rPr>
        <w:t>shtë marrë asnjë dokument apo e dhënë</w:t>
      </w:r>
      <w:r>
        <w:rPr>
          <w:lang w:val="sq-AL"/>
        </w:rPr>
        <w:t xml:space="preserve"> finan</w:t>
      </w:r>
      <w:r w:rsidR="004E3254">
        <w:rPr>
          <w:lang w:val="sq-AL"/>
        </w:rPr>
        <w:t>ciare për shoqërinë meqenëse</w:t>
      </w:r>
      <w:r>
        <w:rPr>
          <w:lang w:val="sq-AL"/>
        </w:rPr>
        <w:t xml:space="preserve"> ishin shkatërruar gjatë revoltave në Mars 1997. Përveç kësaj, nuk lejohej shqyrtimi i dokumenteve që ishin mbajtur nga prokuroria gjatë procedimeve kundër ankuesit individual, duke përfshirë dhjetë terminale kompjuterike. Prandaj, sipas raportit, rrjedhja e fondeve të sigur</w:t>
      </w:r>
      <w:r w:rsidR="007E17D5">
        <w:rPr>
          <w:lang w:val="sq-AL"/>
        </w:rPr>
        <w:t>u</w:t>
      </w:r>
      <w:r>
        <w:rPr>
          <w:lang w:val="sq-AL"/>
        </w:rPr>
        <w:t>ara nuk përfaqësonte saktësisht rrjedhjen aktuale të fondeve të shoqërisë meqe</w:t>
      </w:r>
      <w:r w:rsidR="007E17D5">
        <w:rPr>
          <w:lang w:val="sq-AL"/>
        </w:rPr>
        <w:t>nëse “saktësia absolute, ndon</w:t>
      </w:r>
      <w:r>
        <w:rPr>
          <w:lang w:val="sq-AL"/>
        </w:rPr>
        <w:t>ëse e</w:t>
      </w:r>
      <w:r w:rsidR="007E17D5">
        <w:rPr>
          <w:lang w:val="sq-AL"/>
        </w:rPr>
        <w:t xml:space="preserve"> dëshirueshme</w:t>
      </w:r>
      <w:r>
        <w:rPr>
          <w:lang w:val="sq-AL"/>
        </w:rPr>
        <w:t>, nuk mund të arrihej (d</w:t>
      </w:r>
      <w:r w:rsidR="00C80767">
        <w:rPr>
          <w:lang w:val="sq-AL"/>
        </w:rPr>
        <w:t>he nuk do të arrihet) duke pasur</w:t>
      </w:r>
      <w:r>
        <w:rPr>
          <w:lang w:val="sq-AL"/>
        </w:rPr>
        <w:t xml:space="preserve"> parasysh informacionin në dispozicion”.</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Raporti siguronte një përmbledhje të aktiviteteve vendase dhe ndërkombëtare, skemën organizative të saj dhe organizimin e sistemit të kontabilitetit dhe kontrol</w:t>
      </w:r>
      <w:r w:rsidR="007E17D5">
        <w:rPr>
          <w:lang w:val="sq-AL"/>
        </w:rPr>
        <w:t>lit financiar. Neni 4 përfshinte</w:t>
      </w:r>
      <w:r>
        <w:rPr>
          <w:lang w:val="sq-AL"/>
        </w:rPr>
        <w:t xml:space="preserve"> tabelë</w:t>
      </w:r>
      <w:r w:rsidR="007E17D5">
        <w:rPr>
          <w:lang w:val="sq-AL"/>
        </w:rPr>
        <w:t>n e</w:t>
      </w:r>
      <w:r>
        <w:rPr>
          <w:lang w:val="sq-AL"/>
        </w:rPr>
        <w:t xml:space="preserve"> rrjedhjes së fondeve. Raporti përfundonte duke deklaruar se “në fillimin e saj, dukej se shoqëria ishte angazhuar </w:t>
      </w:r>
      <w:r w:rsidR="007E17D5">
        <w:rPr>
          <w:lang w:val="sq-AL"/>
        </w:rPr>
        <w:t xml:space="preserve">në </w:t>
      </w:r>
      <w:r>
        <w:rPr>
          <w:lang w:val="sq-AL"/>
        </w:rPr>
        <w:t>biznes tregtar. Megjithatë pas marrjes së huave [drejt fundit të vitit 1994, në vitin 1995 dhe veçanërisht në vitin 1996], ajo filloi të shfaqte karakteristika të një skeme piramidale, në të cilën aktivite</w:t>
      </w:r>
      <w:r w:rsidR="00E67AEF">
        <w:rPr>
          <w:lang w:val="sq-AL"/>
        </w:rPr>
        <w:t>ti tregtar mori një rol dytësor</w:t>
      </w:r>
      <w:r>
        <w:rPr>
          <w:lang w:val="sq-AL"/>
        </w:rPr>
        <w:t xml:space="preserve"> </w:t>
      </w:r>
      <w:r w:rsidR="00E67AEF">
        <w:rPr>
          <w:lang w:val="sq-AL"/>
        </w:rPr>
        <w:t xml:space="preserve">në krahasim </w:t>
      </w:r>
      <w:r>
        <w:rPr>
          <w:lang w:val="sq-AL"/>
        </w:rPr>
        <w:t xml:space="preserve"> me depozitat. Në të vërtetë, niveli i të ardhurave nga aktivitetet tregtare nuk ishte dhe nuk mund të ishte i mjaftueshëm për të shlyer përqindjen e lartë të interesave dhe kapit</w:t>
      </w:r>
      <w:r w:rsidR="00E67AEF">
        <w:rPr>
          <w:lang w:val="sq-AL"/>
        </w:rPr>
        <w:t>alin e investuar nga depozituesit</w:t>
      </w:r>
      <w:r w:rsidR="009568F9">
        <w:rPr>
          <w:lang w:val="sq-AL"/>
        </w:rPr>
        <w:t>, pasi</w:t>
      </w:r>
      <w:r w:rsidR="00C80767">
        <w:rPr>
          <w:lang w:val="sq-AL"/>
        </w:rPr>
        <w:t xml:space="preserve"> </w:t>
      </w:r>
      <w:r>
        <w:rPr>
          <w:lang w:val="sq-AL"/>
        </w:rPr>
        <w:t>duhej të pranoheshin depozita të reja me qël</w:t>
      </w:r>
      <w:r w:rsidR="00E67AEF">
        <w:rPr>
          <w:lang w:val="sq-AL"/>
        </w:rPr>
        <w:t>lim që të shlyheshin depozituesit</w:t>
      </w:r>
      <w:r>
        <w:rPr>
          <w:lang w:val="sq-AL"/>
        </w:rPr>
        <w:t xml:space="preserve"> e mëparshëm.”</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Më 30 Korrik 1998 hyri në fuqi Ligji për Shitjen e Pasurive të Personave Juridik</w:t>
      </w:r>
      <w:r w:rsidR="00E67AEF">
        <w:rPr>
          <w:lang w:val="sq-AL"/>
        </w:rPr>
        <w:t>ë</w:t>
      </w:r>
      <w:r>
        <w:rPr>
          <w:lang w:val="sq-AL"/>
        </w:rPr>
        <w:t xml:space="preserve"> Jo-bankarë, mbi bazën e të cilit çdo pronë që i përkiste personave juridik</w:t>
      </w:r>
      <w:r w:rsidR="00E67AEF">
        <w:rPr>
          <w:lang w:val="sq-AL"/>
        </w:rPr>
        <w:t>ë</w:t>
      </w:r>
      <w:r>
        <w:rPr>
          <w:lang w:val="sq-AL"/>
        </w:rPr>
        <w:t xml:space="preserve"> jo-bankarë që kanë </w:t>
      </w:r>
      <w:r>
        <w:rPr>
          <w:lang w:val="sq-AL"/>
        </w:rPr>
        <w:lastRenderedPageBreak/>
        <w:t>marrë hua nga publiku i gjerë do të nxirreshin në shitje nga administ</w:t>
      </w:r>
      <w:r w:rsidR="00E67AEF">
        <w:rPr>
          <w:lang w:val="sq-AL"/>
        </w:rPr>
        <w:t>ratorët brenda të njëjtit vit. Për r</w:t>
      </w:r>
      <w:r>
        <w:rPr>
          <w:lang w:val="sq-AL"/>
        </w:rPr>
        <w:t>rjed</w:t>
      </w:r>
      <w:r w:rsidR="00E67AEF">
        <w:rPr>
          <w:lang w:val="sq-AL"/>
        </w:rPr>
        <w:t>hojë,</w:t>
      </w:r>
      <w:r>
        <w:rPr>
          <w:lang w:val="sq-AL"/>
        </w:rPr>
        <w:t xml:space="preserve"> </w:t>
      </w:r>
      <w:r w:rsidR="00E67AEF">
        <w:rPr>
          <w:lang w:val="sq-AL"/>
        </w:rPr>
        <w:t xml:space="preserve">u shitën </w:t>
      </w:r>
      <w:r>
        <w:rPr>
          <w:lang w:val="sq-AL"/>
        </w:rPr>
        <w:t xml:space="preserve">asetet dhe pasuritë e shoqërisë ankuese. </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Më 28 Nëntor 1998 hyri në fuqi Kushtetuta e Shqipërisë. Në një datë të pacaktuar, shoqëria ankuese, duke u bazuar në Kushtetutë, i kërkoi Gj</w:t>
      </w:r>
      <w:r w:rsidR="00DF55C8">
        <w:rPr>
          <w:lang w:val="sq-AL"/>
        </w:rPr>
        <w:t>ykatës Kushtetuese të shpallte</w:t>
      </w:r>
      <w:r>
        <w:rPr>
          <w:lang w:val="sq-AL"/>
        </w:rPr>
        <w:t xml:space="preserve"> jokushtetues Ligjin p</w:t>
      </w:r>
      <w:r w:rsidR="00DF55C8">
        <w:rPr>
          <w:lang w:val="sq-AL"/>
        </w:rPr>
        <w:t>ë</w:t>
      </w:r>
      <w:r>
        <w:rPr>
          <w:lang w:val="sq-AL"/>
        </w:rPr>
        <w:t>r Kontrollin Financiar të Personave Juridik</w:t>
      </w:r>
      <w:r w:rsidR="00DF55C8">
        <w:rPr>
          <w:lang w:val="sq-AL"/>
        </w:rPr>
        <w:t>ë</w:t>
      </w:r>
      <w:r>
        <w:rPr>
          <w:lang w:val="sq-AL"/>
        </w:rPr>
        <w:t xml:space="preserve"> Jo-bankarë dhe Ligjin për Shitjen e Pasurive të Personave Juridik</w:t>
      </w:r>
      <w:r w:rsidR="00DF55C8">
        <w:rPr>
          <w:lang w:val="sq-AL"/>
        </w:rPr>
        <w:t>ë</w:t>
      </w:r>
      <w:r>
        <w:rPr>
          <w:lang w:val="sq-AL"/>
        </w:rPr>
        <w:t xml:space="preserve"> Jo-bankarë. Më 17 Janar 1999 Gjykata Ku</w:t>
      </w:r>
      <w:r w:rsidR="00DF55C8">
        <w:rPr>
          <w:lang w:val="sq-AL"/>
        </w:rPr>
        <w:t>shtetuese rrëzoi</w:t>
      </w:r>
      <w:r w:rsidR="009568F9">
        <w:rPr>
          <w:lang w:val="sq-AL"/>
        </w:rPr>
        <w:t xml:space="preserve"> kërkesën për arsye</w:t>
      </w:r>
      <w:r w:rsidR="00DF55C8">
        <w:rPr>
          <w:lang w:val="sq-AL"/>
        </w:rPr>
        <w:t xml:space="preserve"> se</w:t>
      </w:r>
      <w:r>
        <w:rPr>
          <w:lang w:val="sq-AL"/>
        </w:rPr>
        <w:t xml:space="preserve"> nuk ishte në përputhje me Nenin 131 (f) dhe 134 të Kushtetutës, me</w:t>
      </w:r>
      <w:r w:rsidR="003A7A55">
        <w:rPr>
          <w:lang w:val="sq-AL"/>
        </w:rPr>
        <w:t xml:space="preserve"> </w:t>
      </w:r>
      <w:r>
        <w:rPr>
          <w:lang w:val="sq-AL"/>
        </w:rPr>
        <w:t xml:space="preserve">sa duket për mungesë </w:t>
      </w:r>
      <w:r w:rsidR="0004473C" w:rsidRPr="0004473C">
        <w:rPr>
          <w:lang w:val="sq-AL"/>
        </w:rPr>
        <w:t>legjitimimi</w:t>
      </w:r>
      <w:r w:rsidRPr="0004473C">
        <w:rPr>
          <w:lang w:val="sq-AL"/>
        </w:rPr>
        <w:t xml:space="preserve"> </w:t>
      </w:r>
      <w:r>
        <w:rPr>
          <w:lang w:val="sq-AL"/>
        </w:rPr>
        <w:t>(shih më poshtë “E drejta vendase përkatëse”).</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Në një datë t</w:t>
      </w:r>
      <w:r w:rsidR="009568F9">
        <w:rPr>
          <w:lang w:val="sq-AL"/>
        </w:rPr>
        <w:t xml:space="preserve">ë pacaktuar, ka shumë të ngjarë </w:t>
      </w:r>
      <w:r>
        <w:rPr>
          <w:lang w:val="sq-AL"/>
        </w:rPr>
        <w:t xml:space="preserve"> në vitin 1999</w:t>
      </w:r>
      <w:r w:rsidR="009568F9">
        <w:rPr>
          <w:lang w:val="sq-AL"/>
        </w:rPr>
        <w:t>, admi</w:t>
      </w:r>
      <w:r>
        <w:rPr>
          <w:lang w:val="sq-AL"/>
        </w:rPr>
        <w:t>nistratorët para</w:t>
      </w:r>
      <w:r w:rsidR="009568F9">
        <w:rPr>
          <w:lang w:val="sq-AL"/>
        </w:rPr>
        <w:t xml:space="preserve">qitën një raport financiar që </w:t>
      </w:r>
      <w:r>
        <w:rPr>
          <w:lang w:val="sq-AL"/>
        </w:rPr>
        <w:t>kor</w:t>
      </w:r>
      <w:r w:rsidR="009568F9">
        <w:rPr>
          <w:lang w:val="sq-AL"/>
        </w:rPr>
        <w:t>r</w:t>
      </w:r>
      <w:r>
        <w:rPr>
          <w:lang w:val="sq-AL"/>
        </w:rPr>
        <w:t xml:space="preserve">espondonte </w:t>
      </w:r>
      <w:r w:rsidR="009568F9">
        <w:rPr>
          <w:lang w:val="sq-AL"/>
        </w:rPr>
        <w:t>me përfundimin e</w:t>
      </w:r>
      <w:r>
        <w:rPr>
          <w:lang w:val="sq-AL"/>
        </w:rPr>
        <w:t xml:space="preserve"> fazës së dytë, e cila is</w:t>
      </w:r>
      <w:r w:rsidR="009568F9">
        <w:rPr>
          <w:lang w:val="sq-AL"/>
        </w:rPr>
        <w:t>hte përqendruar</w:t>
      </w:r>
      <w:r>
        <w:rPr>
          <w:lang w:val="sq-AL"/>
        </w:rPr>
        <w:t xml:space="preserve"> në shitjen e pasurive të shoqërisë ankuese. </w:t>
      </w:r>
      <w:r w:rsidR="009568F9">
        <w:rPr>
          <w:lang w:val="sq-AL"/>
        </w:rPr>
        <w:t>R</w:t>
      </w:r>
      <w:r>
        <w:rPr>
          <w:lang w:val="sq-AL"/>
        </w:rPr>
        <w:t xml:space="preserve">aporti përmbante </w:t>
      </w:r>
      <w:r w:rsidR="009568F9">
        <w:rPr>
          <w:lang w:val="sq-AL"/>
        </w:rPr>
        <w:t xml:space="preserve">gjithashtu </w:t>
      </w:r>
      <w:r>
        <w:rPr>
          <w:lang w:val="sq-AL"/>
        </w:rPr>
        <w:t xml:space="preserve">një deklaratë të faturave dhe pagesave, një përmbledhje të rrjedhjes së fondeve dhe një </w:t>
      </w:r>
      <w:r w:rsidRPr="00AF0F2A">
        <w:rPr>
          <w:lang w:val="sq-AL"/>
        </w:rPr>
        <w:t xml:space="preserve">deklaratë </w:t>
      </w:r>
      <w:r w:rsidR="00240CAF" w:rsidRPr="00AF0F2A">
        <w:rPr>
          <w:lang w:val="sq-AL"/>
        </w:rPr>
        <w:t>n</w:t>
      </w:r>
      <w:r w:rsidR="00AF0F2A" w:rsidRPr="00AF0F2A">
        <w:rPr>
          <w:lang w:val="sq-AL"/>
        </w:rPr>
        <w:t>ë</w:t>
      </w:r>
      <w:r w:rsidR="00240CAF" w:rsidRPr="00AF0F2A">
        <w:rPr>
          <w:lang w:val="sq-AL"/>
        </w:rPr>
        <w:t xml:space="preserve"> lidhje me vler</w:t>
      </w:r>
      <w:r w:rsidR="00AF0F2A" w:rsidRPr="00AF0F2A">
        <w:rPr>
          <w:lang w:val="sq-AL"/>
        </w:rPr>
        <w:t>ë</w:t>
      </w:r>
      <w:r w:rsidR="00240CAF" w:rsidRPr="00AF0F2A">
        <w:rPr>
          <w:lang w:val="sq-AL"/>
        </w:rPr>
        <w:t>simin e rez</w:t>
      </w:r>
      <w:r w:rsidR="00AF0F2A" w:rsidRPr="00AF0F2A">
        <w:rPr>
          <w:lang w:val="sq-AL"/>
        </w:rPr>
        <w:t>u</w:t>
      </w:r>
      <w:r w:rsidR="00240CAF" w:rsidRPr="00AF0F2A">
        <w:rPr>
          <w:lang w:val="sq-AL"/>
        </w:rPr>
        <w:t>ltatit</w:t>
      </w:r>
      <w:r w:rsidR="00240CAF">
        <w:rPr>
          <w:color w:val="FF0000"/>
          <w:lang w:val="sq-AL"/>
        </w:rPr>
        <w:t xml:space="preserve"> </w:t>
      </w:r>
      <w:r>
        <w:rPr>
          <w:lang w:val="sq-AL"/>
        </w:rPr>
        <w:t>të datës 31 Mars 1999.</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Më 17 Mars 2003 Parlamenti krijoi nj</w:t>
      </w:r>
      <w:r w:rsidR="00FD6BDC">
        <w:rPr>
          <w:lang w:val="sq-AL"/>
        </w:rPr>
        <w:t>ë komision hetimor për të shqyrtuar</w:t>
      </w:r>
      <w:r>
        <w:rPr>
          <w:lang w:val="sq-AL"/>
        </w:rPr>
        <w:t xml:space="preserve"> transparencën e procesit për administrimin dhe shitjen e pasurive që, </w:t>
      </w:r>
      <w:r w:rsidRPr="0003583D">
        <w:rPr>
          <w:i/>
          <w:lang w:val="sq-AL"/>
        </w:rPr>
        <w:t>inter alia</w:t>
      </w:r>
      <w:r>
        <w:rPr>
          <w:lang w:val="sq-AL"/>
        </w:rPr>
        <w:t>, i përkisnin shoqërisë ankuese. Opinioni kundërshtues i anëtarëve të komisionit hetimor që arrinte në 145 faq</w:t>
      </w:r>
      <w:r w:rsidR="00AF0F2A">
        <w:rPr>
          <w:lang w:val="sq-AL"/>
        </w:rPr>
        <w:t>e, ishte mjaft kritik për të gjith</w:t>
      </w:r>
      <w:r>
        <w:rPr>
          <w:lang w:val="sq-AL"/>
        </w:rPr>
        <w:t>ë pro</w:t>
      </w:r>
      <w:r w:rsidR="00AF0F2A">
        <w:rPr>
          <w:lang w:val="sq-AL"/>
        </w:rPr>
        <w:t>cesin, veçanërisht për procedurën jashtëgjyqësore të</w:t>
      </w:r>
      <w:r>
        <w:rPr>
          <w:lang w:val="sq-AL"/>
        </w:rPr>
        <w:t xml:space="preserve"> falimentimit që ishte ndjekur nga Qeveria.</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Më 22 Nëntor 2007 Grupi i Mbik</w:t>
      </w:r>
      <w:r w:rsidR="00AF0F2A">
        <w:rPr>
          <w:lang w:val="sq-AL"/>
        </w:rPr>
        <w:t>ë</w:t>
      </w:r>
      <w:r>
        <w:rPr>
          <w:lang w:val="sq-AL"/>
        </w:rPr>
        <w:t>qyrësve njoftoi shoqërinë ankuese se procesi vazhdonte akoma dhe se asnjë vendim gjykate nuk is</w:t>
      </w:r>
      <w:r w:rsidR="00AF0F2A">
        <w:rPr>
          <w:lang w:val="sq-AL"/>
        </w:rPr>
        <w:t>hte marrë akoma për të shpallur</w:t>
      </w:r>
      <w:r>
        <w:rPr>
          <w:lang w:val="sq-AL"/>
        </w:rPr>
        <w:t xml:space="preserve"> shoqërinë</w:t>
      </w:r>
      <w:r w:rsidR="00AF0F2A" w:rsidRPr="00AF0F2A">
        <w:rPr>
          <w:lang w:val="sq-AL"/>
        </w:rPr>
        <w:t xml:space="preserve"> </w:t>
      </w:r>
      <w:r w:rsidR="00AF0F2A">
        <w:rPr>
          <w:lang w:val="sq-AL"/>
        </w:rPr>
        <w:t>të falimentuar</w:t>
      </w:r>
      <w:r>
        <w:rPr>
          <w:lang w:val="sq-AL"/>
        </w:rPr>
        <w:t>.</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Më 29 Mars 2010 Grupi i Mbik</w:t>
      </w:r>
      <w:r w:rsidR="00AF0F2A">
        <w:rPr>
          <w:lang w:val="sq-AL"/>
        </w:rPr>
        <w:t>ë</w:t>
      </w:r>
      <w:r>
        <w:rPr>
          <w:lang w:val="sq-AL"/>
        </w:rPr>
        <w:t xml:space="preserve">qyrësve i dërgoi një letër Avokaturës së Shtetit. Sipas letrës shoqëria ankuese ishte certifikuar si një shoqëri që vepronte sipas një skeme piramidale </w:t>
      </w:r>
      <w:r w:rsidR="00AF0F2A">
        <w:rPr>
          <w:lang w:val="sq-AL"/>
        </w:rPr>
        <w:t>n</w:t>
      </w:r>
      <w:r w:rsidR="00D151B5">
        <w:rPr>
          <w:lang w:val="sq-AL"/>
        </w:rPr>
        <w:t>ë</w:t>
      </w:r>
      <w:r w:rsidR="00AF0F2A">
        <w:rPr>
          <w:lang w:val="sq-AL"/>
        </w:rPr>
        <w:t xml:space="preserve"> baz</w:t>
      </w:r>
      <w:r w:rsidR="00D151B5">
        <w:rPr>
          <w:lang w:val="sq-AL"/>
        </w:rPr>
        <w:t>ë</w:t>
      </w:r>
      <w:r w:rsidR="00AF0F2A">
        <w:rPr>
          <w:lang w:val="sq-AL"/>
        </w:rPr>
        <w:t xml:space="preserve"> të raporti</w:t>
      </w:r>
      <w:r w:rsidR="00D151B5">
        <w:rPr>
          <w:lang w:val="sq-AL"/>
        </w:rPr>
        <w:t>t</w:t>
      </w:r>
      <w:r w:rsidR="00AF0F2A">
        <w:rPr>
          <w:lang w:val="sq-AL"/>
        </w:rPr>
        <w:t xml:space="preserve"> t</w:t>
      </w:r>
      <w:r w:rsidR="00D151B5">
        <w:rPr>
          <w:lang w:val="sq-AL"/>
        </w:rPr>
        <w:t>ë</w:t>
      </w:r>
      <w:r>
        <w:rPr>
          <w:lang w:val="sq-AL"/>
        </w:rPr>
        <w:t xml:space="preserve"> administratorëve. Me vendim të Këshillit të Ministrave koeficienti i shlyerjes për shoqërinë ankuese u përcaktua në masën njëmbëdhjetë përqind. </w:t>
      </w:r>
      <w:r w:rsidR="00462BE9">
        <w:rPr>
          <w:lang w:val="sq-AL"/>
        </w:rPr>
        <w:t xml:space="preserve">Detyrimi </w:t>
      </w:r>
      <w:r w:rsidR="001B1302">
        <w:rPr>
          <w:lang w:val="sq-AL"/>
        </w:rPr>
        <w:t>debitor</w:t>
      </w:r>
      <w:r>
        <w:rPr>
          <w:lang w:val="sq-AL"/>
        </w:rPr>
        <w:t xml:space="preserve"> i shoqërisë ankuese arrinte në 34,361,781,170 lekë Shqiptare, që i </w:t>
      </w:r>
      <w:r w:rsidR="00D151B5">
        <w:rPr>
          <w:lang w:val="sq-AL"/>
        </w:rPr>
        <w:t>detyrohej</w:t>
      </w:r>
      <w:r>
        <w:rPr>
          <w:lang w:val="sq-AL"/>
        </w:rPr>
        <w:t xml:space="preserve"> 73,509 kreditorëve në total. 57,742 kreditor</w:t>
      </w:r>
      <w:r w:rsidR="00D151B5">
        <w:rPr>
          <w:lang w:val="sq-AL"/>
        </w:rPr>
        <w:t>ë</w:t>
      </w:r>
      <w:r>
        <w:rPr>
          <w:lang w:val="sq-AL"/>
        </w:rPr>
        <w:t xml:space="preserve"> kishin përfituar nga shlyerja dhe procesi i likuidimit vazhdonte për pjesën tjetër 15,757, për një shumë totale prej 440,550,176 lekë</w:t>
      </w:r>
      <w:r w:rsidR="00D151B5">
        <w:rPr>
          <w:lang w:val="sq-AL"/>
        </w:rPr>
        <w:t>sh</w:t>
      </w:r>
      <w:r>
        <w:rPr>
          <w:lang w:val="sq-AL"/>
        </w:rPr>
        <w:t xml:space="preserve"> Shqiptare. Raporti përfundonte se po bëheshin përpjekje për riatdhesimin në Shqipëri të një numri depozitash të zbuluara në vende të huaja. Administrimi i detyruar i shoqërisë ankuese vazhdoi në përputhje me ligjet </w:t>
      </w:r>
      <w:r w:rsidR="00D151B5">
        <w:rPr>
          <w:lang w:val="sq-AL"/>
        </w:rPr>
        <w:t xml:space="preserve">dhe </w:t>
      </w:r>
      <w:r>
        <w:rPr>
          <w:lang w:val="sq-AL"/>
        </w:rPr>
        <w:t xml:space="preserve">nën-ligjet në fuqi. </w:t>
      </w:r>
    </w:p>
    <w:p w:rsidR="006F4ACB" w:rsidRDefault="006F4ACB" w:rsidP="006F4ACB">
      <w:pPr>
        <w:tabs>
          <w:tab w:val="left" w:pos="90"/>
        </w:tabs>
        <w:jc w:val="both"/>
        <w:rPr>
          <w:lang w:val="sq-AL"/>
        </w:rPr>
      </w:pPr>
    </w:p>
    <w:p w:rsidR="006F4ACB" w:rsidRDefault="006F4ACB" w:rsidP="000409D4">
      <w:pPr>
        <w:pStyle w:val="ListParagraph"/>
        <w:numPr>
          <w:ilvl w:val="0"/>
          <w:numId w:val="2"/>
        </w:numPr>
        <w:tabs>
          <w:tab w:val="left" w:pos="90"/>
        </w:tabs>
        <w:jc w:val="both"/>
        <w:rPr>
          <w:b/>
          <w:lang w:val="sq-AL"/>
        </w:rPr>
      </w:pPr>
      <w:r w:rsidRPr="004A7295">
        <w:rPr>
          <w:b/>
          <w:lang w:val="sq-AL"/>
        </w:rPr>
        <w:t xml:space="preserve"> Procedimet penale ndaj ankuesit individual</w:t>
      </w:r>
    </w:p>
    <w:p w:rsidR="006F4ACB" w:rsidRPr="004A7295" w:rsidRDefault="006F4ACB" w:rsidP="006F4ACB">
      <w:pPr>
        <w:tabs>
          <w:tab w:val="left" w:pos="90"/>
        </w:tabs>
        <w:ind w:left="270"/>
        <w:jc w:val="both"/>
        <w:rPr>
          <w:b/>
          <w:lang w:val="sq-AL"/>
        </w:rPr>
      </w:pP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w:t>
      </w:r>
      <w:r w:rsidR="00AF7661">
        <w:rPr>
          <w:lang w:val="sq-AL"/>
        </w:rPr>
        <w:t xml:space="preserve"> Më 12 Prill 1998 administratorët</w:t>
      </w:r>
      <w:r>
        <w:rPr>
          <w:lang w:val="sq-AL"/>
        </w:rPr>
        <w:t xml:space="preserve"> kërkuan që ankuesi individual të ndiqej penalisht për mashtrim. Më 28 Prill 1998 prokurori akuzoi ankuesin individual për mashtrim. Ankuesi </w:t>
      </w:r>
      <w:r w:rsidR="00AF7661">
        <w:rPr>
          <w:lang w:val="sq-AL"/>
        </w:rPr>
        <w:t>individual u arrestua po atë</w:t>
      </w:r>
      <w:r>
        <w:rPr>
          <w:lang w:val="sq-AL"/>
        </w:rPr>
        <w:t xml:space="preserve"> ditë.</w:t>
      </w:r>
    </w:p>
    <w:p w:rsidR="006F4ACB" w:rsidRDefault="006F4ACB" w:rsidP="000409D4">
      <w:pPr>
        <w:pStyle w:val="ListParagraph"/>
        <w:numPr>
          <w:ilvl w:val="0"/>
          <w:numId w:val="1"/>
        </w:numPr>
        <w:tabs>
          <w:tab w:val="left" w:pos="90"/>
        </w:tabs>
        <w:ind w:left="0" w:firstLine="360"/>
        <w:jc w:val="both"/>
        <w:rPr>
          <w:lang w:val="sq-AL"/>
        </w:rPr>
      </w:pPr>
      <w:r>
        <w:rPr>
          <w:lang w:val="sq-AL"/>
        </w:rPr>
        <w:t>Më 10 Mars 1999 prokurori vendosi të cakonte tre ekspertë për të përgatitur një raport financiar kontabiliteti të shoqërisë ankuese.</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Më 21 Prill 1999 ekspertët paraqitën raportin e tyre, sipas të cilit numri i kreditorëve ishte 68,857 dhe detyrimet totale të shoqërisë ankuese </w:t>
      </w:r>
      <w:r w:rsidR="00AF7661">
        <w:rPr>
          <w:lang w:val="sq-AL"/>
        </w:rPr>
        <w:t>ishin 32,060,884,036 lekë Shqip</w:t>
      </w:r>
      <w:r>
        <w:rPr>
          <w:lang w:val="sq-AL"/>
        </w:rPr>
        <w:t>tare, të barabarta me 325,029,238 dollarë Amerikanë. Vlerësimet e tyre u bazuan në informacionin që ishte depozituar dhe përpunuar nga Grupi i Mbik</w:t>
      </w:r>
      <w:r w:rsidR="00AF7661">
        <w:rPr>
          <w:lang w:val="sq-AL"/>
        </w:rPr>
        <w:t>ë</w:t>
      </w:r>
      <w:r>
        <w:rPr>
          <w:lang w:val="sq-AL"/>
        </w:rPr>
        <w:t xml:space="preserve">qyrësve. Ato nuk u bazuan </w:t>
      </w:r>
      <w:r w:rsidR="00F274F8">
        <w:rPr>
          <w:lang w:val="sq-AL"/>
        </w:rPr>
        <w:t xml:space="preserve">në raportin </w:t>
      </w:r>
      <w:r>
        <w:rPr>
          <w:lang w:val="sq-AL"/>
        </w:rPr>
        <w:t>e dhënë nga shoqëria kontrolluese e caktuar nga Qeveria më 24 Qershor 1998.</w:t>
      </w:r>
    </w:p>
    <w:p w:rsidR="006F4ACB" w:rsidRDefault="00957911" w:rsidP="000409D4">
      <w:pPr>
        <w:pStyle w:val="ListParagraph"/>
        <w:numPr>
          <w:ilvl w:val="0"/>
          <w:numId w:val="1"/>
        </w:numPr>
        <w:tabs>
          <w:tab w:val="left" w:pos="90"/>
        </w:tabs>
        <w:ind w:left="0" w:firstLine="360"/>
        <w:jc w:val="both"/>
        <w:rPr>
          <w:lang w:val="sq-AL"/>
        </w:rPr>
      </w:pPr>
      <w:r>
        <w:rPr>
          <w:lang w:val="sq-AL"/>
        </w:rPr>
        <w:t xml:space="preserve">  Nëpërmjet një vendi</w:t>
      </w:r>
      <w:r w:rsidR="006F4ACB">
        <w:rPr>
          <w:lang w:val="sq-AL"/>
        </w:rPr>
        <w:t xml:space="preserve">mi të hollësishëm të datës 31 Maj 2000 Gjykata e Rrethit e shpalli ankuesin fajtor për mashtrim dhe e dënoi atë me 5 vjet burgim. Ankuesi dhe prokurori apeluan në një datë të pacaktuar në Qershor 2000. </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Në një datë të pacaktuar në Maj 2001 Gjykata e Apelit caktoi tre ekspertët e nj</w:t>
      </w:r>
      <w:r w:rsidR="00F274F8">
        <w:rPr>
          <w:lang w:val="sq-AL"/>
        </w:rPr>
        <w:t>ë</w:t>
      </w:r>
      <w:r>
        <w:rPr>
          <w:lang w:val="sq-AL"/>
        </w:rPr>
        <w:t xml:space="preserve">jtë për të bërë një raport tjetër financiar. </w:t>
      </w:r>
    </w:p>
    <w:p w:rsidR="006F4ACB" w:rsidRDefault="006F4ACB" w:rsidP="000409D4">
      <w:pPr>
        <w:pStyle w:val="ListParagraph"/>
        <w:numPr>
          <w:ilvl w:val="0"/>
          <w:numId w:val="1"/>
        </w:numPr>
        <w:tabs>
          <w:tab w:val="left" w:pos="90"/>
        </w:tabs>
        <w:ind w:left="0" w:firstLine="360"/>
        <w:jc w:val="both"/>
        <w:rPr>
          <w:lang w:val="sq-AL"/>
        </w:rPr>
      </w:pPr>
      <w:r>
        <w:rPr>
          <w:lang w:val="sq-AL"/>
        </w:rPr>
        <w:lastRenderedPageBreak/>
        <w:t>Më 17 Tetor 2001 ekspertët paraqitën raportin e tyre. Sipas raportit numri total i kred</w:t>
      </w:r>
      <w:r w:rsidR="00957911">
        <w:rPr>
          <w:lang w:val="sq-AL"/>
        </w:rPr>
        <w:t>itorëve ishte 57, 923 dhe detyrimi</w:t>
      </w:r>
      <w:r>
        <w:rPr>
          <w:lang w:val="sq-AL"/>
        </w:rPr>
        <w:t xml:space="preserve"> i përgjithshëm arrinte në 29,249,622,461 lekë Shqiptare, të barabart</w:t>
      </w:r>
      <w:r w:rsidR="00FA6ACB">
        <w:rPr>
          <w:lang w:val="sq-AL"/>
        </w:rPr>
        <w:t>ë</w:t>
      </w:r>
      <w:r>
        <w:rPr>
          <w:lang w:val="sq-AL"/>
        </w:rPr>
        <w:t xml:space="preserve"> me 199,045,000 dollarë Amerikanë në </w:t>
      </w:r>
      <w:r w:rsidR="00FA6ACB">
        <w:rPr>
          <w:lang w:val="sq-AL"/>
        </w:rPr>
        <w:t>atë kohë</w:t>
      </w:r>
      <w:r>
        <w:rPr>
          <w:lang w:val="sq-AL"/>
        </w:rPr>
        <w:t>. Kjo e dhënë është marrë nga kompjuterat e shoqërisë ankuese, të cilët ishin sekuestruar nga prokuroria. Duke iu referuar numrit të pretendimeve të bëra nga kreditorët pas fillimit të procedurave te administrimit të detyruar, raporti tregonte se numri i përgjithshëm i kredito</w:t>
      </w:r>
      <w:r w:rsidR="00957911">
        <w:rPr>
          <w:lang w:val="sq-AL"/>
        </w:rPr>
        <w:t>rëve ishte 38,652, ndërsa detyrimi</w:t>
      </w:r>
      <w:r>
        <w:rPr>
          <w:lang w:val="sq-AL"/>
        </w:rPr>
        <w:t xml:space="preserve"> total ishte 127,019,677 dollarë Amerikanë.</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w:t>
      </w:r>
      <w:r w:rsidRPr="00367E69">
        <w:rPr>
          <w:lang w:val="sq-AL"/>
        </w:rPr>
        <w:t>P</w:t>
      </w:r>
      <w:r>
        <w:rPr>
          <w:lang w:val="sq-AL"/>
        </w:rPr>
        <w:t>ë</w:t>
      </w:r>
      <w:r w:rsidRPr="00367E69">
        <w:rPr>
          <w:lang w:val="sq-AL"/>
        </w:rPr>
        <w:t>rsa i p</w:t>
      </w:r>
      <w:r>
        <w:rPr>
          <w:lang w:val="sq-AL"/>
        </w:rPr>
        <w:t>ë</w:t>
      </w:r>
      <w:r w:rsidRPr="00367E69">
        <w:rPr>
          <w:lang w:val="sq-AL"/>
        </w:rPr>
        <w:t>rket vler</w:t>
      </w:r>
      <w:r>
        <w:rPr>
          <w:lang w:val="sq-AL"/>
        </w:rPr>
        <w:t>ë</w:t>
      </w:r>
      <w:r w:rsidRPr="00367E69">
        <w:rPr>
          <w:lang w:val="sq-AL"/>
        </w:rPr>
        <w:t>s s</w:t>
      </w:r>
      <w:r>
        <w:rPr>
          <w:lang w:val="sq-AL"/>
        </w:rPr>
        <w:t>ë</w:t>
      </w:r>
      <w:r w:rsidRPr="00367E69">
        <w:rPr>
          <w:lang w:val="sq-AL"/>
        </w:rPr>
        <w:t xml:space="preserve"> aseteve t</w:t>
      </w:r>
      <w:r>
        <w:rPr>
          <w:lang w:val="sq-AL"/>
        </w:rPr>
        <w:t>ë</w:t>
      </w:r>
      <w:r w:rsidRPr="00367E69">
        <w:rPr>
          <w:lang w:val="sq-AL"/>
        </w:rPr>
        <w:t xml:space="preserve"> shoq</w:t>
      </w:r>
      <w:r>
        <w:rPr>
          <w:lang w:val="sq-AL"/>
        </w:rPr>
        <w:t>ë</w:t>
      </w:r>
      <w:r w:rsidRPr="00367E69">
        <w:rPr>
          <w:lang w:val="sq-AL"/>
        </w:rPr>
        <w:t>ris</w:t>
      </w:r>
      <w:r>
        <w:rPr>
          <w:lang w:val="sq-AL"/>
        </w:rPr>
        <w:t>ë</w:t>
      </w:r>
      <w:r w:rsidRPr="00367E69">
        <w:rPr>
          <w:lang w:val="sq-AL"/>
        </w:rPr>
        <w:t xml:space="preserve"> ankuese, raporti p</w:t>
      </w:r>
      <w:r>
        <w:rPr>
          <w:lang w:val="sq-AL"/>
        </w:rPr>
        <w:t>ë</w:t>
      </w:r>
      <w:r w:rsidRPr="00367E69">
        <w:rPr>
          <w:lang w:val="sq-AL"/>
        </w:rPr>
        <w:t>rfundonte se, deri m</w:t>
      </w:r>
      <w:r>
        <w:rPr>
          <w:lang w:val="sq-AL"/>
        </w:rPr>
        <w:t>ë</w:t>
      </w:r>
      <w:r w:rsidRPr="00367E69">
        <w:rPr>
          <w:lang w:val="sq-AL"/>
        </w:rPr>
        <w:t xml:space="preserve"> 27 Qershor 1997, asetet e saj arrinin n</w:t>
      </w:r>
      <w:r>
        <w:rPr>
          <w:lang w:val="sq-AL"/>
        </w:rPr>
        <w:t>ë</w:t>
      </w:r>
      <w:r w:rsidRPr="00367E69">
        <w:rPr>
          <w:lang w:val="sq-AL"/>
        </w:rPr>
        <w:t xml:space="preserve"> shum</w:t>
      </w:r>
      <w:r>
        <w:rPr>
          <w:lang w:val="sq-AL"/>
        </w:rPr>
        <w:t>ë</w:t>
      </w:r>
      <w:r w:rsidRPr="00367E69">
        <w:rPr>
          <w:lang w:val="sq-AL"/>
        </w:rPr>
        <w:t>n 336,563,915 dollar</w:t>
      </w:r>
      <w:r>
        <w:rPr>
          <w:lang w:val="sq-AL"/>
        </w:rPr>
        <w:t>ë</w:t>
      </w:r>
      <w:r w:rsidRPr="00367E69">
        <w:rPr>
          <w:lang w:val="sq-AL"/>
        </w:rPr>
        <w:t xml:space="preserve"> Amerikan</w:t>
      </w:r>
      <w:r>
        <w:rPr>
          <w:lang w:val="sq-AL"/>
        </w:rPr>
        <w:t>ë</w:t>
      </w:r>
      <w:r w:rsidRPr="00367E69">
        <w:rPr>
          <w:lang w:val="sq-AL"/>
        </w:rPr>
        <w:t>. Ky vler</w:t>
      </w:r>
      <w:r>
        <w:rPr>
          <w:lang w:val="sq-AL"/>
        </w:rPr>
        <w:t>ë</w:t>
      </w:r>
      <w:r w:rsidRPr="00367E69">
        <w:rPr>
          <w:lang w:val="sq-AL"/>
        </w:rPr>
        <w:t xml:space="preserve">sim </w:t>
      </w:r>
      <w:r>
        <w:rPr>
          <w:lang w:val="sq-AL"/>
        </w:rPr>
        <w:t>ë</w:t>
      </w:r>
      <w:r w:rsidRPr="00367E69">
        <w:rPr>
          <w:lang w:val="sq-AL"/>
        </w:rPr>
        <w:t>sht</w:t>
      </w:r>
      <w:r>
        <w:rPr>
          <w:lang w:val="sq-AL"/>
        </w:rPr>
        <w:t>ë</w:t>
      </w:r>
      <w:r w:rsidRPr="00367E69">
        <w:rPr>
          <w:lang w:val="sq-AL"/>
        </w:rPr>
        <w:t xml:space="preserve"> bazuar n</w:t>
      </w:r>
      <w:r>
        <w:rPr>
          <w:lang w:val="sq-AL"/>
        </w:rPr>
        <w:t>ë</w:t>
      </w:r>
      <w:r w:rsidRPr="00367E69">
        <w:rPr>
          <w:lang w:val="sq-AL"/>
        </w:rPr>
        <w:t xml:space="preserve"> nj</w:t>
      </w:r>
      <w:r>
        <w:rPr>
          <w:lang w:val="sq-AL"/>
        </w:rPr>
        <w:t>ë</w:t>
      </w:r>
      <w:r w:rsidRPr="00367E69">
        <w:rPr>
          <w:lang w:val="sq-AL"/>
        </w:rPr>
        <w:t xml:space="preserve"> vendim t</w:t>
      </w:r>
      <w:r>
        <w:rPr>
          <w:lang w:val="sq-AL"/>
        </w:rPr>
        <w:t>ë</w:t>
      </w:r>
      <w:r w:rsidRPr="00367E69">
        <w:rPr>
          <w:lang w:val="sq-AL"/>
        </w:rPr>
        <w:t xml:space="preserve"> Gjykat</w:t>
      </w:r>
      <w:r>
        <w:rPr>
          <w:lang w:val="sq-AL"/>
        </w:rPr>
        <w:t>ë</w:t>
      </w:r>
      <w:r w:rsidRPr="00367E69">
        <w:rPr>
          <w:lang w:val="sq-AL"/>
        </w:rPr>
        <w:t>s s</w:t>
      </w:r>
      <w:r>
        <w:rPr>
          <w:lang w:val="sq-AL"/>
        </w:rPr>
        <w:t>ë</w:t>
      </w:r>
      <w:r w:rsidRPr="00367E69">
        <w:rPr>
          <w:lang w:val="sq-AL"/>
        </w:rPr>
        <w:t xml:space="preserve"> Rrethit t</w:t>
      </w:r>
      <w:r>
        <w:rPr>
          <w:lang w:val="sq-AL"/>
        </w:rPr>
        <w:t>ë</w:t>
      </w:r>
      <w:r w:rsidRPr="00367E69">
        <w:rPr>
          <w:lang w:val="sq-AL"/>
        </w:rPr>
        <w:t xml:space="preserve"> dat</w:t>
      </w:r>
      <w:r>
        <w:rPr>
          <w:lang w:val="sq-AL"/>
        </w:rPr>
        <w:t>ë</w:t>
      </w:r>
      <w:r w:rsidRPr="00367E69">
        <w:rPr>
          <w:lang w:val="sq-AL"/>
        </w:rPr>
        <w:t>s 27 Qershor 1997, i cili rendiste pasurit</w:t>
      </w:r>
      <w:r>
        <w:rPr>
          <w:lang w:val="sq-AL"/>
        </w:rPr>
        <w:t>ë</w:t>
      </w:r>
      <w:r w:rsidRPr="00367E69">
        <w:rPr>
          <w:lang w:val="sq-AL"/>
        </w:rPr>
        <w:t xml:space="preserve"> e shoq</w:t>
      </w:r>
      <w:r>
        <w:rPr>
          <w:lang w:val="sq-AL"/>
        </w:rPr>
        <w:t>ë</w:t>
      </w:r>
      <w:r w:rsidRPr="00367E69">
        <w:rPr>
          <w:lang w:val="sq-AL"/>
        </w:rPr>
        <w:t>ris</w:t>
      </w:r>
      <w:r>
        <w:rPr>
          <w:lang w:val="sq-AL"/>
        </w:rPr>
        <w:t>ë</w:t>
      </w:r>
      <w:r w:rsidRPr="00367E69">
        <w:rPr>
          <w:lang w:val="sq-AL"/>
        </w:rPr>
        <w:t xml:space="preserve"> dhe vler</w:t>
      </w:r>
      <w:r>
        <w:rPr>
          <w:lang w:val="sq-AL"/>
        </w:rPr>
        <w:t>ë</w:t>
      </w:r>
      <w:r w:rsidRPr="00367E69">
        <w:rPr>
          <w:lang w:val="sq-AL"/>
        </w:rPr>
        <w:t>n monetare p</w:t>
      </w:r>
      <w:r>
        <w:rPr>
          <w:lang w:val="sq-AL"/>
        </w:rPr>
        <w:t>ë</w:t>
      </w:r>
      <w:r w:rsidRPr="00367E69">
        <w:rPr>
          <w:lang w:val="sq-AL"/>
        </w:rPr>
        <w:t>rkat</w:t>
      </w:r>
      <w:r>
        <w:rPr>
          <w:lang w:val="sq-AL"/>
        </w:rPr>
        <w:t>ë</w:t>
      </w:r>
      <w:r w:rsidRPr="00367E69">
        <w:rPr>
          <w:lang w:val="sq-AL"/>
        </w:rPr>
        <w:t>se</w:t>
      </w:r>
      <w:r>
        <w:rPr>
          <w:lang w:val="sq-AL"/>
        </w:rPr>
        <w:t>. Megjithatë, raporti zbriti vlerën e minierave dhe burimeve minerale</w:t>
      </w:r>
      <w:r w:rsidRPr="00367E69">
        <w:rPr>
          <w:lang w:val="sq-AL"/>
        </w:rPr>
        <w:t>.</w:t>
      </w:r>
      <w:r w:rsidRPr="00072637">
        <w:rPr>
          <w:rStyle w:val="FootnoteReference"/>
        </w:rPr>
        <w:footnoteReference w:id="1"/>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Pas fillimit të procedurave të administrimit të detyruar vlera totale e aseteve të shoqërisë ankuese arriti në 14,683,493 dollarë Amerikanë, nga të cilat 8,675,975 dollarë Amerikanë përbëheshin nga të ardhurat nga shitjet e aseteve dhe 6,007,513 dollarë Amerikanë ishte vlera e llogaritur e aseteve që nuk ishin shitur akoma.</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Përsa i përket rrjedhjes së fondeve në llogaritë bankare të shoqërisë ankuese raporti përfundonte se bilanci i saj ishte 11,533,063 dollarë Amerikanë. Megjithatë jo të gjitha bankat e përfshira kishin paraqitur raportet e rrjedhjes së fondeve. </w:t>
      </w:r>
      <w:r w:rsidR="00957911">
        <w:rPr>
          <w:lang w:val="sq-AL"/>
        </w:rPr>
        <w:t xml:space="preserve">Detyrimi debitor </w:t>
      </w:r>
      <w:r>
        <w:rPr>
          <w:lang w:val="sq-AL"/>
        </w:rPr>
        <w:t>që palët e treta i detyroheshin shoqërisë ankuese ishte llogaritur 18,453,348 dollarë Amerikanë. Raporti vlerësoi dëmin e aseteve të shoqërisë ankuese si rezultat i trazirave civile të vitit 1997 në shumën 201 milionë dollarë Amerikanë.</w:t>
      </w:r>
    </w:p>
    <w:p w:rsidR="006F4ACB" w:rsidRDefault="006F4ACB" w:rsidP="000409D4">
      <w:pPr>
        <w:pStyle w:val="ListParagraph"/>
        <w:numPr>
          <w:ilvl w:val="0"/>
          <w:numId w:val="1"/>
        </w:numPr>
        <w:tabs>
          <w:tab w:val="left" w:pos="90"/>
        </w:tabs>
        <w:ind w:left="0" w:firstLine="360"/>
        <w:jc w:val="both"/>
        <w:rPr>
          <w:lang w:val="sq-AL"/>
        </w:rPr>
      </w:pPr>
      <w:r>
        <w:rPr>
          <w:lang w:val="sq-AL"/>
        </w:rPr>
        <w:t>Më 24 Dhjetor 2001 Gjykata e Apelit u bazua n</w:t>
      </w:r>
      <w:r w:rsidR="00B002F2">
        <w:rPr>
          <w:lang w:val="sq-AL"/>
        </w:rPr>
        <w:t>ë</w:t>
      </w:r>
      <w:r>
        <w:rPr>
          <w:lang w:val="sq-AL"/>
        </w:rPr>
        <w:t xml:space="preserve"> fakte të njëjta të paraqitura në vendimin e Gjykatës së Rrethit. Ajo konstatoi se ankuesi individual ishte përgjegjës për mashtrimin e 57,923 kreditorëve në shumën totale prej 29,249,622,461 lekë</w:t>
      </w:r>
      <w:r w:rsidR="00B002F2">
        <w:rPr>
          <w:lang w:val="sq-AL"/>
        </w:rPr>
        <w:t>sh</w:t>
      </w:r>
      <w:r>
        <w:rPr>
          <w:lang w:val="sq-AL"/>
        </w:rPr>
        <w:t xml:space="preserve"> Shqiptare. Gjykata shpjegoi rënien në numrin e përgjithshëm të kreditor</w:t>
      </w:r>
      <w:r w:rsidR="0018146B">
        <w:rPr>
          <w:lang w:val="sq-AL"/>
        </w:rPr>
        <w:t>ëve dhe shumën totale të detyrimit</w:t>
      </w:r>
      <w:r>
        <w:rPr>
          <w:lang w:val="sq-AL"/>
        </w:rPr>
        <w:t xml:space="preserve"> nga zbritja e interesit të kapitalizuar dhe përjashtimi i regjistrave të pasaktë. Më tej g</w:t>
      </w:r>
      <w:r w:rsidR="0018146B">
        <w:rPr>
          <w:lang w:val="sq-AL"/>
        </w:rPr>
        <w:t>jykata rrëzoi të dhënat që rridh</w:t>
      </w:r>
      <w:r>
        <w:rPr>
          <w:lang w:val="sq-AL"/>
        </w:rPr>
        <w:t xml:space="preserve">nin nga fakti se procedurat e administrimit të detyruar ishin të pasakta, duke pasur parasysh faktin se jo të gjithë kreditorët mund të kenë paraqitur pretendimet e tyre. </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Gjykata e Apelit e dënoi ankuesin individual me njëz</w:t>
      </w:r>
      <w:r w:rsidR="0018146B">
        <w:rPr>
          <w:lang w:val="sq-AL"/>
        </w:rPr>
        <w:t>et vjet burgim në përputhje më N</w:t>
      </w:r>
      <w:r>
        <w:rPr>
          <w:lang w:val="sq-AL"/>
        </w:rPr>
        <w:t>enin 143 § 2 të Kodit Penal i cili kishte hyrë në fuqi më 24 Janar 2001.</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Më 22 Janar 2002 ankuesi individual apeloi.</w:t>
      </w:r>
    </w:p>
    <w:p w:rsidR="006F4ACB" w:rsidRDefault="006F4ACB" w:rsidP="000409D4">
      <w:pPr>
        <w:pStyle w:val="ListParagraph"/>
        <w:numPr>
          <w:ilvl w:val="0"/>
          <w:numId w:val="1"/>
        </w:numPr>
        <w:tabs>
          <w:tab w:val="left" w:pos="90"/>
        </w:tabs>
        <w:ind w:left="0" w:firstLine="360"/>
        <w:jc w:val="both"/>
        <w:rPr>
          <w:lang w:val="sq-AL"/>
        </w:rPr>
      </w:pPr>
      <w:r>
        <w:rPr>
          <w:lang w:val="sq-AL"/>
        </w:rPr>
        <w:t xml:space="preserve">  Më 22 Nëntor 2002 Gjykata e Lartë e shpalli ankuesin individual fajtor sipas akuzës. Duke u bazuar në fakte të njëjta me ato të përshkruara n</w:t>
      </w:r>
      <w:r w:rsidR="00702077">
        <w:rPr>
          <w:lang w:val="sq-AL"/>
        </w:rPr>
        <w:t>ë vendimet e gjykatave më të ul</w:t>
      </w:r>
      <w:r>
        <w:rPr>
          <w:lang w:val="sq-AL"/>
        </w:rPr>
        <w:t>ta, Gjykata e Lartë argumentoi se veprimet e ankuesit individual dhe aktivitetet e shoqëris</w:t>
      </w:r>
      <w:r w:rsidR="00B002F2">
        <w:rPr>
          <w:lang w:val="sq-AL"/>
        </w:rPr>
        <w:t>ë</w:t>
      </w:r>
      <w:r>
        <w:rPr>
          <w:lang w:val="sq-AL"/>
        </w:rPr>
        <w:t xml:space="preserve"> ankuese kish</w:t>
      </w:r>
      <w:r w:rsidR="006F0326">
        <w:rPr>
          <w:lang w:val="sq-AL"/>
        </w:rPr>
        <w:t>in qenë të pasakta dhe të pa</w:t>
      </w:r>
      <w:r>
        <w:rPr>
          <w:lang w:val="sq-AL"/>
        </w:rPr>
        <w:t xml:space="preserve">ligjshme. Ajo la në fuqi konstatimet e Gjykatës së Apelit në lidhje me numrin total të kreditorëve, pra, 57,923. Megjithatë ajo përfundoi se shuma totale e detyrimeve të ankuesit ishte </w:t>
      </w:r>
      <w:r w:rsidR="00502842">
        <w:rPr>
          <w:lang w:val="sq-AL"/>
        </w:rPr>
        <w:t>22,374,141,130 lekë Shqiptare (përa</w:t>
      </w:r>
      <w:r>
        <w:rPr>
          <w:lang w:val="sq-AL"/>
        </w:rPr>
        <w:t>fërsisht 157,453,000 dol</w:t>
      </w:r>
      <w:r w:rsidR="006F0326">
        <w:rPr>
          <w:lang w:val="sq-AL"/>
        </w:rPr>
        <w:t>larë Amerikanë në atë kohë</w:t>
      </w:r>
      <w:r>
        <w:rPr>
          <w:lang w:val="sq-AL"/>
        </w:rPr>
        <w:t>) pasi kishte zbritur rrjedhjen</w:t>
      </w:r>
      <w:r w:rsidR="006F0326">
        <w:rPr>
          <w:lang w:val="sq-AL"/>
        </w:rPr>
        <w:t xml:space="preserve"> </w:t>
      </w:r>
      <w:r>
        <w:rPr>
          <w:lang w:val="sq-AL"/>
        </w:rPr>
        <w:t>e fondeve t</w:t>
      </w:r>
      <w:r w:rsidR="006F0326">
        <w:rPr>
          <w:lang w:val="sq-AL"/>
        </w:rPr>
        <w:t>ë</w:t>
      </w:r>
      <w:r>
        <w:rPr>
          <w:lang w:val="sq-AL"/>
        </w:rPr>
        <w:t xml:space="preserve"> shoqërisë e cila arrinte në shumën 6,875,481,331 lekë Shqiptare.</w:t>
      </w:r>
    </w:p>
    <w:p w:rsidR="006F4ACB" w:rsidRDefault="001909AD" w:rsidP="000409D4">
      <w:pPr>
        <w:pStyle w:val="ListParagraph"/>
        <w:numPr>
          <w:ilvl w:val="0"/>
          <w:numId w:val="1"/>
        </w:numPr>
        <w:tabs>
          <w:tab w:val="left" w:pos="90"/>
        </w:tabs>
        <w:ind w:left="0" w:firstLine="360"/>
        <w:jc w:val="both"/>
        <w:rPr>
          <w:lang w:val="sq-AL"/>
        </w:rPr>
      </w:pPr>
      <w:r>
        <w:rPr>
          <w:lang w:val="sq-AL"/>
        </w:rPr>
        <w:t xml:space="preserve">  Në marrjen</w:t>
      </w:r>
      <w:r w:rsidR="006F4ACB">
        <w:rPr>
          <w:lang w:val="sq-AL"/>
        </w:rPr>
        <w:t xml:space="preserve"> e vendimit për ankuesin individual Gjykata e Lartë arsyetoi se ai duhej të shpallej përgjegjës penalisht për një numër akuzash të njëjtë me numrin e përgjithshëm të kreditorëve, pra 57,923, në përputhje me Nenin 141 § 1 të Kodit Penal, i cili parashikonte një periudhë burg</w:t>
      </w:r>
      <w:r w:rsidR="00FE18B7">
        <w:rPr>
          <w:lang w:val="sq-AL"/>
        </w:rPr>
        <w:t>imi prej 5 vjetësh. Për pasojë</w:t>
      </w:r>
      <w:r w:rsidR="006F4ACB">
        <w:rPr>
          <w:lang w:val="sq-AL"/>
        </w:rPr>
        <w:t xml:space="preserve">, ajo </w:t>
      </w:r>
      <w:r w:rsidR="00FE18B7">
        <w:rPr>
          <w:lang w:val="sq-AL"/>
        </w:rPr>
        <w:t xml:space="preserve">e </w:t>
      </w:r>
      <w:r w:rsidR="006F4ACB">
        <w:rPr>
          <w:lang w:val="sq-AL"/>
        </w:rPr>
        <w:t xml:space="preserve">dënoi ankuesin individual me njëzet vjet burgim. </w:t>
      </w:r>
    </w:p>
    <w:p w:rsidR="006F4ACB" w:rsidRDefault="006F4ACB" w:rsidP="000409D4">
      <w:pPr>
        <w:pStyle w:val="ListParagraph"/>
        <w:numPr>
          <w:ilvl w:val="0"/>
          <w:numId w:val="1"/>
        </w:numPr>
        <w:tabs>
          <w:tab w:val="left" w:pos="90"/>
        </w:tabs>
        <w:ind w:left="0" w:firstLine="360"/>
        <w:jc w:val="both"/>
        <w:rPr>
          <w:lang w:val="sq-AL"/>
        </w:rPr>
      </w:pPr>
      <w:r>
        <w:rPr>
          <w:lang w:val="sq-AL"/>
        </w:rPr>
        <w:lastRenderedPageBreak/>
        <w:t xml:space="preserve">  Një përshkrim i hollësishëm i fakteve në lidhje me procedimet penale ndaj ankuesit individual mund të gjendet në çështjen </w:t>
      </w:r>
      <w:r w:rsidRPr="002C2885">
        <w:rPr>
          <w:i/>
          <w:lang w:val="sq-AL"/>
        </w:rPr>
        <w:t>Alimu</w:t>
      </w:r>
      <w:r>
        <w:rPr>
          <w:i/>
          <w:lang w:val="sq-AL"/>
        </w:rPr>
        <w:t>ç</w:t>
      </w:r>
      <w:r w:rsidRPr="002C2885">
        <w:rPr>
          <w:i/>
          <w:lang w:val="sq-AL"/>
        </w:rPr>
        <w:t>aj k. Shqip</w:t>
      </w:r>
      <w:r>
        <w:rPr>
          <w:i/>
          <w:lang w:val="sq-AL"/>
        </w:rPr>
        <w:t>ë</w:t>
      </w:r>
      <w:r w:rsidRPr="002C2885">
        <w:rPr>
          <w:i/>
          <w:lang w:val="sq-AL"/>
        </w:rPr>
        <w:t>ris</w:t>
      </w:r>
      <w:r>
        <w:rPr>
          <w:i/>
          <w:lang w:val="sq-AL"/>
        </w:rPr>
        <w:t>ë</w:t>
      </w:r>
      <w:r>
        <w:rPr>
          <w:lang w:val="sq-AL"/>
        </w:rPr>
        <w:t xml:space="preserve">, nr. 20134 § 05 komunikuar më 7 Dhjetor 2009. </w:t>
      </w:r>
    </w:p>
    <w:p w:rsidR="006F4ACB" w:rsidRDefault="006F4ACB" w:rsidP="006F4ACB">
      <w:pPr>
        <w:tabs>
          <w:tab w:val="left" w:pos="90"/>
        </w:tabs>
        <w:jc w:val="both"/>
        <w:rPr>
          <w:lang w:val="sq-AL"/>
        </w:rPr>
      </w:pPr>
    </w:p>
    <w:p w:rsidR="006F4ACB" w:rsidRDefault="00FB06EA" w:rsidP="000409D4">
      <w:pPr>
        <w:pStyle w:val="ListParagraph"/>
        <w:numPr>
          <w:ilvl w:val="0"/>
          <w:numId w:val="2"/>
        </w:numPr>
        <w:tabs>
          <w:tab w:val="left" w:pos="90"/>
        </w:tabs>
        <w:jc w:val="both"/>
        <w:rPr>
          <w:b/>
          <w:lang w:val="sq-AL"/>
        </w:rPr>
      </w:pPr>
      <w:r>
        <w:rPr>
          <w:b/>
          <w:lang w:val="sq-AL"/>
        </w:rPr>
        <w:t>Derogimi (</w:t>
      </w:r>
      <w:r w:rsidR="001F3544" w:rsidRPr="00F6125F">
        <w:rPr>
          <w:b/>
          <w:lang w:val="sq-AL"/>
        </w:rPr>
        <w:t>Shmangi</w:t>
      </w:r>
      <w:r w:rsidR="006F4ACB" w:rsidRPr="00F6125F">
        <w:rPr>
          <w:b/>
          <w:lang w:val="sq-AL"/>
        </w:rPr>
        <w:t>a</w:t>
      </w:r>
      <w:r>
        <w:rPr>
          <w:b/>
          <w:lang w:val="sq-AL"/>
        </w:rPr>
        <w:t xml:space="preserve"> e p</w:t>
      </w:r>
      <w:r w:rsidR="00F6125F" w:rsidRPr="00F6125F">
        <w:rPr>
          <w:b/>
          <w:lang w:val="sq-AL"/>
        </w:rPr>
        <w:t>ë</w:t>
      </w:r>
      <w:r>
        <w:rPr>
          <w:b/>
          <w:lang w:val="sq-AL"/>
        </w:rPr>
        <w:t>rkohshme)</w:t>
      </w:r>
      <w:r w:rsidR="001F3544">
        <w:rPr>
          <w:b/>
          <w:lang w:val="sq-AL"/>
        </w:rPr>
        <w:t xml:space="preserve"> i</w:t>
      </w:r>
      <w:r w:rsidR="006F4ACB" w:rsidRPr="00D35FA3">
        <w:rPr>
          <w:b/>
          <w:lang w:val="sq-AL"/>
        </w:rPr>
        <w:t xml:space="preserve"> Shqip</w:t>
      </w:r>
      <w:r w:rsidR="006F4ACB">
        <w:rPr>
          <w:b/>
          <w:lang w:val="sq-AL"/>
        </w:rPr>
        <w:t>ë</w:t>
      </w:r>
      <w:r w:rsidR="006F4ACB" w:rsidRPr="00D35FA3">
        <w:rPr>
          <w:b/>
          <w:lang w:val="sq-AL"/>
        </w:rPr>
        <w:t>ris</w:t>
      </w:r>
      <w:r w:rsidR="006F4ACB">
        <w:rPr>
          <w:b/>
          <w:lang w:val="sq-AL"/>
        </w:rPr>
        <w:t>ë</w:t>
      </w:r>
      <w:r w:rsidR="006F4ACB" w:rsidRPr="00D35FA3">
        <w:rPr>
          <w:b/>
          <w:lang w:val="sq-AL"/>
        </w:rPr>
        <w:t xml:space="preserve"> nga detyrimet e saj sipas Konve</w:t>
      </w:r>
      <w:r w:rsidR="006F4ACB">
        <w:rPr>
          <w:b/>
          <w:lang w:val="sq-AL"/>
        </w:rPr>
        <w:t>n</w:t>
      </w:r>
      <w:r w:rsidR="006F4ACB" w:rsidRPr="00D35FA3">
        <w:rPr>
          <w:b/>
          <w:lang w:val="sq-AL"/>
        </w:rPr>
        <w:t>t</w:t>
      </w:r>
      <w:r w:rsidR="006F4ACB">
        <w:rPr>
          <w:b/>
          <w:lang w:val="sq-AL"/>
        </w:rPr>
        <w:t>ë</w:t>
      </w:r>
      <w:r w:rsidR="006F4ACB" w:rsidRPr="00D35FA3">
        <w:rPr>
          <w:b/>
          <w:lang w:val="sq-AL"/>
        </w:rPr>
        <w:t>s</w:t>
      </w:r>
    </w:p>
    <w:p w:rsidR="006F4ACB" w:rsidRPr="00D35FA3" w:rsidRDefault="006F4ACB" w:rsidP="006F4ACB">
      <w:pPr>
        <w:tabs>
          <w:tab w:val="left" w:pos="90"/>
        </w:tabs>
        <w:jc w:val="both"/>
        <w:rPr>
          <w:b/>
          <w:lang w:val="sq-AL"/>
        </w:rPr>
      </w:pPr>
    </w:p>
    <w:p w:rsidR="006F4ACB" w:rsidRDefault="006F4ACB" w:rsidP="000409D4">
      <w:pPr>
        <w:pStyle w:val="ListParagraph"/>
        <w:numPr>
          <w:ilvl w:val="0"/>
          <w:numId w:val="1"/>
        </w:numPr>
        <w:tabs>
          <w:tab w:val="left" w:pos="90"/>
        </w:tabs>
        <w:ind w:left="0" w:firstLine="360"/>
        <w:jc w:val="both"/>
        <w:rPr>
          <w:lang w:val="sq-AL"/>
        </w:rPr>
      </w:pPr>
      <w:r>
        <w:rPr>
          <w:lang w:val="sq-AL"/>
        </w:rPr>
        <w:t xml:space="preserve">Nëpërmjet </w:t>
      </w:r>
      <w:r>
        <w:rPr>
          <w:i/>
          <w:lang w:val="sq-AL"/>
        </w:rPr>
        <w:t>notës</w:t>
      </w:r>
      <w:r w:rsidRPr="002C2885">
        <w:rPr>
          <w:i/>
          <w:lang w:val="sq-AL"/>
        </w:rPr>
        <w:t xml:space="preserve"> verbale</w:t>
      </w:r>
      <w:r>
        <w:rPr>
          <w:lang w:val="sq-AL"/>
        </w:rPr>
        <w:t xml:space="preserve"> të datës 4 Mars 1997, e cila është regjistruar pranë Sekretariatit të Përgjithshëm më 10 Mars 1997, Ministria Shqiptare e Pu</w:t>
      </w:r>
      <w:r w:rsidR="008C4EAC">
        <w:rPr>
          <w:lang w:val="sq-AL"/>
        </w:rPr>
        <w:t>nëve të Jashtme, në përputhje me</w:t>
      </w:r>
      <w:r>
        <w:rPr>
          <w:lang w:val="sq-AL"/>
        </w:rPr>
        <w:t xml:space="preserve"> Nenin 15 të Konventës, njoftoi Sekretarin e Përgjithshëm të Këshillit të Europës mbi synimi</w:t>
      </w:r>
      <w:r w:rsidR="008C4EAC">
        <w:rPr>
          <w:lang w:val="sq-AL"/>
        </w:rPr>
        <w:t>n e Qeverisë për të deroguar</w:t>
      </w:r>
      <w:r>
        <w:rPr>
          <w:lang w:val="sq-AL"/>
        </w:rPr>
        <w:t xml:space="preserve"> nga detyrimet e saj sipas Konventës. Sipas </w:t>
      </w:r>
      <w:r w:rsidRPr="002C2885">
        <w:rPr>
          <w:i/>
          <w:lang w:val="sq-AL"/>
        </w:rPr>
        <w:t>not</w:t>
      </w:r>
      <w:r>
        <w:rPr>
          <w:i/>
          <w:lang w:val="sq-AL"/>
        </w:rPr>
        <w:t>ë</w:t>
      </w:r>
      <w:r w:rsidRPr="002C2885">
        <w:rPr>
          <w:i/>
          <w:lang w:val="sq-AL"/>
        </w:rPr>
        <w:t>s verbale</w:t>
      </w:r>
      <w:r>
        <w:rPr>
          <w:lang w:val="sq-AL"/>
        </w:rPr>
        <w:t xml:space="preserve"> kufizime ishin caktuar </w:t>
      </w:r>
      <w:r w:rsidRPr="002C2885">
        <w:rPr>
          <w:i/>
          <w:lang w:val="sq-AL"/>
        </w:rPr>
        <w:t>inter alia</w:t>
      </w:r>
      <w:r w:rsidR="008C4EAC">
        <w:rPr>
          <w:lang w:val="sq-AL"/>
        </w:rPr>
        <w:t xml:space="preserve"> në</w:t>
      </w:r>
      <w:r>
        <w:rPr>
          <w:lang w:val="sq-AL"/>
        </w:rPr>
        <w:t xml:space="preserve"> të drejtën e mbledhjes, lirinë e shtypit dhe informimit si dhe </w:t>
      </w:r>
      <w:r w:rsidR="008C4EAC">
        <w:rPr>
          <w:lang w:val="sq-AL"/>
        </w:rPr>
        <w:t xml:space="preserve">në </w:t>
      </w:r>
      <w:r>
        <w:rPr>
          <w:lang w:val="sq-AL"/>
        </w:rPr>
        <w:t>lëvizjen e lirë të njerëzve. Asn</w:t>
      </w:r>
      <w:r w:rsidR="0018146B">
        <w:rPr>
          <w:lang w:val="sq-AL"/>
        </w:rPr>
        <w:t>jë kufizim nuk ishte</w:t>
      </w:r>
      <w:r w:rsidR="008C4EAC">
        <w:rPr>
          <w:lang w:val="sq-AL"/>
        </w:rPr>
        <w:t xml:space="preserve"> caktuar në </w:t>
      </w:r>
      <w:r>
        <w:rPr>
          <w:lang w:val="sq-AL"/>
        </w:rPr>
        <w:t xml:space="preserve"> të drejtën </w:t>
      </w:r>
      <w:r w:rsidR="008C4EAC">
        <w:rPr>
          <w:lang w:val="sq-AL"/>
        </w:rPr>
        <w:t>për pronën</w:t>
      </w:r>
      <w:r>
        <w:rPr>
          <w:lang w:val="sq-AL"/>
        </w:rPr>
        <w:t xml:space="preserve">. </w:t>
      </w:r>
    </w:p>
    <w:p w:rsidR="006F4ACB" w:rsidRPr="003B602F" w:rsidRDefault="006F4ACB" w:rsidP="000409D4">
      <w:pPr>
        <w:pStyle w:val="ListParagraph"/>
        <w:numPr>
          <w:ilvl w:val="0"/>
          <w:numId w:val="1"/>
        </w:numPr>
        <w:tabs>
          <w:tab w:val="left" w:pos="90"/>
        </w:tabs>
        <w:ind w:left="0" w:firstLine="360"/>
        <w:jc w:val="both"/>
        <w:rPr>
          <w:lang w:val="sq-AL"/>
        </w:rPr>
      </w:pPr>
      <w:r>
        <w:rPr>
          <w:lang w:val="sq-AL"/>
        </w:rPr>
        <w:t xml:space="preserve">  Nëpërmjet </w:t>
      </w:r>
      <w:r w:rsidRPr="002C2885">
        <w:rPr>
          <w:i/>
          <w:lang w:val="sq-AL"/>
        </w:rPr>
        <w:t>not</w:t>
      </w:r>
      <w:r>
        <w:rPr>
          <w:i/>
          <w:lang w:val="sq-AL"/>
        </w:rPr>
        <w:t>ë</w:t>
      </w:r>
      <w:r w:rsidRPr="002C2885">
        <w:rPr>
          <w:i/>
          <w:lang w:val="sq-AL"/>
        </w:rPr>
        <w:t>s verbale</w:t>
      </w:r>
      <w:r>
        <w:rPr>
          <w:i/>
          <w:lang w:val="sq-AL"/>
        </w:rPr>
        <w:t xml:space="preserve"> </w:t>
      </w:r>
      <w:r>
        <w:rPr>
          <w:lang w:val="sq-AL"/>
        </w:rPr>
        <w:t>të datës 26 Korrik 1997, të regjistruar pranë Sekretariatit të Përgjithshëm më 24 Tetor 1997 Ministria Shqiptare e Punëve të Jashtme njoftoi Sekretarin e P</w:t>
      </w:r>
      <w:r w:rsidR="008C4EAC">
        <w:rPr>
          <w:lang w:val="sq-AL"/>
        </w:rPr>
        <w:t>ë</w:t>
      </w:r>
      <w:r>
        <w:rPr>
          <w:lang w:val="sq-AL"/>
        </w:rPr>
        <w:t xml:space="preserve">rgjithshëm të Këshillit të Europës se Qeveria po tërhiqte njoftimin e saj të </w:t>
      </w:r>
      <w:r w:rsidR="008C4EAC">
        <w:rPr>
          <w:lang w:val="sq-AL"/>
        </w:rPr>
        <w:t>derogimit</w:t>
      </w:r>
      <w:r>
        <w:rPr>
          <w:lang w:val="sq-AL"/>
        </w:rPr>
        <w:t xml:space="preserve"> sipas Nenit 15 të Konventës. </w:t>
      </w:r>
    </w:p>
    <w:p w:rsidR="006F4ACB" w:rsidRPr="007D0A24" w:rsidRDefault="006F4ACB" w:rsidP="000409D4">
      <w:pPr>
        <w:pStyle w:val="JuHA"/>
        <w:numPr>
          <w:ilvl w:val="0"/>
          <w:numId w:val="3"/>
        </w:numPr>
        <w:rPr>
          <w:lang w:val="de-AT"/>
        </w:rPr>
      </w:pPr>
      <w:r w:rsidRPr="007D0A24">
        <w:rPr>
          <w:lang w:val="de-AT"/>
        </w:rPr>
        <w:t>E drejta dhe praktika p</w:t>
      </w:r>
      <w:r>
        <w:rPr>
          <w:lang w:val="de-AT"/>
        </w:rPr>
        <w:t>ë</w:t>
      </w:r>
      <w:r w:rsidRPr="007D0A24">
        <w:rPr>
          <w:lang w:val="de-AT"/>
        </w:rPr>
        <w:t>rkat</w:t>
      </w:r>
      <w:r>
        <w:rPr>
          <w:lang w:val="de-AT"/>
        </w:rPr>
        <w:t>ë</w:t>
      </w:r>
      <w:r w:rsidRPr="007D0A24">
        <w:rPr>
          <w:lang w:val="de-AT"/>
        </w:rPr>
        <w:t xml:space="preserve">se vendase </w:t>
      </w:r>
    </w:p>
    <w:p w:rsidR="006F4ACB" w:rsidRPr="003828F8" w:rsidRDefault="003828F8" w:rsidP="006F4ACB">
      <w:pPr>
        <w:pStyle w:val="JuH1"/>
        <w:rPr>
          <w:lang w:val="de-AT"/>
        </w:rPr>
      </w:pPr>
      <w:r w:rsidRPr="003828F8">
        <w:rPr>
          <w:lang w:val="de-AT"/>
        </w:rPr>
        <w:t>1. Ligj</w:t>
      </w:r>
      <w:r w:rsidR="006F4ACB" w:rsidRPr="003828F8">
        <w:rPr>
          <w:lang w:val="de-AT"/>
        </w:rPr>
        <w:t xml:space="preserve">i </w:t>
      </w:r>
      <w:r w:rsidRPr="003828F8">
        <w:rPr>
          <w:lang w:val="de-AT"/>
        </w:rPr>
        <w:t>p</w:t>
      </w:r>
      <w:r w:rsidRPr="003828F8">
        <w:rPr>
          <w:lang w:val="sq-AL"/>
        </w:rPr>
        <w:t>ë</w:t>
      </w:r>
      <w:r w:rsidRPr="003828F8">
        <w:rPr>
          <w:lang w:val="de-AT"/>
        </w:rPr>
        <w:t xml:space="preserve">r </w:t>
      </w:r>
      <w:r w:rsidR="006F4ACB" w:rsidRPr="003828F8">
        <w:rPr>
          <w:lang w:val="de-AT"/>
        </w:rPr>
        <w:t xml:space="preserve">Dispozitat Kryesore Kushtetuese, nr. 7491datë 29 Prill 1991 ndryshuar me Ligjin nr. 8255 19 Nëntor 1997 </w:t>
      </w:r>
    </w:p>
    <w:p w:rsidR="006F4ACB" w:rsidRPr="003828F8" w:rsidRDefault="006F4ACB" w:rsidP="006F4ACB">
      <w:pPr>
        <w:pStyle w:val="JuPara"/>
        <w:rPr>
          <w:noProof/>
          <w:lang w:val="de-AT"/>
        </w:rPr>
      </w:pPr>
    </w:p>
    <w:p w:rsidR="006F4ACB" w:rsidRPr="00790167" w:rsidRDefault="006F4ACB" w:rsidP="000409D4">
      <w:pPr>
        <w:pStyle w:val="JuPara"/>
        <w:numPr>
          <w:ilvl w:val="0"/>
          <w:numId w:val="1"/>
        </w:numPr>
        <w:ind w:left="0" w:firstLine="360"/>
        <w:rPr>
          <w:lang w:val="de-AT"/>
        </w:rPr>
      </w:pPr>
      <w:r w:rsidRPr="00812F63">
        <w:rPr>
          <w:lang w:val="de-AT"/>
        </w:rPr>
        <w:t>Deri n</w:t>
      </w:r>
      <w:r>
        <w:rPr>
          <w:lang w:val="de-AT"/>
        </w:rPr>
        <w:t>ë</w:t>
      </w:r>
      <w:r w:rsidRPr="00812F63">
        <w:rPr>
          <w:lang w:val="de-AT"/>
        </w:rPr>
        <w:t xml:space="preserve"> miratimin e Kushtetut</w:t>
      </w:r>
      <w:r>
        <w:rPr>
          <w:lang w:val="de-AT"/>
        </w:rPr>
        <w:t>ë</w:t>
      </w:r>
      <w:r w:rsidRPr="00812F63">
        <w:rPr>
          <w:lang w:val="de-AT"/>
        </w:rPr>
        <w:t>s n</w:t>
      </w:r>
      <w:r>
        <w:rPr>
          <w:lang w:val="de-AT"/>
        </w:rPr>
        <w:t>ë</w:t>
      </w:r>
      <w:r w:rsidR="00367742">
        <w:rPr>
          <w:lang w:val="de-AT"/>
        </w:rPr>
        <w:t xml:space="preserve"> vitin 1998, Ligji p</w:t>
      </w:r>
      <w:r w:rsidR="00367742" w:rsidRPr="00367742">
        <w:rPr>
          <w:lang w:val="de-AT"/>
        </w:rPr>
        <w:t>ë</w:t>
      </w:r>
      <w:r w:rsidR="00367742">
        <w:rPr>
          <w:lang w:val="de-AT"/>
        </w:rPr>
        <w:t>r</w:t>
      </w:r>
      <w:r w:rsidRPr="00812F63">
        <w:rPr>
          <w:lang w:val="de-AT"/>
        </w:rPr>
        <w:t xml:space="preserve"> Dispozitat Kryesore Kushtetuese ishte ligji baz</w:t>
      </w:r>
      <w:r>
        <w:rPr>
          <w:lang w:val="de-AT"/>
        </w:rPr>
        <w:t>ë</w:t>
      </w:r>
      <w:r w:rsidRPr="00812F63">
        <w:rPr>
          <w:lang w:val="de-AT"/>
        </w:rPr>
        <w:t xml:space="preserve"> n</w:t>
      </w:r>
      <w:r>
        <w:rPr>
          <w:lang w:val="de-AT"/>
        </w:rPr>
        <w:t>ë</w:t>
      </w:r>
      <w:r w:rsidRPr="00812F63">
        <w:rPr>
          <w:lang w:val="de-AT"/>
        </w:rPr>
        <w:t xml:space="preserve"> Shqip</w:t>
      </w:r>
      <w:r>
        <w:rPr>
          <w:lang w:val="de-AT"/>
        </w:rPr>
        <w:t>ë</w:t>
      </w:r>
      <w:r w:rsidR="001909AD">
        <w:rPr>
          <w:lang w:val="de-AT"/>
        </w:rPr>
        <w:t>ri. Neni 3 par</w:t>
      </w:r>
      <w:r w:rsidRPr="00812F63">
        <w:rPr>
          <w:lang w:val="de-AT"/>
        </w:rPr>
        <w:t>ashikonte ndarjen e pushteteve (legjislativi, ekzekutivi dhe gjyq</w:t>
      </w:r>
      <w:r>
        <w:rPr>
          <w:lang w:val="de-AT"/>
        </w:rPr>
        <w:t>ë</w:t>
      </w:r>
      <w:r w:rsidRPr="00812F63">
        <w:rPr>
          <w:lang w:val="de-AT"/>
        </w:rPr>
        <w:t xml:space="preserve">sori). </w:t>
      </w:r>
      <w:r w:rsidRPr="00790167">
        <w:rPr>
          <w:lang w:val="de-AT"/>
        </w:rPr>
        <w:t>Neni 10, i cili parashikonte t</w:t>
      </w:r>
      <w:r>
        <w:rPr>
          <w:lang w:val="de-AT"/>
        </w:rPr>
        <w:t>ë</w:t>
      </w:r>
      <w:r w:rsidRPr="00790167">
        <w:rPr>
          <w:lang w:val="de-AT"/>
        </w:rPr>
        <w:t xml:space="preserve"> drejt</w:t>
      </w:r>
      <w:r>
        <w:rPr>
          <w:lang w:val="de-AT"/>
        </w:rPr>
        <w:t>ë</w:t>
      </w:r>
      <w:r w:rsidRPr="00790167">
        <w:rPr>
          <w:lang w:val="de-AT"/>
        </w:rPr>
        <w:t>n e iniciativ</w:t>
      </w:r>
      <w:r>
        <w:rPr>
          <w:lang w:val="de-AT"/>
        </w:rPr>
        <w:t>ë</w:t>
      </w:r>
      <w:r w:rsidR="001909AD">
        <w:rPr>
          <w:lang w:val="de-AT"/>
        </w:rPr>
        <w:t>s e</w:t>
      </w:r>
      <w:r w:rsidRPr="00790167">
        <w:rPr>
          <w:lang w:val="de-AT"/>
        </w:rPr>
        <w:t>konomike, citohet si m</w:t>
      </w:r>
      <w:r>
        <w:rPr>
          <w:lang w:val="de-AT"/>
        </w:rPr>
        <w:t>ë</w:t>
      </w:r>
      <w:r w:rsidRPr="00790167">
        <w:rPr>
          <w:lang w:val="de-AT"/>
        </w:rPr>
        <w:t xml:space="preserve"> posht</w:t>
      </w:r>
      <w:r>
        <w:rPr>
          <w:lang w:val="de-AT"/>
        </w:rPr>
        <w:t>ë</w:t>
      </w:r>
      <w:r w:rsidRPr="00790167">
        <w:rPr>
          <w:lang w:val="de-AT"/>
        </w:rPr>
        <w:t>:</w:t>
      </w:r>
    </w:p>
    <w:p w:rsidR="006F4ACB" w:rsidRPr="005C2CD9" w:rsidRDefault="006F4ACB" w:rsidP="006F4ACB">
      <w:pPr>
        <w:pStyle w:val="JuQuot"/>
        <w:rPr>
          <w:lang w:val="de-AT"/>
        </w:rPr>
      </w:pPr>
      <w:r w:rsidRPr="005C2CD9">
        <w:rPr>
          <w:lang w:val="de-AT"/>
        </w:rPr>
        <w:t>“Ekonomia e vendit bazohet n</w:t>
      </w:r>
      <w:r>
        <w:rPr>
          <w:lang w:val="de-AT"/>
        </w:rPr>
        <w:t>ë</w:t>
      </w:r>
      <w:r w:rsidRPr="005C2CD9">
        <w:rPr>
          <w:lang w:val="de-AT"/>
        </w:rPr>
        <w:t xml:space="preserve"> shum</w:t>
      </w:r>
      <w:r>
        <w:rPr>
          <w:lang w:val="de-AT"/>
        </w:rPr>
        <w:t>ë</w:t>
      </w:r>
      <w:r w:rsidRPr="005C2CD9">
        <w:rPr>
          <w:lang w:val="de-AT"/>
        </w:rPr>
        <w:t>llojshm</w:t>
      </w:r>
      <w:r>
        <w:rPr>
          <w:lang w:val="de-AT"/>
        </w:rPr>
        <w:t>ë</w:t>
      </w:r>
      <w:r w:rsidRPr="005C2CD9">
        <w:rPr>
          <w:lang w:val="de-AT"/>
        </w:rPr>
        <w:t>rin</w:t>
      </w:r>
      <w:r>
        <w:rPr>
          <w:lang w:val="de-AT"/>
        </w:rPr>
        <w:t>ë</w:t>
      </w:r>
      <w:r w:rsidRPr="005C2CD9">
        <w:rPr>
          <w:lang w:val="de-AT"/>
        </w:rPr>
        <w:t xml:space="preserve"> e pronave, iniciativ</w:t>
      </w:r>
      <w:r>
        <w:rPr>
          <w:lang w:val="de-AT"/>
        </w:rPr>
        <w:t>ë</w:t>
      </w:r>
      <w:r w:rsidRPr="005C2CD9">
        <w:rPr>
          <w:lang w:val="de-AT"/>
        </w:rPr>
        <w:t>n e lir</w:t>
      </w:r>
      <w:r>
        <w:rPr>
          <w:lang w:val="de-AT"/>
        </w:rPr>
        <w:t>ë</w:t>
      </w:r>
      <w:r w:rsidRPr="005C2CD9">
        <w:rPr>
          <w:lang w:val="de-AT"/>
        </w:rPr>
        <w:t xml:space="preserve"> t</w:t>
      </w:r>
      <w:r>
        <w:rPr>
          <w:lang w:val="de-AT"/>
        </w:rPr>
        <w:t>ë</w:t>
      </w:r>
      <w:r w:rsidRPr="005C2CD9">
        <w:rPr>
          <w:lang w:val="de-AT"/>
        </w:rPr>
        <w:t xml:space="preserve"> t</w:t>
      </w:r>
      <w:r>
        <w:rPr>
          <w:lang w:val="de-AT"/>
        </w:rPr>
        <w:t>ë</w:t>
      </w:r>
      <w:r w:rsidRPr="005C2CD9">
        <w:rPr>
          <w:lang w:val="de-AT"/>
        </w:rPr>
        <w:t xml:space="preserve"> gjitha subjekteve ekonomike dhe n</w:t>
      </w:r>
      <w:r>
        <w:rPr>
          <w:lang w:val="de-AT"/>
        </w:rPr>
        <w:t>ë</w:t>
      </w:r>
      <w:r w:rsidRPr="005C2CD9">
        <w:rPr>
          <w:lang w:val="de-AT"/>
        </w:rPr>
        <w:t xml:space="preserve"> rolin rregullues t</w:t>
      </w:r>
      <w:r>
        <w:rPr>
          <w:lang w:val="de-AT"/>
        </w:rPr>
        <w:t>ë</w:t>
      </w:r>
      <w:r w:rsidRPr="005C2CD9">
        <w:rPr>
          <w:lang w:val="de-AT"/>
        </w:rPr>
        <w:t xml:space="preserve"> Shtetit.</w:t>
      </w:r>
    </w:p>
    <w:p w:rsidR="006F4ACB" w:rsidRPr="005C2CD9" w:rsidRDefault="006F4ACB" w:rsidP="006F4ACB">
      <w:pPr>
        <w:pStyle w:val="JuQuot"/>
        <w:rPr>
          <w:lang w:val="de-AT"/>
        </w:rPr>
      </w:pPr>
      <w:r w:rsidRPr="005C2CD9">
        <w:rPr>
          <w:lang w:val="de-AT"/>
        </w:rPr>
        <w:t>Iniciativa ekonomike e personave juridik</w:t>
      </w:r>
      <w:r>
        <w:rPr>
          <w:lang w:val="de-AT"/>
        </w:rPr>
        <w:t>ë</w:t>
      </w:r>
      <w:r w:rsidRPr="005C2CD9">
        <w:rPr>
          <w:lang w:val="de-AT"/>
        </w:rPr>
        <w:t xml:space="preserve"> dhe fizik</w:t>
      </w:r>
      <w:r>
        <w:rPr>
          <w:lang w:val="de-AT"/>
        </w:rPr>
        <w:t>ë</w:t>
      </w:r>
      <w:r w:rsidRPr="005C2CD9">
        <w:rPr>
          <w:lang w:val="de-AT"/>
        </w:rPr>
        <w:t xml:space="preserve"> nuk mund t</w:t>
      </w:r>
      <w:r>
        <w:rPr>
          <w:lang w:val="de-AT"/>
        </w:rPr>
        <w:t>ë</w:t>
      </w:r>
      <w:r w:rsidRPr="005C2CD9">
        <w:rPr>
          <w:lang w:val="de-AT"/>
        </w:rPr>
        <w:t xml:space="preserve"> zhvillohet n</w:t>
      </w:r>
      <w:r>
        <w:rPr>
          <w:lang w:val="de-AT"/>
        </w:rPr>
        <w:t>ë</w:t>
      </w:r>
      <w:r w:rsidRPr="005C2CD9">
        <w:rPr>
          <w:lang w:val="de-AT"/>
        </w:rPr>
        <w:t xml:space="preserve"> kund</w:t>
      </w:r>
      <w:r>
        <w:rPr>
          <w:lang w:val="de-AT"/>
        </w:rPr>
        <w:t>ë</w:t>
      </w:r>
      <w:r w:rsidRPr="005C2CD9">
        <w:rPr>
          <w:lang w:val="de-AT"/>
        </w:rPr>
        <w:t>rshtim me interesin shoq</w:t>
      </w:r>
      <w:r>
        <w:rPr>
          <w:lang w:val="de-AT"/>
        </w:rPr>
        <w:t>ë</w:t>
      </w:r>
      <w:r w:rsidRPr="005C2CD9">
        <w:rPr>
          <w:lang w:val="de-AT"/>
        </w:rPr>
        <w:t>ror dhe nuk duhet t</w:t>
      </w:r>
      <w:r>
        <w:rPr>
          <w:lang w:val="de-AT"/>
        </w:rPr>
        <w:t>ë</w:t>
      </w:r>
      <w:r w:rsidRPr="005C2CD9">
        <w:rPr>
          <w:lang w:val="de-AT"/>
        </w:rPr>
        <w:t xml:space="preserve"> c</w:t>
      </w:r>
      <w:r>
        <w:rPr>
          <w:lang w:val="de-AT"/>
        </w:rPr>
        <w:t>ë</w:t>
      </w:r>
      <w:r w:rsidRPr="005C2CD9">
        <w:rPr>
          <w:lang w:val="de-AT"/>
        </w:rPr>
        <w:t>noj</w:t>
      </w:r>
      <w:r>
        <w:rPr>
          <w:lang w:val="de-AT"/>
        </w:rPr>
        <w:t>ë</w:t>
      </w:r>
      <w:r w:rsidRPr="005C2CD9">
        <w:rPr>
          <w:lang w:val="de-AT"/>
        </w:rPr>
        <w:t xml:space="preserve"> sigurin</w:t>
      </w:r>
      <w:r>
        <w:rPr>
          <w:lang w:val="de-AT"/>
        </w:rPr>
        <w:t>ë</w:t>
      </w:r>
      <w:r w:rsidRPr="005C2CD9">
        <w:rPr>
          <w:lang w:val="de-AT"/>
        </w:rPr>
        <w:t>, lirin</w:t>
      </w:r>
      <w:r>
        <w:rPr>
          <w:lang w:val="de-AT"/>
        </w:rPr>
        <w:t>ë</w:t>
      </w:r>
      <w:r w:rsidRPr="005C2CD9">
        <w:rPr>
          <w:lang w:val="de-AT"/>
        </w:rPr>
        <w:t xml:space="preserve"> dhe dinjitetin e njeriut.”</w:t>
      </w:r>
    </w:p>
    <w:p w:rsidR="006F4ACB" w:rsidRPr="00D8315E" w:rsidRDefault="006F4ACB" w:rsidP="000409D4">
      <w:pPr>
        <w:pStyle w:val="JuPara"/>
        <w:numPr>
          <w:ilvl w:val="0"/>
          <w:numId w:val="1"/>
        </w:numPr>
        <w:ind w:left="0" w:firstLine="360"/>
        <w:rPr>
          <w:lang w:val="de-AT"/>
        </w:rPr>
      </w:pPr>
      <w:r w:rsidRPr="00D8315E">
        <w:rPr>
          <w:lang w:val="de-AT"/>
        </w:rPr>
        <w:t>Neni 11 njihte g</w:t>
      </w:r>
      <w:r>
        <w:rPr>
          <w:lang w:val="de-AT"/>
        </w:rPr>
        <w:t>ë</w:t>
      </w:r>
      <w:r w:rsidR="001909AD">
        <w:rPr>
          <w:lang w:val="de-AT"/>
        </w:rPr>
        <w:t>zimin e s</w:t>
      </w:r>
      <w:r>
        <w:rPr>
          <w:lang w:val="de-AT"/>
        </w:rPr>
        <w:t>ë</w:t>
      </w:r>
      <w:r w:rsidRPr="00D8315E">
        <w:rPr>
          <w:lang w:val="de-AT"/>
        </w:rPr>
        <w:t xml:space="preserve"> drejt</w:t>
      </w:r>
      <w:r>
        <w:rPr>
          <w:lang w:val="de-AT"/>
        </w:rPr>
        <w:t>ë</w:t>
      </w:r>
      <w:r w:rsidRPr="00D8315E">
        <w:rPr>
          <w:lang w:val="de-AT"/>
        </w:rPr>
        <w:t>s s</w:t>
      </w:r>
      <w:r>
        <w:rPr>
          <w:lang w:val="de-AT"/>
        </w:rPr>
        <w:t>ë</w:t>
      </w:r>
      <w:r w:rsidRPr="00D8315E">
        <w:rPr>
          <w:lang w:val="de-AT"/>
        </w:rPr>
        <w:t xml:space="preserve"> pron</w:t>
      </w:r>
      <w:r>
        <w:rPr>
          <w:lang w:val="de-AT"/>
        </w:rPr>
        <w:t>ë</w:t>
      </w:r>
      <w:r w:rsidR="001909AD">
        <w:rPr>
          <w:lang w:val="de-AT"/>
        </w:rPr>
        <w:t>s</w:t>
      </w:r>
      <w:r w:rsidRPr="00D8315E">
        <w:rPr>
          <w:lang w:val="de-AT"/>
        </w:rPr>
        <w:t xml:space="preserve">. </w:t>
      </w:r>
    </w:p>
    <w:p w:rsidR="006F4ACB" w:rsidRPr="00D8315E" w:rsidRDefault="006F4ACB" w:rsidP="000409D4">
      <w:pPr>
        <w:pStyle w:val="JuPara"/>
        <w:numPr>
          <w:ilvl w:val="0"/>
          <w:numId w:val="1"/>
        </w:numPr>
        <w:ind w:left="0" w:firstLine="360"/>
        <w:rPr>
          <w:lang w:val="de-AT"/>
        </w:rPr>
      </w:pPr>
      <w:r w:rsidRPr="00D8315E">
        <w:rPr>
          <w:lang w:val="de-AT"/>
        </w:rPr>
        <w:t>Pas vendimit t</w:t>
      </w:r>
      <w:r>
        <w:rPr>
          <w:lang w:val="de-AT"/>
        </w:rPr>
        <w:t>ë</w:t>
      </w:r>
      <w:r w:rsidRPr="00D8315E">
        <w:rPr>
          <w:lang w:val="de-AT"/>
        </w:rPr>
        <w:t xml:space="preserve"> Gjykat</w:t>
      </w:r>
      <w:r>
        <w:rPr>
          <w:lang w:val="de-AT"/>
        </w:rPr>
        <w:t>ë</w:t>
      </w:r>
      <w:r w:rsidRPr="00D8315E">
        <w:rPr>
          <w:lang w:val="de-AT"/>
        </w:rPr>
        <w:t>s Kushtetuese t</w:t>
      </w:r>
      <w:r>
        <w:rPr>
          <w:lang w:val="de-AT"/>
        </w:rPr>
        <w:t>ë</w:t>
      </w:r>
      <w:r w:rsidRPr="00D8315E">
        <w:rPr>
          <w:lang w:val="de-AT"/>
        </w:rPr>
        <w:t xml:space="preserve"> dat</w:t>
      </w:r>
      <w:r>
        <w:rPr>
          <w:lang w:val="de-AT"/>
        </w:rPr>
        <w:t>ë</w:t>
      </w:r>
      <w:r w:rsidRPr="00D8315E">
        <w:rPr>
          <w:lang w:val="de-AT"/>
        </w:rPr>
        <w:t>s 13 N</w:t>
      </w:r>
      <w:r>
        <w:rPr>
          <w:lang w:val="de-AT"/>
        </w:rPr>
        <w:t>ë</w:t>
      </w:r>
      <w:r w:rsidRPr="00D8315E">
        <w:rPr>
          <w:lang w:val="de-AT"/>
        </w:rPr>
        <w:t>ntor 1997 (shih paragrafin 15 m</w:t>
      </w:r>
      <w:r>
        <w:rPr>
          <w:lang w:val="de-AT"/>
        </w:rPr>
        <w:t>ë</w:t>
      </w:r>
      <w:r w:rsidRPr="00D8315E">
        <w:rPr>
          <w:lang w:val="de-AT"/>
        </w:rPr>
        <w:t xml:space="preserve"> lart), nenit 10 t</w:t>
      </w:r>
      <w:r>
        <w:rPr>
          <w:lang w:val="de-AT"/>
        </w:rPr>
        <w:t>ë</w:t>
      </w:r>
      <w:r w:rsidR="001909AD">
        <w:rPr>
          <w:lang w:val="de-AT"/>
        </w:rPr>
        <w:t xml:space="preserve"> Ligjit p</w:t>
      </w:r>
      <w:r w:rsidR="001909AD">
        <w:rPr>
          <w:lang w:val="sq-AL"/>
        </w:rPr>
        <w:t>ë</w:t>
      </w:r>
      <w:r w:rsidR="001909AD">
        <w:rPr>
          <w:lang w:val="de-AT"/>
        </w:rPr>
        <w:t>r</w:t>
      </w:r>
      <w:r w:rsidRPr="00D8315E">
        <w:rPr>
          <w:lang w:val="de-AT"/>
        </w:rPr>
        <w:t xml:space="preserve"> Dispozitat Kryesore Kushtetuese iu shtuan paragraf</w:t>
      </w:r>
      <w:r>
        <w:rPr>
          <w:lang w:val="de-AT"/>
        </w:rPr>
        <w:t>ë</w:t>
      </w:r>
      <w:r w:rsidRPr="00D8315E">
        <w:rPr>
          <w:lang w:val="de-AT"/>
        </w:rPr>
        <w:t>t e m</w:t>
      </w:r>
      <w:r>
        <w:rPr>
          <w:lang w:val="de-AT"/>
        </w:rPr>
        <w:t>ë</w:t>
      </w:r>
      <w:r w:rsidRPr="00D8315E">
        <w:rPr>
          <w:lang w:val="de-AT"/>
        </w:rPr>
        <w:t>posht</w:t>
      </w:r>
      <w:r>
        <w:rPr>
          <w:lang w:val="de-AT"/>
        </w:rPr>
        <w:t>ë</w:t>
      </w:r>
      <w:r w:rsidRPr="00D8315E">
        <w:rPr>
          <w:lang w:val="de-AT"/>
        </w:rPr>
        <w:t>m m</w:t>
      </w:r>
      <w:r>
        <w:rPr>
          <w:lang w:val="de-AT"/>
        </w:rPr>
        <w:t>ë</w:t>
      </w:r>
      <w:r w:rsidRPr="00D8315E">
        <w:rPr>
          <w:lang w:val="de-AT"/>
        </w:rPr>
        <w:t xml:space="preserve"> 19 N</w:t>
      </w:r>
      <w:r>
        <w:rPr>
          <w:lang w:val="de-AT"/>
        </w:rPr>
        <w:t>ë</w:t>
      </w:r>
      <w:r w:rsidRPr="00D8315E">
        <w:rPr>
          <w:lang w:val="de-AT"/>
        </w:rPr>
        <w:t>ntor 1997:</w:t>
      </w:r>
    </w:p>
    <w:p w:rsidR="006F4ACB" w:rsidRPr="00D8315E" w:rsidRDefault="006F4ACB" w:rsidP="006F4ACB">
      <w:pPr>
        <w:pStyle w:val="JuQuot"/>
        <w:rPr>
          <w:lang w:val="de-AT"/>
        </w:rPr>
      </w:pPr>
      <w:r w:rsidRPr="00D8315E">
        <w:rPr>
          <w:lang w:val="de-AT"/>
        </w:rPr>
        <w:t>“Veprimtaria e kund</w:t>
      </w:r>
      <w:r>
        <w:rPr>
          <w:lang w:val="de-AT"/>
        </w:rPr>
        <w:t>ë</w:t>
      </w:r>
      <w:r w:rsidRPr="00D8315E">
        <w:rPr>
          <w:lang w:val="de-AT"/>
        </w:rPr>
        <w:t>rligjshme e subjekteve private q</w:t>
      </w:r>
      <w:r>
        <w:rPr>
          <w:lang w:val="de-AT"/>
        </w:rPr>
        <w:t>ë</w:t>
      </w:r>
      <w:r w:rsidRPr="00D8315E">
        <w:rPr>
          <w:lang w:val="de-AT"/>
        </w:rPr>
        <w:t xml:space="preserve"> prek n</w:t>
      </w:r>
      <w:r>
        <w:rPr>
          <w:lang w:val="de-AT"/>
        </w:rPr>
        <w:t>ë</w:t>
      </w:r>
      <w:r w:rsidRPr="00D8315E">
        <w:rPr>
          <w:lang w:val="de-AT"/>
        </w:rPr>
        <w:t xml:space="preserve"> mas</w:t>
      </w:r>
      <w:r>
        <w:rPr>
          <w:lang w:val="de-AT"/>
        </w:rPr>
        <w:t>ë</w:t>
      </w:r>
      <w:r w:rsidRPr="00D8315E">
        <w:rPr>
          <w:lang w:val="de-AT"/>
        </w:rPr>
        <w:t xml:space="preserve"> interesat e individ</w:t>
      </w:r>
      <w:r>
        <w:rPr>
          <w:lang w:val="de-AT"/>
        </w:rPr>
        <w:t>ë</w:t>
      </w:r>
      <w:r w:rsidRPr="00D8315E">
        <w:rPr>
          <w:lang w:val="de-AT"/>
        </w:rPr>
        <w:t>ve dhe grupeve sociale, q</w:t>
      </w:r>
      <w:r>
        <w:rPr>
          <w:lang w:val="de-AT"/>
        </w:rPr>
        <w:t>ë</w:t>
      </w:r>
      <w:r w:rsidRPr="00D8315E">
        <w:rPr>
          <w:lang w:val="de-AT"/>
        </w:rPr>
        <w:t xml:space="preserve"> </w:t>
      </w:r>
      <w:r>
        <w:rPr>
          <w:lang w:val="de-AT"/>
        </w:rPr>
        <w:t>ë</w:t>
      </w:r>
      <w:r w:rsidRPr="00D8315E">
        <w:rPr>
          <w:lang w:val="de-AT"/>
        </w:rPr>
        <w:t>sht</w:t>
      </w:r>
      <w:r>
        <w:rPr>
          <w:lang w:val="de-AT"/>
        </w:rPr>
        <w:t>ë</w:t>
      </w:r>
      <w:r w:rsidRPr="00D8315E">
        <w:rPr>
          <w:lang w:val="de-AT"/>
        </w:rPr>
        <w:t xml:space="preserve"> n</w:t>
      </w:r>
      <w:r>
        <w:rPr>
          <w:lang w:val="de-AT"/>
        </w:rPr>
        <w:t>ë</w:t>
      </w:r>
      <w:r w:rsidRPr="00D8315E">
        <w:rPr>
          <w:lang w:val="de-AT"/>
        </w:rPr>
        <w:t xml:space="preserve"> kund</w:t>
      </w:r>
      <w:r>
        <w:rPr>
          <w:lang w:val="de-AT"/>
        </w:rPr>
        <w:t>ë</w:t>
      </w:r>
      <w:r w:rsidRPr="00D8315E">
        <w:rPr>
          <w:lang w:val="de-AT"/>
        </w:rPr>
        <w:t>rv</w:t>
      </w:r>
      <w:r>
        <w:rPr>
          <w:lang w:val="de-AT"/>
        </w:rPr>
        <w:t>ë</w:t>
      </w:r>
      <w:r w:rsidRPr="00D8315E">
        <w:rPr>
          <w:lang w:val="de-AT"/>
        </w:rPr>
        <w:t>nie e n</w:t>
      </w:r>
      <w:r>
        <w:rPr>
          <w:lang w:val="de-AT"/>
        </w:rPr>
        <w:t>ë</w:t>
      </w:r>
      <w:r w:rsidRPr="00D8315E">
        <w:rPr>
          <w:lang w:val="de-AT"/>
        </w:rPr>
        <w:t xml:space="preserve"> d</w:t>
      </w:r>
      <w:r>
        <w:rPr>
          <w:lang w:val="de-AT"/>
        </w:rPr>
        <w:t>ë</w:t>
      </w:r>
      <w:r w:rsidRPr="00D8315E">
        <w:rPr>
          <w:lang w:val="de-AT"/>
        </w:rPr>
        <w:t>m t</w:t>
      </w:r>
      <w:r>
        <w:rPr>
          <w:lang w:val="de-AT"/>
        </w:rPr>
        <w:t>ë</w:t>
      </w:r>
      <w:r w:rsidRPr="00D8315E">
        <w:rPr>
          <w:lang w:val="de-AT"/>
        </w:rPr>
        <w:t xml:space="preserve"> parimeve t</w:t>
      </w:r>
      <w:r>
        <w:rPr>
          <w:lang w:val="de-AT"/>
        </w:rPr>
        <w:t>ë</w:t>
      </w:r>
      <w:r w:rsidRPr="00D8315E">
        <w:rPr>
          <w:lang w:val="de-AT"/>
        </w:rPr>
        <w:t xml:space="preserve"> ekonomis</w:t>
      </w:r>
      <w:r>
        <w:rPr>
          <w:lang w:val="de-AT"/>
        </w:rPr>
        <w:t>ë</w:t>
      </w:r>
      <w:r w:rsidRPr="00D8315E">
        <w:rPr>
          <w:lang w:val="de-AT"/>
        </w:rPr>
        <w:t xml:space="preserve"> s</w:t>
      </w:r>
      <w:r>
        <w:rPr>
          <w:lang w:val="de-AT"/>
        </w:rPr>
        <w:t>ë</w:t>
      </w:r>
      <w:r w:rsidRPr="00D8315E">
        <w:rPr>
          <w:lang w:val="de-AT"/>
        </w:rPr>
        <w:t xml:space="preserve"> tregut e t</w:t>
      </w:r>
      <w:r>
        <w:rPr>
          <w:lang w:val="de-AT"/>
        </w:rPr>
        <w:t>ë</w:t>
      </w:r>
      <w:r w:rsidRPr="00D8315E">
        <w:rPr>
          <w:lang w:val="de-AT"/>
        </w:rPr>
        <w:t xml:space="preserve"> politikave ekonomike e financiare komb</w:t>
      </w:r>
      <w:r>
        <w:rPr>
          <w:lang w:val="de-AT"/>
        </w:rPr>
        <w:t>ë</w:t>
      </w:r>
      <w:r w:rsidRPr="00D8315E">
        <w:rPr>
          <w:lang w:val="de-AT"/>
        </w:rPr>
        <w:t>tare e nd</w:t>
      </w:r>
      <w:r>
        <w:rPr>
          <w:lang w:val="de-AT"/>
        </w:rPr>
        <w:t>ë</w:t>
      </w:r>
      <w:r w:rsidRPr="00D8315E">
        <w:rPr>
          <w:lang w:val="de-AT"/>
        </w:rPr>
        <w:t>rkomb</w:t>
      </w:r>
      <w:r>
        <w:rPr>
          <w:lang w:val="de-AT"/>
        </w:rPr>
        <w:t>ë</w:t>
      </w:r>
      <w:r w:rsidRPr="00D8315E">
        <w:rPr>
          <w:lang w:val="de-AT"/>
        </w:rPr>
        <w:t>tare, q</w:t>
      </w:r>
      <w:r>
        <w:rPr>
          <w:lang w:val="de-AT"/>
        </w:rPr>
        <w:t>ë</w:t>
      </w:r>
      <w:r w:rsidRPr="00D8315E">
        <w:rPr>
          <w:lang w:val="de-AT"/>
        </w:rPr>
        <w:t xml:space="preserve"> c</w:t>
      </w:r>
      <w:r>
        <w:rPr>
          <w:lang w:val="de-AT"/>
        </w:rPr>
        <w:t>ë</w:t>
      </w:r>
      <w:r w:rsidRPr="00D8315E">
        <w:rPr>
          <w:lang w:val="de-AT"/>
        </w:rPr>
        <w:t>non stabilitetin ekonomik e social t</w:t>
      </w:r>
      <w:r>
        <w:rPr>
          <w:lang w:val="de-AT"/>
        </w:rPr>
        <w:t>ë</w:t>
      </w:r>
      <w:r w:rsidRPr="00D8315E">
        <w:rPr>
          <w:lang w:val="de-AT"/>
        </w:rPr>
        <w:t xml:space="preserve"> vendit, vihet n</w:t>
      </w:r>
      <w:r>
        <w:rPr>
          <w:lang w:val="de-AT"/>
        </w:rPr>
        <w:t>ë</w:t>
      </w:r>
      <w:r w:rsidRPr="00D8315E">
        <w:rPr>
          <w:lang w:val="de-AT"/>
        </w:rPr>
        <w:t>n kontrollin dhe administrimin e institucioneve publike komb</w:t>
      </w:r>
      <w:r>
        <w:rPr>
          <w:lang w:val="de-AT"/>
        </w:rPr>
        <w:t>ë</w:t>
      </w:r>
      <w:r w:rsidRPr="00D8315E">
        <w:rPr>
          <w:lang w:val="de-AT"/>
        </w:rPr>
        <w:t>tare dhe nd</w:t>
      </w:r>
      <w:r>
        <w:rPr>
          <w:lang w:val="de-AT"/>
        </w:rPr>
        <w:t>ë</w:t>
      </w:r>
      <w:r w:rsidRPr="00D8315E">
        <w:rPr>
          <w:lang w:val="de-AT"/>
        </w:rPr>
        <w:t>rkomb</w:t>
      </w:r>
      <w:r>
        <w:rPr>
          <w:lang w:val="de-AT"/>
        </w:rPr>
        <w:t>ë</w:t>
      </w:r>
      <w:r w:rsidRPr="00D8315E">
        <w:rPr>
          <w:lang w:val="de-AT"/>
        </w:rPr>
        <w:t>tare t</w:t>
      </w:r>
      <w:r>
        <w:rPr>
          <w:lang w:val="de-AT"/>
        </w:rPr>
        <w:t>ë</w:t>
      </w:r>
      <w:r w:rsidRPr="00D8315E">
        <w:rPr>
          <w:lang w:val="de-AT"/>
        </w:rPr>
        <w:t xml:space="preserve"> specializuara. </w:t>
      </w:r>
    </w:p>
    <w:p w:rsidR="006F4ACB" w:rsidRPr="0046417D" w:rsidRDefault="006F4ACB" w:rsidP="006F4ACB">
      <w:pPr>
        <w:pStyle w:val="JuQuot"/>
        <w:ind w:firstLine="0"/>
        <w:rPr>
          <w:lang w:val="de-AT"/>
        </w:rPr>
      </w:pPr>
      <w:r w:rsidRPr="0046417D">
        <w:rPr>
          <w:lang w:val="de-AT"/>
        </w:rPr>
        <w:t>Shkalla e nd</w:t>
      </w:r>
      <w:r>
        <w:rPr>
          <w:lang w:val="de-AT"/>
        </w:rPr>
        <w:t>ë</w:t>
      </w:r>
      <w:r w:rsidRPr="0046417D">
        <w:rPr>
          <w:lang w:val="de-AT"/>
        </w:rPr>
        <w:t>rhyrjes, si dhe kompetencat e kontrollit dhe t</w:t>
      </w:r>
      <w:r>
        <w:rPr>
          <w:lang w:val="de-AT"/>
        </w:rPr>
        <w:t>ë</w:t>
      </w:r>
      <w:r w:rsidRPr="0046417D">
        <w:rPr>
          <w:lang w:val="de-AT"/>
        </w:rPr>
        <w:t xml:space="preserve"> administrimit t</w:t>
      </w:r>
      <w:r>
        <w:rPr>
          <w:lang w:val="de-AT"/>
        </w:rPr>
        <w:t>ë</w:t>
      </w:r>
      <w:r w:rsidRPr="0046417D">
        <w:rPr>
          <w:lang w:val="de-AT"/>
        </w:rPr>
        <w:t xml:space="preserve"> k</w:t>
      </w:r>
      <w:r>
        <w:rPr>
          <w:lang w:val="de-AT"/>
        </w:rPr>
        <w:t>ë</w:t>
      </w:r>
      <w:r w:rsidRPr="0046417D">
        <w:rPr>
          <w:lang w:val="de-AT"/>
        </w:rPr>
        <w:t>tyre subjekteve private       nga ana e institucioneve t</w:t>
      </w:r>
      <w:r>
        <w:rPr>
          <w:lang w:val="de-AT"/>
        </w:rPr>
        <w:t>ë</w:t>
      </w:r>
      <w:r w:rsidRPr="0046417D">
        <w:rPr>
          <w:lang w:val="de-AT"/>
        </w:rPr>
        <w:t xml:space="preserve"> lartp</w:t>
      </w:r>
      <w:r>
        <w:rPr>
          <w:lang w:val="de-AT"/>
        </w:rPr>
        <w:t>ë</w:t>
      </w:r>
      <w:r w:rsidRPr="0046417D">
        <w:rPr>
          <w:lang w:val="de-AT"/>
        </w:rPr>
        <w:t>rmendura, p</w:t>
      </w:r>
      <w:r>
        <w:rPr>
          <w:lang w:val="de-AT"/>
        </w:rPr>
        <w:t>ë</w:t>
      </w:r>
      <w:r w:rsidRPr="0046417D">
        <w:rPr>
          <w:lang w:val="de-AT"/>
        </w:rPr>
        <w:t xml:space="preserve">rcaktohet me ligj. </w:t>
      </w:r>
    </w:p>
    <w:p w:rsidR="006F4ACB" w:rsidRPr="00F6125F" w:rsidRDefault="006F4ACB" w:rsidP="006F4ACB">
      <w:pPr>
        <w:pStyle w:val="JuQuot"/>
        <w:rPr>
          <w:lang w:val="de-AT"/>
        </w:rPr>
      </w:pPr>
      <w:r w:rsidRPr="0046417D">
        <w:rPr>
          <w:lang w:val="de-AT"/>
        </w:rPr>
        <w:t>N</w:t>
      </w:r>
      <w:r>
        <w:rPr>
          <w:lang w:val="de-AT"/>
        </w:rPr>
        <w:t>ë</w:t>
      </w:r>
      <w:r w:rsidRPr="0046417D">
        <w:rPr>
          <w:lang w:val="de-AT"/>
        </w:rPr>
        <w:t xml:space="preserve"> k</w:t>
      </w:r>
      <w:r>
        <w:rPr>
          <w:lang w:val="de-AT"/>
        </w:rPr>
        <w:t>ë</w:t>
      </w:r>
      <w:r w:rsidRPr="0046417D">
        <w:rPr>
          <w:lang w:val="de-AT"/>
        </w:rPr>
        <w:t>to raste Shteti ka t</w:t>
      </w:r>
      <w:r>
        <w:rPr>
          <w:lang w:val="de-AT"/>
        </w:rPr>
        <w:t>ë</w:t>
      </w:r>
      <w:r w:rsidRPr="0046417D">
        <w:rPr>
          <w:lang w:val="de-AT"/>
        </w:rPr>
        <w:t xml:space="preserve"> drejt</w:t>
      </w:r>
      <w:r>
        <w:rPr>
          <w:lang w:val="de-AT"/>
        </w:rPr>
        <w:t>ë</w:t>
      </w:r>
      <w:r w:rsidRPr="0046417D">
        <w:rPr>
          <w:lang w:val="de-AT"/>
        </w:rPr>
        <w:t xml:space="preserve"> dhe detyr</w:t>
      </w:r>
      <w:r>
        <w:rPr>
          <w:lang w:val="de-AT"/>
        </w:rPr>
        <w:t>ë</w:t>
      </w:r>
      <w:r w:rsidRPr="0046417D">
        <w:rPr>
          <w:lang w:val="de-AT"/>
        </w:rPr>
        <w:t xml:space="preserve"> t</w:t>
      </w:r>
      <w:r>
        <w:rPr>
          <w:lang w:val="de-AT"/>
        </w:rPr>
        <w:t>ë</w:t>
      </w:r>
      <w:r w:rsidRPr="0046417D">
        <w:rPr>
          <w:lang w:val="de-AT"/>
        </w:rPr>
        <w:t xml:space="preserve"> disponoj</w:t>
      </w:r>
      <w:r>
        <w:rPr>
          <w:lang w:val="de-AT"/>
        </w:rPr>
        <w:t>ë</w:t>
      </w:r>
      <w:r w:rsidRPr="0046417D">
        <w:rPr>
          <w:lang w:val="de-AT"/>
        </w:rPr>
        <w:t xml:space="preserve"> mbi pasurin</w:t>
      </w:r>
      <w:r>
        <w:rPr>
          <w:lang w:val="de-AT"/>
        </w:rPr>
        <w:t>ë</w:t>
      </w:r>
      <w:r w:rsidRPr="0046417D">
        <w:rPr>
          <w:lang w:val="de-AT"/>
        </w:rPr>
        <w:t xml:space="preserve"> e subjekteve private vet</w:t>
      </w:r>
      <w:r>
        <w:rPr>
          <w:lang w:val="de-AT"/>
        </w:rPr>
        <w:t>ë</w:t>
      </w:r>
      <w:r w:rsidRPr="0046417D">
        <w:rPr>
          <w:lang w:val="de-AT"/>
        </w:rPr>
        <w:t>m n</w:t>
      </w:r>
      <w:r>
        <w:rPr>
          <w:lang w:val="de-AT"/>
        </w:rPr>
        <w:t>ë</w:t>
      </w:r>
      <w:r w:rsidRPr="0046417D">
        <w:rPr>
          <w:lang w:val="de-AT"/>
        </w:rPr>
        <w:t xml:space="preserve"> mbrojtje t</w:t>
      </w:r>
      <w:r>
        <w:rPr>
          <w:lang w:val="de-AT"/>
        </w:rPr>
        <w:t>ë</w:t>
      </w:r>
      <w:r w:rsidRPr="0046417D">
        <w:rPr>
          <w:lang w:val="de-AT"/>
        </w:rPr>
        <w:t xml:space="preserve"> interesave t</w:t>
      </w:r>
      <w:r>
        <w:rPr>
          <w:lang w:val="de-AT"/>
        </w:rPr>
        <w:t>ë</w:t>
      </w:r>
      <w:r w:rsidRPr="0046417D">
        <w:rPr>
          <w:lang w:val="de-AT"/>
        </w:rPr>
        <w:t xml:space="preserve"> t</w:t>
      </w:r>
      <w:r>
        <w:rPr>
          <w:lang w:val="de-AT"/>
        </w:rPr>
        <w:t>ë</w:t>
      </w:r>
      <w:r w:rsidRPr="0046417D">
        <w:rPr>
          <w:lang w:val="de-AT"/>
        </w:rPr>
        <w:t xml:space="preserve"> d</w:t>
      </w:r>
      <w:r>
        <w:rPr>
          <w:lang w:val="de-AT"/>
        </w:rPr>
        <w:t>ë</w:t>
      </w:r>
      <w:r w:rsidRPr="0046417D">
        <w:rPr>
          <w:lang w:val="de-AT"/>
        </w:rPr>
        <w:t xml:space="preserve">mtuarve. </w:t>
      </w:r>
    </w:p>
    <w:p w:rsidR="006F4ACB" w:rsidRPr="00443CAE" w:rsidRDefault="006F4ACB" w:rsidP="006F4ACB">
      <w:pPr>
        <w:pStyle w:val="JuQuot"/>
        <w:rPr>
          <w:lang w:val="de-AT"/>
        </w:rPr>
      </w:pPr>
      <w:r w:rsidRPr="00443CAE">
        <w:rPr>
          <w:lang w:val="de-AT"/>
        </w:rPr>
        <w:t>Askujt nuk mund t’i mohohet e drejta për t’u ankuar në gjykatë kundër masave të kontrollit, të administrimit e të disponimit të pasurisë së tij, si dhe për të kërkuar shpërblimin e plotë të dëmeve të shkaktuara.”</w:t>
      </w:r>
    </w:p>
    <w:p w:rsidR="006F4ACB" w:rsidRPr="00443CAE" w:rsidRDefault="006F4ACB" w:rsidP="006F4ACB">
      <w:pPr>
        <w:pStyle w:val="JuH1"/>
        <w:rPr>
          <w:lang w:val="de-AT"/>
        </w:rPr>
      </w:pPr>
      <w:r w:rsidRPr="00443CAE">
        <w:rPr>
          <w:lang w:val="de-AT"/>
        </w:rPr>
        <w:lastRenderedPageBreak/>
        <w:tab/>
        <w:t xml:space="preserve">Opinioni 9/1998i Nën-komisionit mbi Reformat Kushtetuese të Komisionit Europian për Demokraci nëpërmjet </w:t>
      </w:r>
      <w:r w:rsidR="00AC394A" w:rsidRPr="00443CAE">
        <w:rPr>
          <w:lang w:val="de-AT"/>
        </w:rPr>
        <w:t>Ligjit (“Komisioni i Venecias”) datë</w:t>
      </w:r>
      <w:r w:rsidRPr="00443CAE">
        <w:rPr>
          <w:lang w:val="de-AT"/>
        </w:rPr>
        <w:t xml:space="preserve"> 15 Prill 1998  </w:t>
      </w:r>
    </w:p>
    <w:p w:rsidR="006F4ACB" w:rsidRPr="00B62639" w:rsidRDefault="006F4ACB" w:rsidP="000409D4">
      <w:pPr>
        <w:pStyle w:val="ListParagraph"/>
        <w:numPr>
          <w:ilvl w:val="0"/>
          <w:numId w:val="1"/>
        </w:numPr>
        <w:tabs>
          <w:tab w:val="left" w:pos="90"/>
        </w:tabs>
        <w:ind w:left="0" w:firstLine="360"/>
        <w:jc w:val="both"/>
        <w:rPr>
          <w:lang w:val="de-AT"/>
        </w:rPr>
      </w:pPr>
      <w:r w:rsidRPr="00044E9C">
        <w:rPr>
          <w:lang w:val="de-AT"/>
        </w:rPr>
        <w:t>Më 15 Prill 1998 nën-komisioni i Komisionit të Venecias mbi Reformat Kushtetuese miratoi një opinion p</w:t>
      </w:r>
      <w:r w:rsidR="00AC394A" w:rsidRPr="00044E9C">
        <w:rPr>
          <w:lang w:val="de-AT"/>
        </w:rPr>
        <w:t>ër ndryshimet e kryera të Ligjit p</w:t>
      </w:r>
      <w:r w:rsidR="00AC394A">
        <w:rPr>
          <w:lang w:val="sq-AL"/>
        </w:rPr>
        <w:t>ë</w:t>
      </w:r>
      <w:r w:rsidR="00AC394A" w:rsidRPr="00044E9C">
        <w:rPr>
          <w:lang w:val="de-AT"/>
        </w:rPr>
        <w:t>r</w:t>
      </w:r>
      <w:r w:rsidRPr="00044E9C">
        <w:rPr>
          <w:lang w:val="de-AT"/>
        </w:rPr>
        <w:t xml:space="preserve"> Dispozitat Kryesore Kushtetuese më 19 Nëntor 1997. Sipas opinionit, ndryshimi kushtetues </w:t>
      </w:r>
      <w:r w:rsidRPr="00044E9C">
        <w:rPr>
          <w:i/>
          <w:lang w:val="de-AT"/>
        </w:rPr>
        <w:t>ad hoc</w:t>
      </w:r>
      <w:r w:rsidRPr="00044E9C">
        <w:rPr>
          <w:lang w:val="de-AT"/>
        </w:rPr>
        <w:t xml:space="preserve"> kishte qëllim legjitim dhe mund të kërkohej nga nevoja të përkohshme specifike. Megjithatë, op</w:t>
      </w:r>
      <w:r w:rsidR="00AC394A" w:rsidRPr="00044E9C">
        <w:rPr>
          <w:lang w:val="de-AT"/>
        </w:rPr>
        <w:t xml:space="preserve">inioni deklaroi se neni i parë </w:t>
      </w:r>
      <w:r w:rsidRPr="00044E9C">
        <w:rPr>
          <w:lang w:val="de-AT"/>
        </w:rPr>
        <w:t xml:space="preserve">i amendamentit, i cili parashikonte bazën për ndërhyrjen e Shtetit, përdori një numër të madh konceptesh të gjera të cilave ishte shumë e vështirë për t’i dhënë një kuptim të saktë ligjor. Sipas opinionit, teksti </w:t>
      </w:r>
      <w:r w:rsidRPr="00044E9C">
        <w:rPr>
          <w:i/>
          <w:lang w:val="de-AT"/>
        </w:rPr>
        <w:t>ad hoc</w:t>
      </w:r>
      <w:r w:rsidRPr="00044E9C">
        <w:rPr>
          <w:lang w:val="de-AT"/>
        </w:rPr>
        <w:t>, i cili iu përgjigj nevojës urgjente sociale të momentit, nuk ishte i përshtatshëm si parim afatgjatë i rendit kushtetues Shqiptar.</w:t>
      </w:r>
      <w:r w:rsidR="00FF0557" w:rsidRPr="00044E9C">
        <w:rPr>
          <w:lang w:val="de-AT"/>
        </w:rPr>
        <w:t xml:space="preserve"> </w:t>
      </w:r>
      <w:r w:rsidR="00FF0557" w:rsidRPr="00B62639">
        <w:rPr>
          <w:lang w:val="de-AT"/>
        </w:rPr>
        <w:t>Ai paralajm</w:t>
      </w:r>
      <w:r w:rsidR="00E05124" w:rsidRPr="00B62639">
        <w:rPr>
          <w:lang w:val="de-AT"/>
        </w:rPr>
        <w:t>ëroi kundë</w:t>
      </w:r>
      <w:r w:rsidR="00FF0557" w:rsidRPr="00B62639">
        <w:rPr>
          <w:lang w:val="de-AT"/>
        </w:rPr>
        <w:t>r</w:t>
      </w:r>
      <w:r w:rsidR="00E05124" w:rsidRPr="00B62639">
        <w:rPr>
          <w:lang w:val="de-AT"/>
        </w:rPr>
        <w:t xml:space="preserve"> pë</w:t>
      </w:r>
      <w:r w:rsidR="00FF0557" w:rsidRPr="00B62639">
        <w:rPr>
          <w:lang w:val="de-AT"/>
        </w:rPr>
        <w:t>rdorimit t</w:t>
      </w:r>
      <w:r w:rsidR="00E05124" w:rsidRPr="00B62639">
        <w:rPr>
          <w:lang w:val="de-AT"/>
        </w:rPr>
        <w:t>ë</w:t>
      </w:r>
      <w:r w:rsidR="00FF0557" w:rsidRPr="00B62639">
        <w:rPr>
          <w:lang w:val="de-AT"/>
        </w:rPr>
        <w:t xml:space="preserve"> p</w:t>
      </w:r>
      <w:r w:rsidR="00E05124" w:rsidRPr="00B62639">
        <w:rPr>
          <w:lang w:val="de-AT"/>
        </w:rPr>
        <w:t>ë</w:t>
      </w:r>
      <w:r w:rsidR="00FF0557" w:rsidRPr="00B62639">
        <w:rPr>
          <w:lang w:val="de-AT"/>
        </w:rPr>
        <w:t>rs</w:t>
      </w:r>
      <w:r w:rsidR="00E05124" w:rsidRPr="00B62639">
        <w:rPr>
          <w:lang w:val="de-AT"/>
        </w:rPr>
        <w:t>ë</w:t>
      </w:r>
      <w:r w:rsidR="00FF0557" w:rsidRPr="00B62639">
        <w:rPr>
          <w:lang w:val="de-AT"/>
        </w:rPr>
        <w:t>ritur</w:t>
      </w:r>
      <w:r w:rsidR="000A2C1C" w:rsidRPr="00B62639">
        <w:rPr>
          <w:lang w:val="de-AT"/>
        </w:rPr>
        <w:t xml:space="preserve"> t</w:t>
      </w:r>
      <w:r w:rsidR="00E05124" w:rsidRPr="00B62639">
        <w:rPr>
          <w:lang w:val="de-AT"/>
        </w:rPr>
        <w:t>ë</w:t>
      </w:r>
      <w:r w:rsidR="000A2C1C" w:rsidRPr="00B62639">
        <w:rPr>
          <w:lang w:val="de-AT"/>
        </w:rPr>
        <w:t xml:space="preserve"> k</w:t>
      </w:r>
      <w:r w:rsidR="00E05124" w:rsidRPr="00B62639">
        <w:rPr>
          <w:lang w:val="de-AT"/>
        </w:rPr>
        <w:t>ë</w:t>
      </w:r>
      <w:r w:rsidR="000A2C1C" w:rsidRPr="00B62639">
        <w:rPr>
          <w:lang w:val="de-AT"/>
        </w:rPr>
        <w:t xml:space="preserve">tyre ndryshimeve kushtetuese </w:t>
      </w:r>
      <w:r w:rsidR="000A2C1C" w:rsidRPr="00B62639">
        <w:rPr>
          <w:i/>
          <w:lang w:val="de-AT"/>
        </w:rPr>
        <w:t>ad hoc</w:t>
      </w:r>
      <w:r w:rsidR="000A2C1C" w:rsidRPr="00B62639">
        <w:rPr>
          <w:lang w:val="de-AT"/>
        </w:rPr>
        <w:t xml:space="preserve"> n</w:t>
      </w:r>
      <w:r w:rsidR="00E05124" w:rsidRPr="00B62639">
        <w:rPr>
          <w:lang w:val="de-AT"/>
        </w:rPr>
        <w:t>ë</w:t>
      </w:r>
      <w:r w:rsidR="000A2C1C" w:rsidRPr="00B62639">
        <w:rPr>
          <w:lang w:val="de-AT"/>
        </w:rPr>
        <w:t xml:space="preserve"> fush</w:t>
      </w:r>
      <w:r w:rsidR="00E05124" w:rsidRPr="00B62639">
        <w:rPr>
          <w:lang w:val="de-AT"/>
        </w:rPr>
        <w:t>ë</w:t>
      </w:r>
      <w:r w:rsidR="000A2C1C" w:rsidRPr="00B62639">
        <w:rPr>
          <w:lang w:val="de-AT"/>
        </w:rPr>
        <w:t xml:space="preserve">n </w:t>
      </w:r>
      <w:r w:rsidR="00E05124" w:rsidRPr="00B62639">
        <w:rPr>
          <w:lang w:val="de-AT"/>
        </w:rPr>
        <w:t>e rregullimit ekonomik dhe vlerë</w:t>
      </w:r>
      <w:r w:rsidR="000A2C1C" w:rsidRPr="00B62639">
        <w:rPr>
          <w:lang w:val="de-AT"/>
        </w:rPr>
        <w:t>soi se teksti</w:t>
      </w:r>
      <w:r w:rsidR="0051422F" w:rsidRPr="00B62639">
        <w:rPr>
          <w:lang w:val="de-AT"/>
        </w:rPr>
        <w:t xml:space="preserve"> i zgjedhur nuk duhej t</w:t>
      </w:r>
      <w:r w:rsidR="00E05124" w:rsidRPr="00B62639">
        <w:rPr>
          <w:lang w:val="de-AT"/>
        </w:rPr>
        <w:t>ë</w:t>
      </w:r>
      <w:r w:rsidR="0051422F" w:rsidRPr="00B62639">
        <w:rPr>
          <w:lang w:val="de-AT"/>
        </w:rPr>
        <w:t xml:space="preserve"> integro</w:t>
      </w:r>
      <w:r w:rsidR="000A2C1C" w:rsidRPr="00B62639">
        <w:rPr>
          <w:lang w:val="de-AT"/>
        </w:rPr>
        <w:t>hej meqen</w:t>
      </w:r>
      <w:r w:rsidR="00E05124" w:rsidRPr="00B62639">
        <w:rPr>
          <w:lang w:val="de-AT"/>
        </w:rPr>
        <w:t>ë</w:t>
      </w:r>
      <w:r w:rsidR="000A2C1C" w:rsidRPr="00B62639">
        <w:rPr>
          <w:lang w:val="de-AT"/>
        </w:rPr>
        <w:t>se ishte n</w:t>
      </w:r>
      <w:r w:rsidR="00E05124" w:rsidRPr="00B62639">
        <w:rPr>
          <w:lang w:val="de-AT"/>
        </w:rPr>
        <w:t>ë</w:t>
      </w:r>
      <w:r w:rsidR="000A2C1C" w:rsidRPr="00B62639">
        <w:rPr>
          <w:lang w:val="de-AT"/>
        </w:rPr>
        <w:t xml:space="preserve"> Kushtetut</w:t>
      </w:r>
      <w:r w:rsidR="00E05124" w:rsidRPr="00B62639">
        <w:rPr>
          <w:lang w:val="de-AT"/>
        </w:rPr>
        <w:t>ë</w:t>
      </w:r>
      <w:r w:rsidR="000A2C1C" w:rsidRPr="00B62639">
        <w:rPr>
          <w:lang w:val="de-AT"/>
        </w:rPr>
        <w:t>n e ardhshme t</w:t>
      </w:r>
      <w:r w:rsidR="00E05124" w:rsidRPr="00B62639">
        <w:rPr>
          <w:lang w:val="de-AT"/>
        </w:rPr>
        <w:t>ë</w:t>
      </w:r>
      <w:r w:rsidR="000A2C1C" w:rsidRPr="00B62639">
        <w:rPr>
          <w:lang w:val="de-AT"/>
        </w:rPr>
        <w:t xml:space="preserve"> Shqip</w:t>
      </w:r>
      <w:r w:rsidR="0008375E" w:rsidRPr="00B62639">
        <w:rPr>
          <w:lang w:val="de-AT"/>
        </w:rPr>
        <w:t>ë</w:t>
      </w:r>
      <w:r w:rsidR="000A2C1C" w:rsidRPr="00B62639">
        <w:rPr>
          <w:lang w:val="de-AT"/>
        </w:rPr>
        <w:t>ris</w:t>
      </w:r>
      <w:r w:rsidR="0008375E" w:rsidRPr="00B62639">
        <w:rPr>
          <w:lang w:val="de-AT"/>
        </w:rPr>
        <w:t>ë</w:t>
      </w:r>
      <w:r w:rsidR="000A2C1C" w:rsidRPr="00B62639">
        <w:rPr>
          <w:lang w:val="de-AT"/>
        </w:rPr>
        <w:t xml:space="preserve">.  </w:t>
      </w:r>
      <w:r w:rsidRPr="00B62639">
        <w:rPr>
          <w:lang w:val="de-AT"/>
        </w:rPr>
        <w:t xml:space="preserve"> </w:t>
      </w:r>
    </w:p>
    <w:p w:rsidR="006F4ACB" w:rsidRPr="00B62639" w:rsidRDefault="006F4ACB" w:rsidP="006F4ACB">
      <w:pPr>
        <w:pStyle w:val="ListParagraph"/>
        <w:tabs>
          <w:tab w:val="left" w:pos="90"/>
        </w:tabs>
        <w:ind w:left="360"/>
        <w:jc w:val="both"/>
        <w:rPr>
          <w:lang w:val="de-AT"/>
        </w:rPr>
      </w:pPr>
    </w:p>
    <w:p w:rsidR="006F4ACB" w:rsidRDefault="007B4475" w:rsidP="006F4ACB">
      <w:pPr>
        <w:tabs>
          <w:tab w:val="left" w:pos="90"/>
        </w:tabs>
        <w:jc w:val="both"/>
        <w:rPr>
          <w:i/>
        </w:rPr>
      </w:pPr>
      <w:r>
        <w:rPr>
          <w:lang w:val="de-AT"/>
        </w:rPr>
        <w:tab/>
      </w:r>
      <w:r>
        <w:rPr>
          <w:lang w:val="de-AT"/>
        </w:rPr>
        <w:tab/>
        <w:t>2</w:t>
      </w:r>
      <w:r w:rsidR="006F4ACB" w:rsidRPr="00AB058C">
        <w:rPr>
          <w:i/>
        </w:rPr>
        <w:t>.</w:t>
      </w:r>
      <w:r w:rsidR="006F4ACB">
        <w:t xml:space="preserve">   </w:t>
      </w:r>
      <w:r w:rsidR="006F4ACB" w:rsidRPr="00AB058C">
        <w:rPr>
          <w:i/>
        </w:rPr>
        <w:t>Kushtetuta e Shqip</w:t>
      </w:r>
      <w:r w:rsidR="006F4ACB">
        <w:rPr>
          <w:i/>
        </w:rPr>
        <w:t>ë</w:t>
      </w:r>
      <w:r w:rsidR="006F4ACB" w:rsidRPr="00AB058C">
        <w:rPr>
          <w:i/>
        </w:rPr>
        <w:t>ris</w:t>
      </w:r>
      <w:r w:rsidR="006F4ACB">
        <w:rPr>
          <w:i/>
        </w:rPr>
        <w:t>ë</w:t>
      </w:r>
    </w:p>
    <w:p w:rsidR="006F4ACB" w:rsidRDefault="006F4ACB" w:rsidP="006F4ACB">
      <w:pPr>
        <w:tabs>
          <w:tab w:val="left" w:pos="90"/>
        </w:tabs>
        <w:jc w:val="both"/>
      </w:pPr>
    </w:p>
    <w:p w:rsidR="006F4ACB" w:rsidRDefault="006F4ACB" w:rsidP="000409D4">
      <w:pPr>
        <w:pStyle w:val="ListParagraph"/>
        <w:numPr>
          <w:ilvl w:val="0"/>
          <w:numId w:val="1"/>
        </w:numPr>
        <w:tabs>
          <w:tab w:val="left" w:pos="90"/>
        </w:tabs>
        <w:jc w:val="both"/>
      </w:pPr>
      <w:r>
        <w:t>Kushtetuta e Shqipërisë hyri në fuqi më 28 Nëntor 1998. Ajo shfuqizoi Ligjin për Dispozitat Kryesore Kushtetuese siç paraqitet më lart. Dispozitat përkatëse citohen si më poshtë:</w:t>
      </w:r>
    </w:p>
    <w:p w:rsidR="006F4ACB" w:rsidRPr="00AB058C" w:rsidRDefault="006F4ACB" w:rsidP="006F4ACB">
      <w:pPr>
        <w:pStyle w:val="ListParagraph"/>
        <w:tabs>
          <w:tab w:val="left" w:pos="90"/>
        </w:tabs>
        <w:jc w:val="both"/>
        <w:rPr>
          <w:b/>
        </w:rPr>
      </w:pPr>
      <w:r>
        <w:tab/>
      </w:r>
      <w:r>
        <w:tab/>
      </w:r>
      <w:r>
        <w:tab/>
      </w:r>
      <w:r>
        <w:tab/>
      </w:r>
      <w:r>
        <w:tab/>
      </w:r>
      <w:r w:rsidRPr="00AB058C">
        <w:rPr>
          <w:b/>
        </w:rPr>
        <w:t>Neni 131</w:t>
      </w:r>
    </w:p>
    <w:p w:rsidR="006F4ACB" w:rsidRDefault="006F4ACB" w:rsidP="006F4ACB">
      <w:pPr>
        <w:pStyle w:val="ListParagraph"/>
        <w:tabs>
          <w:tab w:val="left" w:pos="90"/>
        </w:tabs>
        <w:jc w:val="both"/>
      </w:pPr>
      <w:r>
        <w:t>“</w:t>
      </w:r>
      <w:r w:rsidRPr="00AB058C">
        <w:rPr>
          <w:sz w:val="20"/>
        </w:rPr>
        <w:t>Gjykata Kushtetuese vendos p</w:t>
      </w:r>
      <w:r>
        <w:rPr>
          <w:sz w:val="20"/>
        </w:rPr>
        <w:t>ë</w:t>
      </w:r>
      <w:r w:rsidRPr="00AB058C">
        <w:rPr>
          <w:sz w:val="20"/>
        </w:rPr>
        <w:t>r:</w:t>
      </w:r>
    </w:p>
    <w:p w:rsidR="006F4ACB" w:rsidRPr="00AB058C" w:rsidRDefault="006F4ACB" w:rsidP="000409D4">
      <w:pPr>
        <w:pStyle w:val="ListParagraph"/>
        <w:numPr>
          <w:ilvl w:val="0"/>
          <w:numId w:val="7"/>
        </w:numPr>
        <w:tabs>
          <w:tab w:val="left" w:pos="90"/>
        </w:tabs>
        <w:jc w:val="both"/>
      </w:pPr>
      <w:r w:rsidRPr="00AB058C">
        <w:rPr>
          <w:rStyle w:val="apple-style-span"/>
          <w:color w:val="000000"/>
          <w:sz w:val="20"/>
        </w:rPr>
        <w:t>pajtueshmërinë e ligjit me Kushtetutën ose me marrëveshjet ndër</w:t>
      </w:r>
      <w:r w:rsidR="00615287">
        <w:rPr>
          <w:rStyle w:val="apple-style-span"/>
          <w:color w:val="000000"/>
          <w:sz w:val="20"/>
        </w:rPr>
        <w:t>kombëtare, siç parashikohet në N</w:t>
      </w:r>
      <w:r w:rsidRPr="00AB058C">
        <w:rPr>
          <w:rStyle w:val="apple-style-span"/>
          <w:color w:val="000000"/>
          <w:sz w:val="20"/>
        </w:rPr>
        <w:t>enin 122;</w:t>
      </w:r>
    </w:p>
    <w:p w:rsidR="006F4ACB" w:rsidRDefault="006F4ACB" w:rsidP="006F4ACB">
      <w:pPr>
        <w:pStyle w:val="ListParagraph"/>
        <w:tabs>
          <w:tab w:val="left" w:pos="90"/>
        </w:tabs>
        <w:jc w:val="both"/>
      </w:pPr>
      <w:r>
        <w:t>…</w:t>
      </w:r>
    </w:p>
    <w:p w:rsidR="006F4ACB" w:rsidRDefault="006F4ACB" w:rsidP="006F4ACB">
      <w:pPr>
        <w:pStyle w:val="ListParagraph"/>
        <w:tabs>
          <w:tab w:val="left" w:pos="90"/>
        </w:tabs>
        <w:jc w:val="both"/>
      </w:pPr>
      <w:r>
        <w:t xml:space="preserve">(f) </w:t>
      </w:r>
      <w:r w:rsidRPr="00AB058C">
        <w:rPr>
          <w:rStyle w:val="apple-style-span"/>
          <w:color w:val="000000"/>
          <w:sz w:val="20"/>
        </w:rPr>
        <w:t>gjykimin përfundimtar të ankesave të individëve për shkeljen e të drejtave të tyre kushtetuese për një proces të rregullt ligjor, pasi të jenë shteruar të gjitha mjetet juridike për mbrojtjen e këtyre të drejtave.</w:t>
      </w:r>
      <w:r>
        <w:rPr>
          <w:rStyle w:val="apple-style-span"/>
          <w:color w:val="000000"/>
          <w:sz w:val="20"/>
        </w:rPr>
        <w:t>”</w:t>
      </w:r>
    </w:p>
    <w:p w:rsidR="006F4ACB" w:rsidRDefault="006F4ACB" w:rsidP="006F4ACB">
      <w:pPr>
        <w:pStyle w:val="ListParagraph"/>
        <w:tabs>
          <w:tab w:val="left" w:pos="90"/>
        </w:tabs>
        <w:jc w:val="both"/>
      </w:pPr>
    </w:p>
    <w:p w:rsidR="006F4ACB" w:rsidRDefault="006F4ACB" w:rsidP="006F4ACB">
      <w:pPr>
        <w:pStyle w:val="ListParagraph"/>
        <w:tabs>
          <w:tab w:val="left" w:pos="90"/>
        </w:tabs>
        <w:jc w:val="both"/>
        <w:rPr>
          <w:b/>
          <w:snapToGrid w:val="0"/>
          <w:lang w:val="pt-BR" w:eastAsia="en-US"/>
        </w:rPr>
      </w:pPr>
      <w:r>
        <w:tab/>
      </w:r>
      <w:r>
        <w:tab/>
      </w:r>
      <w:r>
        <w:tab/>
      </w:r>
      <w:r>
        <w:tab/>
      </w:r>
      <w:r w:rsidRPr="00AB058C">
        <w:rPr>
          <w:b/>
        </w:rPr>
        <w:t xml:space="preserve">Neni 134 </w:t>
      </w:r>
      <w:r w:rsidRPr="00AB058C">
        <w:rPr>
          <w:b/>
          <w:snapToGrid w:val="0"/>
          <w:lang w:val="pt-BR" w:eastAsia="en-US"/>
        </w:rPr>
        <w:t>§§ 1 (f) dhe 2</w:t>
      </w:r>
    </w:p>
    <w:p w:rsidR="006F4ACB" w:rsidRDefault="006F4ACB" w:rsidP="006F4ACB">
      <w:pPr>
        <w:pStyle w:val="ListParagraph"/>
        <w:tabs>
          <w:tab w:val="left" w:pos="90"/>
        </w:tabs>
        <w:jc w:val="both"/>
        <w:rPr>
          <w:b/>
          <w:snapToGrid w:val="0"/>
          <w:lang w:val="pt-BR" w:eastAsia="en-US"/>
        </w:rPr>
      </w:pPr>
    </w:p>
    <w:p w:rsidR="006F4ACB" w:rsidRDefault="006F4ACB" w:rsidP="006F4ACB">
      <w:pPr>
        <w:pStyle w:val="ListParagraph"/>
        <w:tabs>
          <w:tab w:val="left" w:pos="90"/>
        </w:tabs>
        <w:jc w:val="both"/>
        <w:rPr>
          <w:rStyle w:val="apple-style-span"/>
          <w:color w:val="000000"/>
          <w:sz w:val="20"/>
          <w:lang w:val="pt-BR"/>
        </w:rPr>
      </w:pPr>
      <w:r>
        <w:rPr>
          <w:snapToGrid w:val="0"/>
          <w:sz w:val="20"/>
          <w:lang w:val="pt-BR" w:eastAsia="en-US"/>
        </w:rPr>
        <w:t xml:space="preserve">“1.   </w:t>
      </w:r>
      <w:r w:rsidRPr="00AB058C">
        <w:rPr>
          <w:rStyle w:val="apple-style-span"/>
          <w:color w:val="000000"/>
          <w:sz w:val="20"/>
          <w:lang w:val="pt-BR"/>
        </w:rPr>
        <w:t>Gjykata Kushtetuese vihet në lëvizje vetëm me kërkesë të:</w:t>
      </w:r>
    </w:p>
    <w:p w:rsidR="006F4ACB" w:rsidRDefault="006F4ACB" w:rsidP="006F4ACB">
      <w:pPr>
        <w:pStyle w:val="ListParagraph"/>
        <w:tabs>
          <w:tab w:val="left" w:pos="90"/>
        </w:tabs>
        <w:jc w:val="both"/>
        <w:rPr>
          <w:rStyle w:val="apple-style-span"/>
          <w:color w:val="000000"/>
          <w:sz w:val="20"/>
          <w:lang w:val="pt-BR"/>
        </w:rPr>
      </w:pPr>
      <w:r>
        <w:rPr>
          <w:rStyle w:val="apple-style-span"/>
          <w:color w:val="000000"/>
          <w:sz w:val="20"/>
          <w:lang w:val="pt-BR"/>
        </w:rPr>
        <w:t>...</w:t>
      </w:r>
    </w:p>
    <w:p w:rsidR="006F4ACB" w:rsidRDefault="006F4ACB" w:rsidP="006F4ACB">
      <w:pPr>
        <w:pStyle w:val="ListParagraph"/>
        <w:tabs>
          <w:tab w:val="left" w:pos="90"/>
        </w:tabs>
        <w:jc w:val="both"/>
        <w:rPr>
          <w:rStyle w:val="apple-style-span"/>
          <w:color w:val="000000"/>
          <w:sz w:val="20"/>
          <w:lang w:val="pt-BR"/>
        </w:rPr>
      </w:pPr>
    </w:p>
    <w:p w:rsidR="006F4ACB" w:rsidRDefault="006F4ACB" w:rsidP="006F4ACB">
      <w:pPr>
        <w:pStyle w:val="ListParagraph"/>
        <w:tabs>
          <w:tab w:val="left" w:pos="90"/>
        </w:tabs>
        <w:jc w:val="both"/>
        <w:rPr>
          <w:color w:val="000000"/>
          <w:sz w:val="20"/>
          <w:lang w:val="en-US" w:eastAsia="de-AT"/>
        </w:rPr>
      </w:pPr>
      <w:r>
        <w:rPr>
          <w:rStyle w:val="apple-style-span"/>
          <w:color w:val="000000"/>
          <w:sz w:val="20"/>
          <w:lang w:val="pt-BR"/>
        </w:rPr>
        <w:t xml:space="preserve">(f) </w:t>
      </w:r>
      <w:r w:rsidRPr="00AB058C">
        <w:rPr>
          <w:color w:val="000000"/>
          <w:sz w:val="20"/>
          <w:lang w:val="en-US" w:eastAsia="de-AT"/>
        </w:rPr>
        <w:t>partive pol</w:t>
      </w:r>
      <w:r>
        <w:rPr>
          <w:color w:val="000000"/>
          <w:sz w:val="20"/>
          <w:lang w:val="en-US" w:eastAsia="de-AT"/>
        </w:rPr>
        <w:t>itike dhe organizatave të tjera</w:t>
      </w:r>
    </w:p>
    <w:p w:rsidR="006F4ACB" w:rsidRDefault="006F4ACB" w:rsidP="006F4ACB">
      <w:pPr>
        <w:pStyle w:val="ListParagraph"/>
        <w:tabs>
          <w:tab w:val="left" w:pos="90"/>
        </w:tabs>
        <w:jc w:val="both"/>
        <w:rPr>
          <w:color w:val="000000"/>
          <w:sz w:val="20"/>
          <w:lang w:val="en-US" w:eastAsia="de-AT"/>
        </w:rPr>
      </w:pPr>
    </w:p>
    <w:p w:rsidR="006F4ACB" w:rsidRDefault="006F4ACB" w:rsidP="006F4ACB">
      <w:pPr>
        <w:pStyle w:val="ListParagraph"/>
        <w:tabs>
          <w:tab w:val="left" w:pos="90"/>
        </w:tabs>
        <w:jc w:val="both"/>
        <w:rPr>
          <w:color w:val="000000"/>
          <w:sz w:val="20"/>
          <w:lang w:val="en-US" w:eastAsia="de-AT"/>
        </w:rPr>
      </w:pPr>
      <w:r>
        <w:rPr>
          <w:color w:val="000000"/>
          <w:sz w:val="20"/>
          <w:lang w:val="en-US" w:eastAsia="de-AT"/>
        </w:rPr>
        <w:t>(g)</w:t>
      </w:r>
      <w:r w:rsidRPr="00AB058C">
        <w:rPr>
          <w:color w:val="000000"/>
          <w:sz w:val="20"/>
          <w:lang w:val="en-US" w:eastAsia="de-AT"/>
        </w:rPr>
        <w:t>individëve.</w:t>
      </w:r>
    </w:p>
    <w:p w:rsidR="006F4ACB" w:rsidRPr="00AB058C" w:rsidRDefault="006F4ACB" w:rsidP="006F4ACB">
      <w:pPr>
        <w:pStyle w:val="ListParagraph"/>
        <w:tabs>
          <w:tab w:val="left" w:pos="90"/>
        </w:tabs>
        <w:jc w:val="both"/>
        <w:rPr>
          <w:color w:val="000000"/>
          <w:sz w:val="20"/>
          <w:lang w:val="pt-BR"/>
        </w:rPr>
      </w:pPr>
      <w:r>
        <w:rPr>
          <w:color w:val="000000"/>
          <w:sz w:val="20"/>
          <w:lang w:val="en-US" w:eastAsia="de-AT"/>
        </w:rPr>
        <w:t xml:space="preserve">2.   </w:t>
      </w:r>
      <w:r w:rsidRPr="00AB058C">
        <w:rPr>
          <w:color w:val="000000"/>
          <w:sz w:val="20"/>
          <w:lang w:val="pt-BR" w:eastAsia="de-AT"/>
        </w:rPr>
        <w:t>Subjekte</w:t>
      </w:r>
      <w:r w:rsidR="00FD7CE9">
        <w:rPr>
          <w:color w:val="000000"/>
          <w:sz w:val="20"/>
          <w:lang w:val="pt-BR" w:eastAsia="de-AT"/>
        </w:rPr>
        <w:t>t e parashikuara n</w:t>
      </w:r>
      <w:r w:rsidR="00FD7CE9">
        <w:t>ë</w:t>
      </w:r>
      <w:r w:rsidR="00FD7CE9">
        <w:rPr>
          <w:color w:val="000000"/>
          <w:sz w:val="20"/>
          <w:lang w:val="pt-BR" w:eastAsia="de-AT"/>
        </w:rPr>
        <w:t xml:space="preserve"> paragrafin e par</w:t>
      </w:r>
      <w:r w:rsidRPr="00AB058C">
        <w:rPr>
          <w:color w:val="000000"/>
          <w:sz w:val="20"/>
          <w:lang w:val="pt-BR" w:eastAsia="de-AT"/>
        </w:rPr>
        <w:t>ë,</w:t>
      </w:r>
      <w:r w:rsidR="00FD7CE9">
        <w:rPr>
          <w:color w:val="000000"/>
          <w:sz w:val="20"/>
          <w:lang w:val="pt-BR" w:eastAsia="de-AT"/>
        </w:rPr>
        <w:t>shkronjat ...(</w:t>
      </w:r>
      <w:r w:rsidRPr="00AB058C">
        <w:rPr>
          <w:color w:val="000000"/>
          <w:sz w:val="20"/>
          <w:lang w:val="pt-BR" w:eastAsia="de-AT"/>
        </w:rPr>
        <w:t>f</w:t>
      </w:r>
      <w:r w:rsidR="00FD7CE9">
        <w:rPr>
          <w:color w:val="000000"/>
          <w:sz w:val="20"/>
          <w:lang w:val="pt-BR" w:eastAsia="de-AT"/>
        </w:rPr>
        <w:t>)</w:t>
      </w:r>
      <w:r w:rsidRPr="00AB058C">
        <w:rPr>
          <w:color w:val="000000"/>
          <w:sz w:val="20"/>
          <w:lang w:val="pt-BR" w:eastAsia="de-AT"/>
        </w:rPr>
        <w:t xml:space="preserve"> dhe </w:t>
      </w:r>
      <w:r w:rsidR="00FD7CE9">
        <w:rPr>
          <w:color w:val="000000"/>
          <w:sz w:val="20"/>
          <w:lang w:val="pt-BR" w:eastAsia="de-AT"/>
        </w:rPr>
        <w:t>(</w:t>
      </w:r>
      <w:r w:rsidRPr="00AB058C">
        <w:rPr>
          <w:color w:val="000000"/>
          <w:sz w:val="20"/>
          <w:lang w:val="pt-BR" w:eastAsia="de-AT"/>
        </w:rPr>
        <w:t>g</w:t>
      </w:r>
      <w:r w:rsidR="00FD7CE9">
        <w:rPr>
          <w:color w:val="000000"/>
          <w:sz w:val="20"/>
          <w:lang w:val="pt-BR" w:eastAsia="de-AT"/>
        </w:rPr>
        <w:t xml:space="preserve">) </w:t>
      </w:r>
      <w:r w:rsidRPr="00AB058C">
        <w:rPr>
          <w:color w:val="000000"/>
          <w:sz w:val="20"/>
          <w:lang w:val="pt-BR" w:eastAsia="de-AT"/>
        </w:rPr>
        <w:t xml:space="preserve"> mund të bëjnë kërkesë vetëm për çështje që lidhen me interesat e tyre.</w:t>
      </w:r>
    </w:p>
    <w:p w:rsidR="006F4ACB" w:rsidRPr="002E5FCB" w:rsidRDefault="006F4ACB" w:rsidP="006F4ACB">
      <w:pPr>
        <w:pStyle w:val="ListParagraph"/>
        <w:tabs>
          <w:tab w:val="left" w:pos="90"/>
        </w:tabs>
        <w:jc w:val="both"/>
        <w:rPr>
          <w:sz w:val="20"/>
          <w:lang w:val="pt-BR"/>
        </w:rPr>
      </w:pPr>
    </w:p>
    <w:p w:rsidR="006F4ACB" w:rsidRPr="00AB058C" w:rsidRDefault="006F4ACB" w:rsidP="006F4ACB">
      <w:pPr>
        <w:pStyle w:val="ListParagraph"/>
        <w:tabs>
          <w:tab w:val="left" w:pos="90"/>
        </w:tabs>
        <w:jc w:val="both"/>
        <w:rPr>
          <w:lang w:val="pt-BR"/>
        </w:rPr>
      </w:pPr>
    </w:p>
    <w:p w:rsidR="006F4ACB" w:rsidRPr="00AB058C" w:rsidRDefault="006F4ACB" w:rsidP="006F4ACB">
      <w:pPr>
        <w:pStyle w:val="ListParagraph"/>
        <w:tabs>
          <w:tab w:val="left" w:pos="90"/>
        </w:tabs>
        <w:jc w:val="both"/>
        <w:rPr>
          <w:lang w:val="pt-BR"/>
        </w:rPr>
      </w:pPr>
    </w:p>
    <w:p w:rsidR="006F4ACB" w:rsidRPr="00AB058C" w:rsidRDefault="006F4ACB" w:rsidP="006F4ACB">
      <w:pPr>
        <w:pStyle w:val="ListParagraph"/>
        <w:tabs>
          <w:tab w:val="left" w:pos="90"/>
        </w:tabs>
        <w:jc w:val="both"/>
        <w:rPr>
          <w:lang w:val="pt-BR"/>
        </w:rPr>
      </w:pPr>
    </w:p>
    <w:p w:rsidR="006F4ACB" w:rsidRDefault="006F4ACB" w:rsidP="006F4ACB">
      <w:pPr>
        <w:pStyle w:val="ListParagraph"/>
        <w:tabs>
          <w:tab w:val="left" w:pos="90"/>
        </w:tabs>
        <w:jc w:val="both"/>
      </w:pPr>
      <w:r w:rsidRPr="00031FC3">
        <w:rPr>
          <w:i/>
        </w:rPr>
        <w:t xml:space="preserve">3.   </w:t>
      </w:r>
      <w:r w:rsidRPr="002E5FCB">
        <w:rPr>
          <w:i/>
        </w:rPr>
        <w:t>Kodi Civil</w:t>
      </w:r>
    </w:p>
    <w:p w:rsidR="006F4ACB" w:rsidRDefault="006F4ACB" w:rsidP="006F4ACB">
      <w:pPr>
        <w:pStyle w:val="ListParagraph"/>
        <w:tabs>
          <w:tab w:val="left" w:pos="90"/>
        </w:tabs>
        <w:jc w:val="both"/>
      </w:pPr>
    </w:p>
    <w:p w:rsidR="006F4ACB" w:rsidRDefault="006F4ACB" w:rsidP="000409D4">
      <w:pPr>
        <w:pStyle w:val="ListParagraph"/>
        <w:numPr>
          <w:ilvl w:val="0"/>
          <w:numId w:val="1"/>
        </w:numPr>
        <w:tabs>
          <w:tab w:val="left" w:pos="90"/>
        </w:tabs>
        <w:jc w:val="both"/>
      </w:pPr>
      <w:r>
        <w:t xml:space="preserve">  Neni 1050 i Kodit Civil (“KC”) parashikon:</w:t>
      </w:r>
    </w:p>
    <w:p w:rsidR="006F4ACB" w:rsidRDefault="006F4ACB" w:rsidP="006F4ACB">
      <w:pPr>
        <w:pStyle w:val="ListParagraph"/>
        <w:tabs>
          <w:tab w:val="left" w:pos="90"/>
        </w:tabs>
        <w:jc w:val="both"/>
      </w:pPr>
    </w:p>
    <w:p w:rsidR="006F4ACB" w:rsidRDefault="006F4ACB" w:rsidP="006F4ACB">
      <w:pPr>
        <w:pStyle w:val="ListParagraph"/>
        <w:tabs>
          <w:tab w:val="left" w:pos="90"/>
        </w:tabs>
        <w:jc w:val="both"/>
        <w:rPr>
          <w:color w:val="000000" w:themeColor="text1"/>
          <w:sz w:val="20"/>
        </w:rPr>
      </w:pPr>
      <w:r>
        <w:t>“</w:t>
      </w:r>
      <w:r w:rsidRPr="002E5FCB">
        <w:rPr>
          <w:rStyle w:val="apple-style-span"/>
          <w:color w:val="000000" w:themeColor="text1"/>
          <w:sz w:val="20"/>
        </w:rPr>
        <w:t>Me kontratën e huasë njëra palë (huadhënësi) i jep në pronësi palës tjetër (huamarrësit) një shumë të hollash ose sende që përcaktohen në numër, me peshë ose me masë dhe huamarrësi detyrohet t’i kthejë huadhënësit aq të holla, ose aq sende të atij lloji dhe të asaj cilësie, brenda afatit të caktuar në kontratë ose, kur nuk është caktuar afat, me kërkesën e huadhënësit.</w:t>
      </w:r>
      <w:r w:rsidRPr="002E5FCB">
        <w:rPr>
          <w:color w:val="000000" w:themeColor="text1"/>
          <w:sz w:val="20"/>
        </w:rPr>
        <w:t>”</w:t>
      </w:r>
    </w:p>
    <w:p w:rsidR="006F4ACB" w:rsidRDefault="006F4ACB" w:rsidP="006F4ACB">
      <w:pPr>
        <w:tabs>
          <w:tab w:val="left" w:pos="90"/>
        </w:tabs>
        <w:jc w:val="both"/>
        <w:rPr>
          <w:color w:val="000000" w:themeColor="text1"/>
          <w:szCs w:val="24"/>
        </w:rPr>
      </w:pPr>
    </w:p>
    <w:p w:rsidR="006F4ACB" w:rsidRPr="00031FC3" w:rsidRDefault="006F4ACB" w:rsidP="006F4ACB">
      <w:pPr>
        <w:tabs>
          <w:tab w:val="left" w:pos="90"/>
        </w:tabs>
        <w:jc w:val="both"/>
        <w:rPr>
          <w:i/>
          <w:color w:val="000000" w:themeColor="text1"/>
          <w:szCs w:val="24"/>
        </w:rPr>
      </w:pPr>
      <w:r>
        <w:rPr>
          <w:color w:val="000000" w:themeColor="text1"/>
          <w:szCs w:val="24"/>
        </w:rPr>
        <w:lastRenderedPageBreak/>
        <w:tab/>
      </w:r>
      <w:r>
        <w:rPr>
          <w:color w:val="000000" w:themeColor="text1"/>
          <w:szCs w:val="24"/>
        </w:rPr>
        <w:tab/>
      </w:r>
      <w:r w:rsidRPr="00031FC3">
        <w:rPr>
          <w:i/>
          <w:color w:val="000000" w:themeColor="text1"/>
          <w:szCs w:val="24"/>
        </w:rPr>
        <w:t xml:space="preserve">4. </w:t>
      </w:r>
      <w:r>
        <w:rPr>
          <w:i/>
          <w:color w:val="000000" w:themeColor="text1"/>
          <w:szCs w:val="24"/>
        </w:rPr>
        <w:t xml:space="preserve">  </w:t>
      </w:r>
      <w:r w:rsidRPr="00031FC3">
        <w:rPr>
          <w:i/>
          <w:color w:val="000000" w:themeColor="text1"/>
          <w:szCs w:val="24"/>
        </w:rPr>
        <w:t>Kodi i Procedur</w:t>
      </w:r>
      <w:r>
        <w:rPr>
          <w:i/>
          <w:color w:val="000000" w:themeColor="text1"/>
          <w:szCs w:val="24"/>
        </w:rPr>
        <w:t>ë</w:t>
      </w:r>
      <w:r w:rsidRPr="00031FC3">
        <w:rPr>
          <w:i/>
          <w:color w:val="000000" w:themeColor="text1"/>
          <w:szCs w:val="24"/>
        </w:rPr>
        <w:t>s Civile</w:t>
      </w:r>
    </w:p>
    <w:p w:rsidR="006F4ACB" w:rsidRDefault="006F4ACB" w:rsidP="006F4ACB">
      <w:pPr>
        <w:pStyle w:val="ListParagraph"/>
        <w:tabs>
          <w:tab w:val="left" w:pos="90"/>
        </w:tabs>
        <w:jc w:val="both"/>
      </w:pPr>
    </w:p>
    <w:p w:rsidR="006F4ACB" w:rsidRDefault="006F4ACB" w:rsidP="000409D4">
      <w:pPr>
        <w:pStyle w:val="ListParagraph"/>
        <w:numPr>
          <w:ilvl w:val="0"/>
          <w:numId w:val="1"/>
        </w:numPr>
        <w:tabs>
          <w:tab w:val="left" w:pos="90"/>
        </w:tabs>
        <w:jc w:val="both"/>
      </w:pPr>
      <w:r>
        <w:t xml:space="preserve">  Nenet 324–333 rregullojnë gjykimin e mosmarrëveshjeve administrative.</w:t>
      </w:r>
    </w:p>
    <w:p w:rsidR="006F4ACB" w:rsidRDefault="006F4ACB" w:rsidP="006F4ACB">
      <w:pPr>
        <w:pStyle w:val="ListParagraph"/>
        <w:tabs>
          <w:tab w:val="left" w:pos="90"/>
        </w:tabs>
        <w:jc w:val="both"/>
      </w:pPr>
    </w:p>
    <w:p w:rsidR="006F4ACB" w:rsidRDefault="006F4ACB" w:rsidP="000409D4">
      <w:pPr>
        <w:pStyle w:val="ListParagraph"/>
        <w:numPr>
          <w:ilvl w:val="0"/>
          <w:numId w:val="1"/>
        </w:numPr>
        <w:tabs>
          <w:tab w:val="left" w:pos="90"/>
        </w:tabs>
        <w:jc w:val="both"/>
      </w:pPr>
      <w:r>
        <w:t xml:space="preserve">  Neni 326, në fuqi në kohë materiale, parashikonte se asnjë padi nuk mund të ngrihet kundër akteve administrative të Qeverisë kur ato përmbajnë një detyrim të përgjithshëm, në qoftë se nuk shkelin të drejtat dhe interesat e ligjshme të qytetarëve. </w:t>
      </w:r>
    </w:p>
    <w:p w:rsidR="006F4ACB" w:rsidRDefault="006F4ACB" w:rsidP="006F4ACB">
      <w:pPr>
        <w:tabs>
          <w:tab w:val="left" w:pos="90"/>
        </w:tabs>
        <w:jc w:val="both"/>
      </w:pPr>
    </w:p>
    <w:p w:rsidR="006F4ACB" w:rsidRDefault="006F4ACB" w:rsidP="006F4ACB">
      <w:pPr>
        <w:tabs>
          <w:tab w:val="left" w:pos="90"/>
        </w:tabs>
        <w:jc w:val="both"/>
      </w:pPr>
    </w:p>
    <w:p w:rsidR="006F4ACB" w:rsidRPr="00300973" w:rsidRDefault="006F4ACB" w:rsidP="006F4ACB">
      <w:pPr>
        <w:tabs>
          <w:tab w:val="left" w:pos="90"/>
        </w:tabs>
        <w:jc w:val="both"/>
        <w:rPr>
          <w:i/>
        </w:rPr>
      </w:pPr>
      <w:r w:rsidRPr="00300973">
        <w:rPr>
          <w:i/>
        </w:rPr>
        <w:t xml:space="preserve">5. Ligji </w:t>
      </w:r>
      <w:r>
        <w:rPr>
          <w:i/>
        </w:rPr>
        <w:t>i</w:t>
      </w:r>
      <w:r w:rsidRPr="00300973">
        <w:rPr>
          <w:i/>
        </w:rPr>
        <w:t xml:space="preserve"> Falimentimit (Ligji p</w:t>
      </w:r>
      <w:r>
        <w:rPr>
          <w:i/>
        </w:rPr>
        <w:t>ë</w:t>
      </w:r>
      <w:r w:rsidRPr="00300973">
        <w:rPr>
          <w:i/>
        </w:rPr>
        <w:t>r Procedurat e Falimentimit, nr. 8017, dat</w:t>
      </w:r>
      <w:r>
        <w:rPr>
          <w:i/>
        </w:rPr>
        <w:t>ë</w:t>
      </w:r>
      <w:r w:rsidRPr="00300973">
        <w:rPr>
          <w:i/>
        </w:rPr>
        <w:t xml:space="preserve"> 25 Tetor 1995)</w:t>
      </w:r>
    </w:p>
    <w:p w:rsidR="006F4ACB" w:rsidRDefault="006F4ACB" w:rsidP="006F4ACB">
      <w:pPr>
        <w:tabs>
          <w:tab w:val="left" w:pos="90"/>
        </w:tabs>
        <w:jc w:val="both"/>
      </w:pPr>
    </w:p>
    <w:p w:rsidR="006F4ACB" w:rsidRPr="00B1785F" w:rsidRDefault="006F4ACB" w:rsidP="000409D4">
      <w:pPr>
        <w:pStyle w:val="ListParagraph"/>
        <w:numPr>
          <w:ilvl w:val="0"/>
          <w:numId w:val="1"/>
        </w:numPr>
        <w:tabs>
          <w:tab w:val="left" w:pos="90"/>
        </w:tabs>
        <w:ind w:left="0" w:firstLine="360"/>
        <w:jc w:val="both"/>
        <w:rPr>
          <w:lang w:val="de-AT"/>
        </w:rPr>
      </w:pPr>
      <w:r>
        <w:t xml:space="preserve">   Ligji i Falimentimit, në fuqi në kohë materiale, zbatohej për personat juridikë të cilët, si shoqëria ankuese ishin krijuar në përputhje me Ligjin e Shoqërive. Për procedurat që duhej të filloheshin duke u bazuar në akuzën ligjore të kreditorit, ai ose ajo duhej të provonin se debitori nuk kishte përmbushur detyrimet për pagesat. </w:t>
      </w:r>
      <w:r w:rsidRPr="00B5051D">
        <w:t>N</w:t>
      </w:r>
      <w:r>
        <w:t>ë</w:t>
      </w:r>
      <w:r w:rsidRPr="00B5051D">
        <w:t xml:space="preserve"> </w:t>
      </w:r>
      <w:r>
        <w:t>ç</w:t>
      </w:r>
      <w:r w:rsidRPr="00B5051D">
        <w:t>do r</w:t>
      </w:r>
      <w:r>
        <w:t>ast, debitori gjithashtu mund të depozitonte</w:t>
      </w:r>
      <w:r w:rsidRPr="00B5051D">
        <w:t xml:space="preserve"> nj</w:t>
      </w:r>
      <w:r>
        <w:t>ë</w:t>
      </w:r>
      <w:r w:rsidRPr="00B5051D">
        <w:t xml:space="preserve"> akuz</w:t>
      </w:r>
      <w:r>
        <w:t>ë</w:t>
      </w:r>
      <w:r w:rsidRPr="00B5051D">
        <w:t xml:space="preserve"> t</w:t>
      </w:r>
      <w:r>
        <w:t>ë</w:t>
      </w:r>
      <w:r w:rsidRPr="00B5051D">
        <w:t xml:space="preserve"> ngjashme.</w:t>
      </w:r>
      <w:r>
        <w:t xml:space="preserve"> Procedurat e falimentimit ishin procedurat e gjykatës. Rrjedhimisht, vendimi për t’i deklaruar ato të hapura ishte në kompetencën e gjykatës së rrethit e cila mund të vendoste debitorin në administrim të detyruar duke caktuar një administrator. Gjatë kryerjes së detyrave të tij, administratori vepronte nën mbikëqyrjen e gjykatës, e</w:t>
      </w:r>
      <w:r w:rsidR="00367742">
        <w:t xml:space="preserve"> </w:t>
      </w:r>
      <w:r>
        <w:t>c</w:t>
      </w:r>
      <w:r w:rsidR="00217BDC">
        <w:t>ila kishte të drejtë</w:t>
      </w:r>
      <w:r>
        <w:t xml:space="preserve"> ta zëvendësonte administratorin për shkaqe të bazuara dhe të arsyeshme. </w:t>
      </w:r>
      <w:r w:rsidRPr="00B1785F">
        <w:rPr>
          <w:lang w:val="de-AT"/>
        </w:rPr>
        <w:t>Ligji i Falimentimit parashikonte miratimin e nj</w:t>
      </w:r>
      <w:r>
        <w:rPr>
          <w:lang w:val="de-AT"/>
        </w:rPr>
        <w:t>ë</w:t>
      </w:r>
      <w:r w:rsidRPr="00B1785F">
        <w:rPr>
          <w:lang w:val="de-AT"/>
        </w:rPr>
        <w:t xml:space="preserve"> plan</w:t>
      </w:r>
      <w:r w:rsidR="00367742">
        <w:rPr>
          <w:lang w:val="de-AT"/>
        </w:rPr>
        <w:t>i</w:t>
      </w:r>
      <w:r w:rsidRPr="00B1785F">
        <w:rPr>
          <w:lang w:val="de-AT"/>
        </w:rPr>
        <w:t xml:space="preserve"> ristrukturimi, q</w:t>
      </w:r>
      <w:r>
        <w:rPr>
          <w:lang w:val="de-AT"/>
        </w:rPr>
        <w:t>ë</w:t>
      </w:r>
      <w:r w:rsidRPr="00B1785F">
        <w:rPr>
          <w:lang w:val="de-AT"/>
        </w:rPr>
        <w:t xml:space="preserve"> k</w:t>
      </w:r>
      <w:r>
        <w:rPr>
          <w:lang w:val="de-AT"/>
        </w:rPr>
        <w:t>ë</w:t>
      </w:r>
      <w:r w:rsidRPr="00B1785F">
        <w:rPr>
          <w:lang w:val="de-AT"/>
        </w:rPr>
        <w:t>rkonte aprovimin e gjykat</w:t>
      </w:r>
      <w:r>
        <w:rPr>
          <w:lang w:val="de-AT"/>
        </w:rPr>
        <w:t>ë</w:t>
      </w:r>
      <w:r w:rsidRPr="00B1785F">
        <w:rPr>
          <w:lang w:val="de-AT"/>
        </w:rPr>
        <w:t>s. N</w:t>
      </w:r>
      <w:r>
        <w:rPr>
          <w:lang w:val="de-AT"/>
        </w:rPr>
        <w:t>ë</w:t>
      </w:r>
      <w:r w:rsidRPr="00B1785F">
        <w:rPr>
          <w:lang w:val="de-AT"/>
        </w:rPr>
        <w:t xml:space="preserve"> rast se plani i ristrukturimit nuk pranohej, gjykata vendoste vazhdimin e likuidimit t</w:t>
      </w:r>
      <w:r>
        <w:rPr>
          <w:lang w:val="de-AT"/>
        </w:rPr>
        <w:t>ë</w:t>
      </w:r>
      <w:r w:rsidRPr="00B1785F">
        <w:rPr>
          <w:lang w:val="de-AT"/>
        </w:rPr>
        <w:t xml:space="preserve"> menj</w:t>
      </w:r>
      <w:r>
        <w:rPr>
          <w:lang w:val="de-AT"/>
        </w:rPr>
        <w:t>ë</w:t>
      </w:r>
      <w:r w:rsidRPr="00B1785F">
        <w:rPr>
          <w:lang w:val="de-AT"/>
        </w:rPr>
        <w:t>hersh</w:t>
      </w:r>
      <w:r>
        <w:rPr>
          <w:lang w:val="de-AT"/>
        </w:rPr>
        <w:t>ë</w:t>
      </w:r>
      <w:r w:rsidRPr="00B1785F">
        <w:rPr>
          <w:lang w:val="de-AT"/>
        </w:rPr>
        <w:t>m t</w:t>
      </w:r>
      <w:r>
        <w:rPr>
          <w:lang w:val="de-AT"/>
        </w:rPr>
        <w:t>ë</w:t>
      </w:r>
      <w:r w:rsidRPr="00B1785F">
        <w:rPr>
          <w:lang w:val="de-AT"/>
        </w:rPr>
        <w:t xml:space="preserve"> aseteve t</w:t>
      </w:r>
      <w:r>
        <w:rPr>
          <w:lang w:val="de-AT"/>
        </w:rPr>
        <w:t>ë</w:t>
      </w:r>
      <w:r w:rsidRPr="00B1785F">
        <w:rPr>
          <w:lang w:val="de-AT"/>
        </w:rPr>
        <w:t xml:space="preserve"> debitorit. Ligji i Falimentimit parashikonte t</w:t>
      </w:r>
      <w:r>
        <w:rPr>
          <w:lang w:val="de-AT"/>
        </w:rPr>
        <w:t>ë</w:t>
      </w:r>
      <w:r w:rsidRPr="00B1785F">
        <w:rPr>
          <w:lang w:val="de-AT"/>
        </w:rPr>
        <w:t xml:space="preserve"> drejt</w:t>
      </w:r>
      <w:r>
        <w:rPr>
          <w:lang w:val="de-AT"/>
        </w:rPr>
        <w:t>ë</w:t>
      </w:r>
      <w:r w:rsidRPr="00B1785F">
        <w:rPr>
          <w:lang w:val="de-AT"/>
        </w:rPr>
        <w:t>n e apelimit kund</w:t>
      </w:r>
      <w:r>
        <w:rPr>
          <w:lang w:val="de-AT"/>
        </w:rPr>
        <w:t>ë</w:t>
      </w:r>
      <w:r w:rsidRPr="00B1785F">
        <w:rPr>
          <w:lang w:val="de-AT"/>
        </w:rPr>
        <w:t>r vendimit t</w:t>
      </w:r>
      <w:r>
        <w:rPr>
          <w:lang w:val="de-AT"/>
        </w:rPr>
        <w:t>ë</w:t>
      </w:r>
      <w:r w:rsidRPr="00B1785F">
        <w:rPr>
          <w:lang w:val="de-AT"/>
        </w:rPr>
        <w:t xml:space="preserve"> gjykat</w:t>
      </w:r>
      <w:r>
        <w:rPr>
          <w:lang w:val="de-AT"/>
        </w:rPr>
        <w:t>ë</w:t>
      </w:r>
      <w:r w:rsidRPr="00B1785F">
        <w:rPr>
          <w:lang w:val="de-AT"/>
        </w:rPr>
        <w:t>s s</w:t>
      </w:r>
      <w:r>
        <w:rPr>
          <w:lang w:val="de-AT"/>
        </w:rPr>
        <w:t>ë</w:t>
      </w:r>
      <w:r w:rsidRPr="00B1785F">
        <w:rPr>
          <w:lang w:val="de-AT"/>
        </w:rPr>
        <w:t xml:space="preserve"> rrethit. </w:t>
      </w:r>
    </w:p>
    <w:p w:rsidR="006F4ACB" w:rsidRDefault="006F4ACB" w:rsidP="006F4ACB">
      <w:pPr>
        <w:tabs>
          <w:tab w:val="left" w:pos="90"/>
        </w:tabs>
        <w:jc w:val="both"/>
        <w:rPr>
          <w:lang w:val="de-AT"/>
        </w:rPr>
      </w:pPr>
    </w:p>
    <w:p w:rsidR="006F4ACB" w:rsidRPr="00646868" w:rsidRDefault="006F4ACB" w:rsidP="006F4ACB">
      <w:pPr>
        <w:tabs>
          <w:tab w:val="left" w:pos="90"/>
        </w:tabs>
        <w:jc w:val="both"/>
        <w:rPr>
          <w:i/>
          <w:lang w:val="de-AT"/>
        </w:rPr>
      </w:pPr>
      <w:r>
        <w:rPr>
          <w:i/>
          <w:lang w:val="de-AT"/>
        </w:rPr>
        <w:t>6. Ligj</w:t>
      </w:r>
      <w:r w:rsidRPr="00646868">
        <w:rPr>
          <w:i/>
          <w:lang w:val="de-AT"/>
        </w:rPr>
        <w:t>i</w:t>
      </w:r>
      <w:r>
        <w:rPr>
          <w:i/>
          <w:lang w:val="de-AT"/>
        </w:rPr>
        <w:t xml:space="preserve"> për Ndalimin</w:t>
      </w:r>
      <w:r w:rsidRPr="00646868">
        <w:rPr>
          <w:i/>
          <w:lang w:val="de-AT"/>
        </w:rPr>
        <w:t xml:space="preserve"> e Skemave Piramidale (Ligji p</w:t>
      </w:r>
      <w:r>
        <w:rPr>
          <w:i/>
          <w:lang w:val="de-AT"/>
        </w:rPr>
        <w:t>ë</w:t>
      </w:r>
      <w:r w:rsidRPr="00646868">
        <w:rPr>
          <w:i/>
          <w:lang w:val="de-AT"/>
        </w:rPr>
        <w:t>r ndalimin e skemave piramidale mashtruese t</w:t>
      </w:r>
      <w:r>
        <w:rPr>
          <w:i/>
          <w:lang w:val="de-AT"/>
        </w:rPr>
        <w:t>ë</w:t>
      </w:r>
      <w:r w:rsidRPr="00646868">
        <w:rPr>
          <w:i/>
          <w:lang w:val="de-AT"/>
        </w:rPr>
        <w:t xml:space="preserve"> huamarrjes, Ligji nr. 8188 dat</w:t>
      </w:r>
      <w:r>
        <w:rPr>
          <w:i/>
          <w:lang w:val="de-AT"/>
        </w:rPr>
        <w:t>ë</w:t>
      </w:r>
      <w:r w:rsidRPr="00646868">
        <w:rPr>
          <w:i/>
          <w:lang w:val="de-AT"/>
        </w:rPr>
        <w:t xml:space="preserve"> 23 Janar 1997)</w:t>
      </w:r>
    </w:p>
    <w:p w:rsidR="006F4ACB" w:rsidRPr="00646868" w:rsidRDefault="006F4ACB" w:rsidP="006F4ACB">
      <w:pPr>
        <w:tabs>
          <w:tab w:val="left" w:pos="90"/>
        </w:tabs>
        <w:jc w:val="both"/>
        <w:rPr>
          <w:lang w:val="de-AT"/>
        </w:rPr>
      </w:pPr>
    </w:p>
    <w:p w:rsidR="006F4ACB" w:rsidRPr="00B1785F" w:rsidRDefault="006F4ACB" w:rsidP="000409D4">
      <w:pPr>
        <w:pStyle w:val="ListParagraph"/>
        <w:numPr>
          <w:ilvl w:val="0"/>
          <w:numId w:val="1"/>
        </w:numPr>
        <w:tabs>
          <w:tab w:val="left" w:pos="90"/>
        </w:tabs>
        <w:ind w:left="0" w:firstLine="360"/>
        <w:jc w:val="both"/>
        <w:rPr>
          <w:lang w:val="de-AT"/>
        </w:rPr>
      </w:pPr>
      <w:r>
        <w:rPr>
          <w:lang w:val="de-AT"/>
        </w:rPr>
        <w:t xml:space="preserve">  </w:t>
      </w:r>
      <w:r w:rsidRPr="00B1785F">
        <w:rPr>
          <w:lang w:val="de-AT"/>
        </w:rPr>
        <w:t>Ligji parashikonte se huamarrja e organizuar n</w:t>
      </w:r>
      <w:r>
        <w:rPr>
          <w:lang w:val="de-AT"/>
        </w:rPr>
        <w:t>ë</w:t>
      </w:r>
      <w:r w:rsidRPr="00B1785F">
        <w:rPr>
          <w:lang w:val="de-AT"/>
        </w:rPr>
        <w:t xml:space="preserve"> baz</w:t>
      </w:r>
      <w:r>
        <w:rPr>
          <w:lang w:val="de-AT"/>
        </w:rPr>
        <w:t>ë</w:t>
      </w:r>
      <w:r w:rsidRPr="00B1785F">
        <w:rPr>
          <w:lang w:val="de-AT"/>
        </w:rPr>
        <w:t xml:space="preserve"> t</w:t>
      </w:r>
      <w:r>
        <w:rPr>
          <w:lang w:val="de-AT"/>
        </w:rPr>
        <w:t>ë</w:t>
      </w:r>
      <w:r w:rsidRPr="00B1785F">
        <w:rPr>
          <w:lang w:val="de-AT"/>
        </w:rPr>
        <w:t xml:space="preserve"> skemave piramidale mashtruese </w:t>
      </w:r>
      <w:r>
        <w:rPr>
          <w:lang w:val="de-AT"/>
        </w:rPr>
        <w:t>ë</w:t>
      </w:r>
      <w:r w:rsidRPr="00B1785F">
        <w:rPr>
          <w:lang w:val="de-AT"/>
        </w:rPr>
        <w:t>sht</w:t>
      </w:r>
      <w:r>
        <w:rPr>
          <w:lang w:val="de-AT"/>
        </w:rPr>
        <w:t>ë</w:t>
      </w:r>
      <w:r w:rsidRPr="00B1785F">
        <w:rPr>
          <w:lang w:val="de-AT"/>
        </w:rPr>
        <w:t xml:space="preserve"> veprimtari e paligjshme. Organizimi dhe v</w:t>
      </w:r>
      <w:r>
        <w:rPr>
          <w:lang w:val="de-AT"/>
        </w:rPr>
        <w:t>ë</w:t>
      </w:r>
      <w:r w:rsidRPr="00B1785F">
        <w:rPr>
          <w:lang w:val="de-AT"/>
        </w:rPr>
        <w:t>nia n</w:t>
      </w:r>
      <w:r>
        <w:rPr>
          <w:lang w:val="de-AT"/>
        </w:rPr>
        <w:t>ë</w:t>
      </w:r>
      <w:r w:rsidRPr="00B1785F">
        <w:rPr>
          <w:lang w:val="de-AT"/>
        </w:rPr>
        <w:t xml:space="preserve"> funksionim e skemave piramidale mashtruese t</w:t>
      </w:r>
      <w:r>
        <w:rPr>
          <w:lang w:val="de-AT"/>
        </w:rPr>
        <w:t>ë</w:t>
      </w:r>
      <w:r w:rsidRPr="00B1785F">
        <w:rPr>
          <w:lang w:val="de-AT"/>
        </w:rPr>
        <w:t xml:space="preserve"> huamarrjes, p</w:t>
      </w:r>
      <w:r>
        <w:rPr>
          <w:lang w:val="de-AT"/>
        </w:rPr>
        <w:t>ë</w:t>
      </w:r>
      <w:r w:rsidRPr="00B1785F">
        <w:rPr>
          <w:lang w:val="de-AT"/>
        </w:rPr>
        <w:t>rb</w:t>
      </w:r>
      <w:r>
        <w:rPr>
          <w:lang w:val="de-AT"/>
        </w:rPr>
        <w:t>ë</w:t>
      </w:r>
      <w:r w:rsidRPr="00B1785F">
        <w:rPr>
          <w:lang w:val="de-AT"/>
        </w:rPr>
        <w:t>nte shkelje ligjore dhe d</w:t>
      </w:r>
      <w:r>
        <w:rPr>
          <w:lang w:val="de-AT"/>
        </w:rPr>
        <w:t>ë</w:t>
      </w:r>
      <w:r w:rsidRPr="00B1785F">
        <w:rPr>
          <w:lang w:val="de-AT"/>
        </w:rPr>
        <w:t>nohej me jo m</w:t>
      </w:r>
      <w:r>
        <w:rPr>
          <w:lang w:val="de-AT"/>
        </w:rPr>
        <w:t>ë</w:t>
      </w:r>
      <w:r w:rsidRPr="00B1785F">
        <w:rPr>
          <w:lang w:val="de-AT"/>
        </w:rPr>
        <w:t xml:space="preserve"> pak se nj</w:t>
      </w:r>
      <w:r>
        <w:rPr>
          <w:lang w:val="de-AT"/>
        </w:rPr>
        <w:t>ë</w:t>
      </w:r>
      <w:r w:rsidRPr="00B1785F">
        <w:rPr>
          <w:lang w:val="de-AT"/>
        </w:rPr>
        <w:t>zet vjet burgim dhe me konfiskim t</w:t>
      </w:r>
      <w:r>
        <w:rPr>
          <w:lang w:val="de-AT"/>
        </w:rPr>
        <w:t>ë</w:t>
      </w:r>
      <w:r w:rsidRPr="00B1785F">
        <w:rPr>
          <w:lang w:val="de-AT"/>
        </w:rPr>
        <w:t xml:space="preserve"> pasuris</w:t>
      </w:r>
      <w:r>
        <w:rPr>
          <w:lang w:val="de-AT"/>
        </w:rPr>
        <w:t>ë</w:t>
      </w:r>
      <w:r w:rsidRPr="00B1785F">
        <w:rPr>
          <w:lang w:val="de-AT"/>
        </w:rPr>
        <w:t xml:space="preserve"> s</w:t>
      </w:r>
      <w:r>
        <w:rPr>
          <w:lang w:val="de-AT"/>
        </w:rPr>
        <w:t>ë</w:t>
      </w:r>
      <w:r w:rsidRPr="00B1785F">
        <w:rPr>
          <w:lang w:val="de-AT"/>
        </w:rPr>
        <w:t xml:space="preserve"> luajtshme dhe t</w:t>
      </w:r>
      <w:r>
        <w:rPr>
          <w:lang w:val="de-AT"/>
        </w:rPr>
        <w:t>ë</w:t>
      </w:r>
      <w:r w:rsidRPr="00B1785F">
        <w:rPr>
          <w:lang w:val="de-AT"/>
        </w:rPr>
        <w:t xml:space="preserve"> paluajtshme.</w:t>
      </w:r>
    </w:p>
    <w:p w:rsidR="006F4ACB" w:rsidRDefault="006F4ACB" w:rsidP="006F4ACB">
      <w:pPr>
        <w:tabs>
          <w:tab w:val="left" w:pos="90"/>
        </w:tabs>
        <w:jc w:val="both"/>
        <w:rPr>
          <w:lang w:val="de-AT"/>
        </w:rPr>
      </w:pPr>
    </w:p>
    <w:p w:rsidR="006F4ACB" w:rsidRPr="003E1AE2" w:rsidRDefault="006F4ACB" w:rsidP="006F4ACB">
      <w:pPr>
        <w:tabs>
          <w:tab w:val="left" w:pos="90"/>
        </w:tabs>
        <w:jc w:val="both"/>
        <w:rPr>
          <w:i/>
          <w:lang w:val="de-AT"/>
        </w:rPr>
      </w:pPr>
      <w:r w:rsidRPr="003E1AE2">
        <w:rPr>
          <w:i/>
          <w:lang w:val="de-AT"/>
        </w:rPr>
        <w:t>7. Ligji p</w:t>
      </w:r>
      <w:r>
        <w:rPr>
          <w:i/>
          <w:lang w:val="de-AT"/>
        </w:rPr>
        <w:t>ë</w:t>
      </w:r>
      <w:r w:rsidRPr="003E1AE2">
        <w:rPr>
          <w:i/>
          <w:lang w:val="de-AT"/>
        </w:rPr>
        <w:t>r Kontrollin Financiar t</w:t>
      </w:r>
      <w:r>
        <w:rPr>
          <w:i/>
          <w:lang w:val="de-AT"/>
        </w:rPr>
        <w:t>ë</w:t>
      </w:r>
      <w:r w:rsidRPr="003E1AE2">
        <w:rPr>
          <w:i/>
          <w:lang w:val="de-AT"/>
        </w:rPr>
        <w:t xml:space="preserve"> Personave Juridik</w:t>
      </w:r>
      <w:r>
        <w:rPr>
          <w:i/>
          <w:lang w:val="de-AT"/>
        </w:rPr>
        <w:t>ë</w:t>
      </w:r>
      <w:r w:rsidRPr="003E1AE2">
        <w:rPr>
          <w:i/>
          <w:lang w:val="de-AT"/>
        </w:rPr>
        <w:t xml:space="preserve"> </w:t>
      </w:r>
      <w:r w:rsidR="00342B2C">
        <w:rPr>
          <w:i/>
          <w:lang w:val="de-AT"/>
        </w:rPr>
        <w:t>Jo-bankar</w:t>
      </w:r>
      <w:r w:rsidR="00342B2C" w:rsidRPr="00342B2C">
        <w:rPr>
          <w:i/>
          <w:lang w:val="de-AT"/>
        </w:rPr>
        <w:t>ë</w:t>
      </w:r>
      <w:r w:rsidR="00342B2C">
        <w:rPr>
          <w:i/>
          <w:lang w:val="de-AT"/>
        </w:rPr>
        <w:t xml:space="preserve"> </w:t>
      </w:r>
      <w:r w:rsidRPr="003E1AE2">
        <w:rPr>
          <w:i/>
          <w:lang w:val="de-AT"/>
        </w:rPr>
        <w:t>(Ligji p</w:t>
      </w:r>
      <w:r>
        <w:rPr>
          <w:i/>
          <w:lang w:val="de-AT"/>
        </w:rPr>
        <w:t>ë</w:t>
      </w:r>
      <w:r w:rsidRPr="003E1AE2">
        <w:rPr>
          <w:i/>
          <w:lang w:val="de-AT"/>
        </w:rPr>
        <w:t>r kontrollin financiar t</w:t>
      </w:r>
      <w:r>
        <w:rPr>
          <w:i/>
          <w:lang w:val="de-AT"/>
        </w:rPr>
        <w:t>ë</w:t>
      </w:r>
      <w:r w:rsidRPr="003E1AE2">
        <w:rPr>
          <w:i/>
          <w:lang w:val="de-AT"/>
        </w:rPr>
        <w:t xml:space="preserve"> personave jurudik</w:t>
      </w:r>
      <w:r>
        <w:rPr>
          <w:i/>
          <w:lang w:val="de-AT"/>
        </w:rPr>
        <w:t>ë</w:t>
      </w:r>
      <w:r w:rsidRPr="003E1AE2">
        <w:rPr>
          <w:i/>
          <w:lang w:val="de-AT"/>
        </w:rPr>
        <w:t xml:space="preserve"> jobankar</w:t>
      </w:r>
      <w:r>
        <w:rPr>
          <w:i/>
          <w:lang w:val="de-AT"/>
        </w:rPr>
        <w:t>ë</w:t>
      </w:r>
      <w:r w:rsidRPr="003E1AE2">
        <w:rPr>
          <w:i/>
          <w:lang w:val="de-AT"/>
        </w:rPr>
        <w:t xml:space="preserve"> q</w:t>
      </w:r>
      <w:r>
        <w:rPr>
          <w:i/>
          <w:lang w:val="de-AT"/>
        </w:rPr>
        <w:t>ë</w:t>
      </w:r>
      <w:r w:rsidRPr="003E1AE2">
        <w:rPr>
          <w:i/>
          <w:lang w:val="de-AT"/>
        </w:rPr>
        <w:t xml:space="preserve"> kan</w:t>
      </w:r>
      <w:r>
        <w:rPr>
          <w:i/>
          <w:lang w:val="de-AT"/>
        </w:rPr>
        <w:t>ë</w:t>
      </w:r>
      <w:r w:rsidRPr="003E1AE2">
        <w:rPr>
          <w:i/>
          <w:lang w:val="de-AT"/>
        </w:rPr>
        <w:t xml:space="preserve"> marr</w:t>
      </w:r>
      <w:r>
        <w:rPr>
          <w:i/>
          <w:lang w:val="de-AT"/>
        </w:rPr>
        <w:t>ë</w:t>
      </w:r>
      <w:r w:rsidRPr="003E1AE2">
        <w:rPr>
          <w:i/>
          <w:lang w:val="de-AT"/>
        </w:rPr>
        <w:t xml:space="preserve"> hua nga publiku i gjer</w:t>
      </w:r>
      <w:r>
        <w:rPr>
          <w:i/>
          <w:lang w:val="de-AT"/>
        </w:rPr>
        <w:t>ë</w:t>
      </w:r>
      <w:r w:rsidRPr="003E1AE2">
        <w:rPr>
          <w:i/>
          <w:lang w:val="de-AT"/>
        </w:rPr>
        <w:t>, Ligji nr. 8215, dat</w:t>
      </w:r>
      <w:r>
        <w:rPr>
          <w:i/>
          <w:lang w:val="de-AT"/>
        </w:rPr>
        <w:t>ë</w:t>
      </w:r>
      <w:r w:rsidRPr="003E1AE2">
        <w:rPr>
          <w:i/>
          <w:lang w:val="de-AT"/>
        </w:rPr>
        <w:t xml:space="preserve"> 9 Maj 1997 (Ligji nr. 1), ndryshuar me Ligj</w:t>
      </w:r>
      <w:r w:rsidR="00342B2C">
        <w:rPr>
          <w:i/>
          <w:lang w:val="de-AT"/>
        </w:rPr>
        <w:t>in</w:t>
      </w:r>
      <w:r w:rsidRPr="003E1AE2">
        <w:rPr>
          <w:i/>
          <w:lang w:val="de-AT"/>
        </w:rPr>
        <w:t xml:space="preserve"> nr. 8277, dat</w:t>
      </w:r>
      <w:r>
        <w:rPr>
          <w:i/>
          <w:lang w:val="de-AT"/>
        </w:rPr>
        <w:t>ë</w:t>
      </w:r>
      <w:r w:rsidRPr="003E1AE2">
        <w:rPr>
          <w:i/>
          <w:lang w:val="de-AT"/>
        </w:rPr>
        <w:t xml:space="preserve"> 30 Korrik 1997 (Ligji </w:t>
      </w:r>
      <w:r w:rsidR="00342B2C">
        <w:rPr>
          <w:i/>
          <w:lang w:val="de-AT"/>
        </w:rPr>
        <w:t xml:space="preserve">nr. 2), Ligji nr. 8256 </w:t>
      </w:r>
      <w:r w:rsidRPr="003E1AE2">
        <w:rPr>
          <w:i/>
          <w:lang w:val="de-AT"/>
        </w:rPr>
        <w:t xml:space="preserve"> dat</w:t>
      </w:r>
      <w:r>
        <w:rPr>
          <w:i/>
          <w:lang w:val="de-AT"/>
        </w:rPr>
        <w:t>ë</w:t>
      </w:r>
      <w:r w:rsidRPr="003E1AE2">
        <w:rPr>
          <w:i/>
          <w:lang w:val="de-AT"/>
        </w:rPr>
        <w:t xml:space="preserve"> 19 N</w:t>
      </w:r>
      <w:r>
        <w:rPr>
          <w:i/>
          <w:lang w:val="de-AT"/>
        </w:rPr>
        <w:t>ë</w:t>
      </w:r>
      <w:r w:rsidRPr="003E1AE2">
        <w:rPr>
          <w:i/>
          <w:lang w:val="de-AT"/>
        </w:rPr>
        <w:t>ntor 1997 (Ligji nr. 3), Ligji nr. 8347  dat</w:t>
      </w:r>
      <w:r>
        <w:rPr>
          <w:i/>
          <w:lang w:val="de-AT"/>
        </w:rPr>
        <w:t>ë</w:t>
      </w:r>
      <w:r w:rsidRPr="003E1AE2">
        <w:rPr>
          <w:i/>
          <w:lang w:val="de-AT"/>
        </w:rPr>
        <w:t xml:space="preserve"> 18 Maj 1998(Ligji nr. 4) dhe</w:t>
      </w:r>
      <w:r w:rsidR="00342B2C">
        <w:rPr>
          <w:i/>
          <w:lang w:val="de-AT"/>
        </w:rPr>
        <w:t xml:space="preserve"> Ligji nr. 9835</w:t>
      </w:r>
      <w:r w:rsidRPr="003E1AE2">
        <w:rPr>
          <w:i/>
          <w:lang w:val="de-AT"/>
        </w:rPr>
        <w:t xml:space="preserve"> dat</w:t>
      </w:r>
      <w:r>
        <w:rPr>
          <w:i/>
          <w:lang w:val="de-AT"/>
        </w:rPr>
        <w:t>ë</w:t>
      </w:r>
      <w:r w:rsidRPr="003E1AE2">
        <w:rPr>
          <w:i/>
          <w:lang w:val="de-AT"/>
        </w:rPr>
        <w:t xml:space="preserve"> 22 N</w:t>
      </w:r>
      <w:r>
        <w:rPr>
          <w:i/>
          <w:lang w:val="de-AT"/>
        </w:rPr>
        <w:t>ë</w:t>
      </w:r>
      <w:r w:rsidRPr="003E1AE2">
        <w:rPr>
          <w:i/>
          <w:lang w:val="de-AT"/>
        </w:rPr>
        <w:t>ntor 2007 (Ligji nr. 5) )</w:t>
      </w:r>
    </w:p>
    <w:p w:rsidR="006F4ACB" w:rsidRPr="003E1AE2" w:rsidRDefault="006F4ACB" w:rsidP="006F4ACB">
      <w:pPr>
        <w:tabs>
          <w:tab w:val="left" w:pos="90"/>
        </w:tabs>
        <w:jc w:val="both"/>
        <w:rPr>
          <w:i/>
          <w:lang w:val="de-AT"/>
        </w:rPr>
      </w:pPr>
    </w:p>
    <w:p w:rsidR="006F4ACB" w:rsidRPr="003E1AE2" w:rsidRDefault="006F4ACB" w:rsidP="000409D4">
      <w:pPr>
        <w:pStyle w:val="ListParagraph"/>
        <w:numPr>
          <w:ilvl w:val="0"/>
          <w:numId w:val="4"/>
        </w:numPr>
        <w:tabs>
          <w:tab w:val="left" w:pos="90"/>
        </w:tabs>
        <w:jc w:val="both"/>
        <w:rPr>
          <w:b/>
          <w:lang w:val="de-AT"/>
        </w:rPr>
      </w:pPr>
      <w:r w:rsidRPr="003E1AE2">
        <w:rPr>
          <w:b/>
          <w:lang w:val="de-AT"/>
        </w:rPr>
        <w:t>Ligji nr. 1</w:t>
      </w:r>
    </w:p>
    <w:p w:rsidR="006F4ACB" w:rsidRPr="003E1AE2" w:rsidRDefault="006F4ACB" w:rsidP="006F4ACB">
      <w:pPr>
        <w:pStyle w:val="ListParagraph"/>
        <w:tabs>
          <w:tab w:val="left" w:pos="90"/>
        </w:tabs>
        <w:jc w:val="both"/>
        <w:rPr>
          <w:b/>
          <w:lang w:val="de-AT"/>
        </w:rPr>
      </w:pPr>
    </w:p>
    <w:p w:rsidR="006F4ACB" w:rsidRPr="00B1785F" w:rsidRDefault="006F4ACB" w:rsidP="000409D4">
      <w:pPr>
        <w:pStyle w:val="ListParagraph"/>
        <w:numPr>
          <w:ilvl w:val="0"/>
          <w:numId w:val="1"/>
        </w:numPr>
        <w:tabs>
          <w:tab w:val="left" w:pos="90"/>
        </w:tabs>
        <w:ind w:left="0" w:firstLine="360"/>
        <w:jc w:val="both"/>
        <w:rPr>
          <w:lang w:val="de-AT"/>
        </w:rPr>
      </w:pPr>
      <w:r>
        <w:rPr>
          <w:lang w:val="de-AT"/>
        </w:rPr>
        <w:t xml:space="preserve">  </w:t>
      </w:r>
      <w:r w:rsidRPr="00B1785F">
        <w:rPr>
          <w:lang w:val="de-AT"/>
        </w:rPr>
        <w:t>Neni 1 deklaronte se shoq</w:t>
      </w:r>
      <w:r>
        <w:rPr>
          <w:lang w:val="de-AT"/>
        </w:rPr>
        <w:t>ë</w:t>
      </w:r>
      <w:r w:rsidRPr="00B1785F">
        <w:rPr>
          <w:lang w:val="de-AT"/>
        </w:rPr>
        <w:t>rit</w:t>
      </w:r>
      <w:r>
        <w:rPr>
          <w:lang w:val="de-AT"/>
        </w:rPr>
        <w:t>ë</w:t>
      </w:r>
      <w:r w:rsidRPr="00B1785F">
        <w:rPr>
          <w:lang w:val="de-AT"/>
        </w:rPr>
        <w:t xml:space="preserve"> tregtare dhe personat e tjer</w:t>
      </w:r>
      <w:r>
        <w:rPr>
          <w:lang w:val="de-AT"/>
        </w:rPr>
        <w:t>ë</w:t>
      </w:r>
      <w:r w:rsidRPr="00B1785F">
        <w:rPr>
          <w:lang w:val="de-AT"/>
        </w:rPr>
        <w:t xml:space="preserve"> juridik</w:t>
      </w:r>
      <w:r>
        <w:rPr>
          <w:lang w:val="de-AT"/>
        </w:rPr>
        <w:t>ë</w:t>
      </w:r>
      <w:r w:rsidRPr="00B1785F">
        <w:rPr>
          <w:lang w:val="de-AT"/>
        </w:rPr>
        <w:t xml:space="preserve"> a fizik</w:t>
      </w:r>
      <w:r>
        <w:rPr>
          <w:lang w:val="de-AT"/>
        </w:rPr>
        <w:t>ë</w:t>
      </w:r>
      <w:r w:rsidRPr="00B1785F">
        <w:rPr>
          <w:lang w:val="de-AT"/>
        </w:rPr>
        <w:t xml:space="preserve"> t</w:t>
      </w:r>
      <w:r>
        <w:rPr>
          <w:lang w:val="de-AT"/>
        </w:rPr>
        <w:t>ë</w:t>
      </w:r>
      <w:r w:rsidRPr="00B1785F">
        <w:rPr>
          <w:lang w:val="de-AT"/>
        </w:rPr>
        <w:t xml:space="preserve"> cil</w:t>
      </w:r>
      <w:r>
        <w:rPr>
          <w:lang w:val="de-AT"/>
        </w:rPr>
        <w:t>ë</w:t>
      </w:r>
      <w:r w:rsidRPr="00B1785F">
        <w:rPr>
          <w:lang w:val="de-AT"/>
        </w:rPr>
        <w:t>t n</w:t>
      </w:r>
      <w:r>
        <w:rPr>
          <w:lang w:val="de-AT"/>
        </w:rPr>
        <w:t>ë</w:t>
      </w:r>
      <w:r w:rsidRPr="00B1785F">
        <w:rPr>
          <w:lang w:val="de-AT"/>
        </w:rPr>
        <w:t xml:space="preserve"> forma dhe m</w:t>
      </w:r>
      <w:r>
        <w:rPr>
          <w:lang w:val="de-AT"/>
        </w:rPr>
        <w:t>ë</w:t>
      </w:r>
      <w:r w:rsidRPr="00B1785F">
        <w:rPr>
          <w:lang w:val="de-AT"/>
        </w:rPr>
        <w:t>nyra t</w:t>
      </w:r>
      <w:r>
        <w:rPr>
          <w:lang w:val="de-AT"/>
        </w:rPr>
        <w:t>ë</w:t>
      </w:r>
      <w:r w:rsidRPr="00B1785F">
        <w:rPr>
          <w:lang w:val="de-AT"/>
        </w:rPr>
        <w:t xml:space="preserve"> ndryshme kan</w:t>
      </w:r>
      <w:r>
        <w:rPr>
          <w:lang w:val="de-AT"/>
        </w:rPr>
        <w:t>ë</w:t>
      </w:r>
      <w:r w:rsidRPr="00B1785F">
        <w:rPr>
          <w:lang w:val="de-AT"/>
        </w:rPr>
        <w:t xml:space="preserve"> marr</w:t>
      </w:r>
      <w:r>
        <w:rPr>
          <w:lang w:val="de-AT"/>
        </w:rPr>
        <w:t>ë</w:t>
      </w:r>
      <w:r w:rsidR="00412504">
        <w:rPr>
          <w:lang w:val="de-AT"/>
        </w:rPr>
        <w:t xml:space="preserve"> hua nga publiku, duhej</w:t>
      </w:r>
      <w:r w:rsidRPr="00B1785F">
        <w:rPr>
          <w:lang w:val="de-AT"/>
        </w:rPr>
        <w:t xml:space="preserve"> t</w:t>
      </w:r>
      <w:r>
        <w:rPr>
          <w:lang w:val="de-AT"/>
        </w:rPr>
        <w:t>ë</w:t>
      </w:r>
      <w:r w:rsidRPr="00B1785F">
        <w:rPr>
          <w:lang w:val="de-AT"/>
        </w:rPr>
        <w:t xml:space="preserve"> ishin objekt i kontrollit financiar n</w:t>
      </w:r>
      <w:r>
        <w:rPr>
          <w:lang w:val="de-AT"/>
        </w:rPr>
        <w:t>ë</w:t>
      </w:r>
      <w:r w:rsidRPr="00B1785F">
        <w:rPr>
          <w:lang w:val="de-AT"/>
        </w:rPr>
        <w:t xml:space="preserve"> lidhje me pozicionin e tyre financiar, numrin e kreditor</w:t>
      </w:r>
      <w:r>
        <w:rPr>
          <w:lang w:val="de-AT"/>
        </w:rPr>
        <w:t>ë</w:t>
      </w:r>
      <w:r w:rsidRPr="00B1785F">
        <w:rPr>
          <w:lang w:val="de-AT"/>
        </w:rPr>
        <w:t>ve, me detyrimet financiare p</w:t>
      </w:r>
      <w:r>
        <w:rPr>
          <w:lang w:val="de-AT"/>
        </w:rPr>
        <w:t>ë</w:t>
      </w:r>
      <w:r w:rsidRPr="00B1785F">
        <w:rPr>
          <w:lang w:val="de-AT"/>
        </w:rPr>
        <w:t>r t’u paguar, me l</w:t>
      </w:r>
      <w:r>
        <w:rPr>
          <w:lang w:val="de-AT"/>
        </w:rPr>
        <w:t>ë</w:t>
      </w:r>
      <w:r w:rsidRPr="00B1785F">
        <w:rPr>
          <w:lang w:val="de-AT"/>
        </w:rPr>
        <w:t>vizjen e parave si dhe me gjendjen e parave n</w:t>
      </w:r>
      <w:r>
        <w:rPr>
          <w:lang w:val="de-AT"/>
        </w:rPr>
        <w:t>ë</w:t>
      </w:r>
      <w:r w:rsidRPr="00B1785F">
        <w:rPr>
          <w:lang w:val="de-AT"/>
        </w:rPr>
        <w:t xml:space="preserve"> ark</w:t>
      </w:r>
      <w:r>
        <w:rPr>
          <w:lang w:val="de-AT"/>
        </w:rPr>
        <w:t>ë</w:t>
      </w:r>
      <w:r w:rsidRPr="00B1785F">
        <w:rPr>
          <w:lang w:val="de-AT"/>
        </w:rPr>
        <w:t xml:space="preserve"> dhe depozitat n</w:t>
      </w:r>
      <w:r>
        <w:rPr>
          <w:lang w:val="de-AT"/>
        </w:rPr>
        <w:t>ë</w:t>
      </w:r>
      <w:r w:rsidRPr="00B1785F">
        <w:rPr>
          <w:lang w:val="de-AT"/>
        </w:rPr>
        <w:t xml:space="preserve"> banka brenda dhe jasht</w:t>
      </w:r>
      <w:r>
        <w:rPr>
          <w:lang w:val="de-AT"/>
        </w:rPr>
        <w:t>ë</w:t>
      </w:r>
      <w:r w:rsidRPr="00B1785F">
        <w:rPr>
          <w:lang w:val="de-AT"/>
        </w:rPr>
        <w:t xml:space="preserve"> vendit, nga nj</w:t>
      </w:r>
      <w:r>
        <w:rPr>
          <w:lang w:val="de-AT"/>
        </w:rPr>
        <w:t>ë</w:t>
      </w:r>
      <w:r w:rsidRPr="00B1785F">
        <w:rPr>
          <w:lang w:val="de-AT"/>
        </w:rPr>
        <w:t xml:space="preserve"> grup ekspert</w:t>
      </w:r>
      <w:r>
        <w:rPr>
          <w:lang w:val="de-AT"/>
        </w:rPr>
        <w:t>ë</w:t>
      </w:r>
      <w:r w:rsidRPr="00B1785F">
        <w:rPr>
          <w:lang w:val="de-AT"/>
        </w:rPr>
        <w:t>sh financiar</w:t>
      </w:r>
      <w:r>
        <w:rPr>
          <w:lang w:val="de-AT"/>
        </w:rPr>
        <w:t>ë</w:t>
      </w:r>
      <w:r w:rsidRPr="00B1785F">
        <w:rPr>
          <w:lang w:val="de-AT"/>
        </w:rPr>
        <w:t xml:space="preserve"> t</w:t>
      </w:r>
      <w:r>
        <w:rPr>
          <w:lang w:val="de-AT"/>
        </w:rPr>
        <w:t>ë</w:t>
      </w:r>
      <w:r w:rsidRPr="00B1785F">
        <w:rPr>
          <w:lang w:val="de-AT"/>
        </w:rPr>
        <w:t xml:space="preserve"> caktuar nga Qeveria n</w:t>
      </w:r>
      <w:r>
        <w:rPr>
          <w:lang w:val="de-AT"/>
        </w:rPr>
        <w:t>ë</w:t>
      </w:r>
      <w:r w:rsidRPr="00B1785F">
        <w:rPr>
          <w:lang w:val="de-AT"/>
        </w:rPr>
        <w:t xml:space="preserve"> p</w:t>
      </w:r>
      <w:r>
        <w:rPr>
          <w:lang w:val="de-AT"/>
        </w:rPr>
        <w:t>ë</w:t>
      </w:r>
      <w:r w:rsidRPr="00B1785F">
        <w:rPr>
          <w:lang w:val="de-AT"/>
        </w:rPr>
        <w:t>rputhje me Ligjin nr.1.</w:t>
      </w:r>
    </w:p>
    <w:p w:rsidR="006F4ACB" w:rsidRPr="00B1785F" w:rsidRDefault="006F4ACB" w:rsidP="000409D4">
      <w:pPr>
        <w:pStyle w:val="ListParagraph"/>
        <w:numPr>
          <w:ilvl w:val="0"/>
          <w:numId w:val="1"/>
        </w:numPr>
        <w:tabs>
          <w:tab w:val="left" w:pos="90"/>
        </w:tabs>
        <w:ind w:left="0" w:firstLine="360"/>
        <w:jc w:val="both"/>
        <w:rPr>
          <w:lang w:val="de-AT"/>
        </w:rPr>
      </w:pPr>
      <w:r>
        <w:rPr>
          <w:lang w:val="de-AT"/>
        </w:rPr>
        <w:t xml:space="preserve">  </w:t>
      </w:r>
      <w:r w:rsidRPr="00B1785F">
        <w:rPr>
          <w:lang w:val="de-AT"/>
        </w:rPr>
        <w:t>Neni 2 krijoi nj</w:t>
      </w:r>
      <w:r>
        <w:rPr>
          <w:lang w:val="de-AT"/>
        </w:rPr>
        <w:t>ë</w:t>
      </w:r>
      <w:r w:rsidRPr="00B1785F">
        <w:rPr>
          <w:lang w:val="de-AT"/>
        </w:rPr>
        <w:t xml:space="preserve"> Grup Mbik</w:t>
      </w:r>
      <w:r>
        <w:rPr>
          <w:lang w:val="de-AT"/>
        </w:rPr>
        <w:t>ë</w:t>
      </w:r>
      <w:r w:rsidRPr="00B1785F">
        <w:rPr>
          <w:lang w:val="de-AT"/>
        </w:rPr>
        <w:t>qyr</w:t>
      </w:r>
      <w:r>
        <w:rPr>
          <w:lang w:val="de-AT"/>
        </w:rPr>
        <w:t>ë</w:t>
      </w:r>
      <w:r w:rsidRPr="00B1785F">
        <w:rPr>
          <w:lang w:val="de-AT"/>
        </w:rPr>
        <w:t>s me tre an</w:t>
      </w:r>
      <w:r>
        <w:rPr>
          <w:lang w:val="de-AT"/>
        </w:rPr>
        <w:t>ë</w:t>
      </w:r>
      <w:r w:rsidRPr="00B1785F">
        <w:rPr>
          <w:lang w:val="de-AT"/>
        </w:rPr>
        <w:t>tar</w:t>
      </w:r>
      <w:r>
        <w:rPr>
          <w:lang w:val="de-AT"/>
        </w:rPr>
        <w:t>ë</w:t>
      </w:r>
      <w:r w:rsidRPr="00B1785F">
        <w:rPr>
          <w:lang w:val="de-AT"/>
        </w:rPr>
        <w:t xml:space="preserve"> p</w:t>
      </w:r>
      <w:r>
        <w:rPr>
          <w:lang w:val="de-AT"/>
        </w:rPr>
        <w:t>ë</w:t>
      </w:r>
      <w:r w:rsidRPr="00B1785F">
        <w:rPr>
          <w:lang w:val="de-AT"/>
        </w:rPr>
        <w:t>r t</w:t>
      </w:r>
      <w:r>
        <w:rPr>
          <w:lang w:val="de-AT"/>
        </w:rPr>
        <w:t>ë</w:t>
      </w:r>
      <w:r w:rsidRPr="00B1785F">
        <w:rPr>
          <w:lang w:val="de-AT"/>
        </w:rPr>
        <w:t xml:space="preserve"> mbik</w:t>
      </w:r>
      <w:r>
        <w:rPr>
          <w:lang w:val="de-AT"/>
        </w:rPr>
        <w:t>ë</w:t>
      </w:r>
      <w:r w:rsidRPr="00B1785F">
        <w:rPr>
          <w:lang w:val="de-AT"/>
        </w:rPr>
        <w:t>qyrur t</w:t>
      </w:r>
      <w:r>
        <w:rPr>
          <w:lang w:val="de-AT"/>
        </w:rPr>
        <w:t>ë</w:t>
      </w:r>
      <w:r w:rsidRPr="00B1785F">
        <w:rPr>
          <w:lang w:val="de-AT"/>
        </w:rPr>
        <w:t xml:space="preserve"> gjith</w:t>
      </w:r>
      <w:r>
        <w:rPr>
          <w:lang w:val="de-AT"/>
        </w:rPr>
        <w:t>ë</w:t>
      </w:r>
      <w:r w:rsidRPr="00B1785F">
        <w:rPr>
          <w:lang w:val="de-AT"/>
        </w:rPr>
        <w:t xml:space="preserve"> procesin. Grupi i Mbik</w:t>
      </w:r>
      <w:r>
        <w:rPr>
          <w:lang w:val="de-AT"/>
        </w:rPr>
        <w:t>ë</w:t>
      </w:r>
      <w:r w:rsidRPr="00B1785F">
        <w:rPr>
          <w:lang w:val="de-AT"/>
        </w:rPr>
        <w:t>qyr</w:t>
      </w:r>
      <w:r>
        <w:rPr>
          <w:lang w:val="de-AT"/>
        </w:rPr>
        <w:t>ë</w:t>
      </w:r>
      <w:r w:rsidRPr="00B1785F">
        <w:rPr>
          <w:lang w:val="de-AT"/>
        </w:rPr>
        <w:t>sve bashk</w:t>
      </w:r>
      <w:r>
        <w:rPr>
          <w:lang w:val="de-AT"/>
        </w:rPr>
        <w:t>ë</w:t>
      </w:r>
      <w:r w:rsidRPr="00B1785F">
        <w:rPr>
          <w:lang w:val="de-AT"/>
        </w:rPr>
        <w:t>rendonte marr</w:t>
      </w:r>
      <w:r>
        <w:rPr>
          <w:lang w:val="de-AT"/>
        </w:rPr>
        <w:t>ë</w:t>
      </w:r>
      <w:r w:rsidRPr="00B1785F">
        <w:rPr>
          <w:lang w:val="de-AT"/>
        </w:rPr>
        <w:t>dh</w:t>
      </w:r>
      <w:r>
        <w:rPr>
          <w:lang w:val="de-AT"/>
        </w:rPr>
        <w:t>ë</w:t>
      </w:r>
      <w:r w:rsidRPr="00B1785F">
        <w:rPr>
          <w:lang w:val="de-AT"/>
        </w:rPr>
        <w:t>niet nd</w:t>
      </w:r>
      <w:r>
        <w:rPr>
          <w:lang w:val="de-AT"/>
        </w:rPr>
        <w:t>ë</w:t>
      </w:r>
      <w:r w:rsidRPr="00B1785F">
        <w:rPr>
          <w:lang w:val="de-AT"/>
        </w:rPr>
        <w:t>rmjet grupit t</w:t>
      </w:r>
      <w:r>
        <w:rPr>
          <w:lang w:val="de-AT"/>
        </w:rPr>
        <w:t>ë</w:t>
      </w:r>
      <w:r w:rsidRPr="00B1785F">
        <w:rPr>
          <w:lang w:val="de-AT"/>
        </w:rPr>
        <w:t xml:space="preserve"> ekspert</w:t>
      </w:r>
      <w:r>
        <w:rPr>
          <w:lang w:val="de-AT"/>
        </w:rPr>
        <w:t>ë</w:t>
      </w:r>
      <w:r w:rsidRPr="00B1785F">
        <w:rPr>
          <w:lang w:val="de-AT"/>
        </w:rPr>
        <w:t xml:space="preserve">ve </w:t>
      </w:r>
      <w:r w:rsidRPr="00B1785F">
        <w:rPr>
          <w:lang w:val="de-AT"/>
        </w:rPr>
        <w:lastRenderedPageBreak/>
        <w:t>dhe subjekteve q</w:t>
      </w:r>
      <w:r>
        <w:rPr>
          <w:lang w:val="de-AT"/>
        </w:rPr>
        <w:t>ë</w:t>
      </w:r>
      <w:r w:rsidRPr="00B1785F">
        <w:rPr>
          <w:lang w:val="de-AT"/>
        </w:rPr>
        <w:t xml:space="preserve"> i n</w:t>
      </w:r>
      <w:r>
        <w:rPr>
          <w:lang w:val="de-AT"/>
        </w:rPr>
        <w:t>ë</w:t>
      </w:r>
      <w:r w:rsidRPr="00B1785F">
        <w:rPr>
          <w:lang w:val="de-AT"/>
        </w:rPr>
        <w:t>nshtrohen Ligjit nr. 1 n</w:t>
      </w:r>
      <w:r>
        <w:rPr>
          <w:lang w:val="de-AT"/>
        </w:rPr>
        <w:t>ë</w:t>
      </w:r>
      <w:r w:rsidRPr="00B1785F">
        <w:rPr>
          <w:lang w:val="de-AT"/>
        </w:rPr>
        <w:t xml:space="preserve"> p</w:t>
      </w:r>
      <w:r>
        <w:rPr>
          <w:lang w:val="de-AT"/>
        </w:rPr>
        <w:t>ë</w:t>
      </w:r>
      <w:r w:rsidR="00412504">
        <w:rPr>
          <w:lang w:val="de-AT"/>
        </w:rPr>
        <w:t>r</w:t>
      </w:r>
      <w:r w:rsidRPr="00B1785F">
        <w:rPr>
          <w:lang w:val="de-AT"/>
        </w:rPr>
        <w:t>puthje me nenin 3 dhe i raportonte K</w:t>
      </w:r>
      <w:r>
        <w:rPr>
          <w:lang w:val="de-AT"/>
        </w:rPr>
        <w:t>ë</w:t>
      </w:r>
      <w:r w:rsidRPr="00B1785F">
        <w:rPr>
          <w:lang w:val="de-AT"/>
        </w:rPr>
        <w:t>shillit t</w:t>
      </w:r>
      <w:r>
        <w:rPr>
          <w:lang w:val="de-AT"/>
        </w:rPr>
        <w:t>ë</w:t>
      </w:r>
      <w:r w:rsidRPr="00B1785F">
        <w:rPr>
          <w:lang w:val="de-AT"/>
        </w:rPr>
        <w:t xml:space="preserve"> Ministrave.</w:t>
      </w:r>
    </w:p>
    <w:p w:rsidR="006F4ACB" w:rsidRPr="00B1785F" w:rsidRDefault="006F4ACB" w:rsidP="000409D4">
      <w:pPr>
        <w:pStyle w:val="ListParagraph"/>
        <w:numPr>
          <w:ilvl w:val="0"/>
          <w:numId w:val="1"/>
        </w:numPr>
        <w:tabs>
          <w:tab w:val="left" w:pos="90"/>
        </w:tabs>
        <w:ind w:left="0" w:firstLine="360"/>
        <w:jc w:val="both"/>
        <w:rPr>
          <w:lang w:val="de-AT"/>
        </w:rPr>
      </w:pPr>
      <w:r>
        <w:rPr>
          <w:lang w:val="de-AT"/>
        </w:rPr>
        <w:t xml:space="preserve">  </w:t>
      </w:r>
      <w:r w:rsidRPr="00B1785F">
        <w:rPr>
          <w:lang w:val="de-AT"/>
        </w:rPr>
        <w:t>Sipas nenit 4 ekspert</w:t>
      </w:r>
      <w:r>
        <w:rPr>
          <w:lang w:val="de-AT"/>
        </w:rPr>
        <w:t>ë</w:t>
      </w:r>
      <w:r w:rsidRPr="00B1785F">
        <w:rPr>
          <w:lang w:val="de-AT"/>
        </w:rPr>
        <w:t>t financiar</w:t>
      </w:r>
      <w:r>
        <w:rPr>
          <w:lang w:val="de-AT"/>
        </w:rPr>
        <w:t>ë</w:t>
      </w:r>
      <w:r w:rsidRPr="00B1785F">
        <w:rPr>
          <w:lang w:val="de-AT"/>
        </w:rPr>
        <w:t xml:space="preserve"> kontrollonin librat dhe regjistrat e shoq</w:t>
      </w:r>
      <w:r>
        <w:rPr>
          <w:lang w:val="de-AT"/>
        </w:rPr>
        <w:t>ë</w:t>
      </w:r>
      <w:r w:rsidRPr="00B1785F">
        <w:rPr>
          <w:lang w:val="de-AT"/>
        </w:rPr>
        <w:t>ris</w:t>
      </w:r>
      <w:r>
        <w:rPr>
          <w:lang w:val="de-AT"/>
        </w:rPr>
        <w:t>ë</w:t>
      </w:r>
      <w:r w:rsidRPr="00B1785F">
        <w:rPr>
          <w:lang w:val="de-AT"/>
        </w:rPr>
        <w:t>, kontratat e e lidhura me kreditor</w:t>
      </w:r>
      <w:r>
        <w:rPr>
          <w:lang w:val="de-AT"/>
        </w:rPr>
        <w:t>ë</w:t>
      </w:r>
      <w:r w:rsidRPr="00B1785F">
        <w:rPr>
          <w:lang w:val="de-AT"/>
        </w:rPr>
        <w:t>t dhe dokumente t</w:t>
      </w:r>
      <w:r w:rsidR="00412504" w:rsidRPr="00412504">
        <w:rPr>
          <w:lang w:val="de-AT"/>
        </w:rPr>
        <w:t>ë</w:t>
      </w:r>
      <w:r w:rsidRPr="00B1785F">
        <w:rPr>
          <w:lang w:val="de-AT"/>
        </w:rPr>
        <w:t xml:space="preserve"> tjera p</w:t>
      </w:r>
      <w:r>
        <w:rPr>
          <w:lang w:val="de-AT"/>
        </w:rPr>
        <w:t>ë</w:t>
      </w:r>
      <w:r w:rsidRPr="00B1785F">
        <w:rPr>
          <w:lang w:val="de-AT"/>
        </w:rPr>
        <w:t>rkat</w:t>
      </w:r>
      <w:r>
        <w:rPr>
          <w:lang w:val="de-AT"/>
        </w:rPr>
        <w:t>ë</w:t>
      </w:r>
      <w:r w:rsidRPr="00B1785F">
        <w:rPr>
          <w:lang w:val="de-AT"/>
        </w:rPr>
        <w:t>se. Neni 6 p</w:t>
      </w:r>
      <w:r>
        <w:rPr>
          <w:lang w:val="de-AT"/>
        </w:rPr>
        <w:t>ë</w:t>
      </w:r>
      <w:r w:rsidRPr="00B1785F">
        <w:rPr>
          <w:lang w:val="de-AT"/>
        </w:rPr>
        <w:t>rcaktonte se raportet p</w:t>
      </w:r>
      <w:r>
        <w:rPr>
          <w:lang w:val="de-AT"/>
        </w:rPr>
        <w:t>ë</w:t>
      </w:r>
      <w:r w:rsidRPr="00B1785F">
        <w:rPr>
          <w:lang w:val="de-AT"/>
        </w:rPr>
        <w:t>rfundimtare t</w:t>
      </w:r>
      <w:r>
        <w:rPr>
          <w:lang w:val="de-AT"/>
        </w:rPr>
        <w:t>ë</w:t>
      </w:r>
      <w:r w:rsidRPr="00B1785F">
        <w:rPr>
          <w:lang w:val="de-AT"/>
        </w:rPr>
        <w:t xml:space="preserve"> grupit t</w:t>
      </w:r>
      <w:r>
        <w:rPr>
          <w:lang w:val="de-AT"/>
        </w:rPr>
        <w:t>ë</w:t>
      </w:r>
      <w:r w:rsidRPr="00B1785F">
        <w:rPr>
          <w:lang w:val="de-AT"/>
        </w:rPr>
        <w:t xml:space="preserve"> ekspert</w:t>
      </w:r>
      <w:r>
        <w:rPr>
          <w:lang w:val="de-AT"/>
        </w:rPr>
        <w:t>ë</w:t>
      </w:r>
      <w:r w:rsidRPr="00B1785F">
        <w:rPr>
          <w:lang w:val="de-AT"/>
        </w:rPr>
        <w:t>ve i paraqiteshin organeve p</w:t>
      </w:r>
      <w:r>
        <w:rPr>
          <w:lang w:val="de-AT"/>
        </w:rPr>
        <w:t>ë</w:t>
      </w:r>
      <w:r w:rsidRPr="00B1785F">
        <w:rPr>
          <w:lang w:val="de-AT"/>
        </w:rPr>
        <w:t>rkat</w:t>
      </w:r>
      <w:r>
        <w:rPr>
          <w:lang w:val="de-AT"/>
        </w:rPr>
        <w:t>ë</w:t>
      </w:r>
      <w:r w:rsidRPr="00B1785F">
        <w:rPr>
          <w:lang w:val="de-AT"/>
        </w:rPr>
        <w:t>s</w:t>
      </w:r>
      <w:r w:rsidR="00412504">
        <w:rPr>
          <w:lang w:val="de-AT"/>
        </w:rPr>
        <w:t>e</w:t>
      </w:r>
      <w:r w:rsidRPr="00B1785F">
        <w:rPr>
          <w:lang w:val="de-AT"/>
        </w:rPr>
        <w:t xml:space="preserve"> Shtet</w:t>
      </w:r>
      <w:r>
        <w:rPr>
          <w:lang w:val="de-AT"/>
        </w:rPr>
        <w:t>ë</w:t>
      </w:r>
      <w:r w:rsidRPr="00B1785F">
        <w:rPr>
          <w:lang w:val="de-AT"/>
        </w:rPr>
        <w:t>rore, duke p</w:t>
      </w:r>
      <w:r>
        <w:rPr>
          <w:lang w:val="de-AT"/>
        </w:rPr>
        <w:t>ë</w:t>
      </w:r>
      <w:r w:rsidRPr="00B1785F">
        <w:rPr>
          <w:lang w:val="de-AT"/>
        </w:rPr>
        <w:t>rfshir</w:t>
      </w:r>
      <w:r>
        <w:rPr>
          <w:lang w:val="de-AT"/>
        </w:rPr>
        <w:t>ë</w:t>
      </w:r>
      <w:r w:rsidRPr="00B1785F">
        <w:rPr>
          <w:lang w:val="de-AT"/>
        </w:rPr>
        <w:t xml:space="preserve"> Prokurorin</w:t>
      </w:r>
      <w:r>
        <w:rPr>
          <w:lang w:val="de-AT"/>
        </w:rPr>
        <w:t>ë</w:t>
      </w:r>
      <w:r w:rsidRPr="00B1785F">
        <w:rPr>
          <w:lang w:val="de-AT"/>
        </w:rPr>
        <w:t xml:space="preserve"> e P</w:t>
      </w:r>
      <w:r>
        <w:rPr>
          <w:lang w:val="de-AT"/>
        </w:rPr>
        <w:t>ë</w:t>
      </w:r>
      <w:r w:rsidRPr="00B1785F">
        <w:rPr>
          <w:lang w:val="de-AT"/>
        </w:rPr>
        <w:t>rgjithshme.</w:t>
      </w:r>
    </w:p>
    <w:p w:rsidR="006F4ACB" w:rsidRPr="00C953D9" w:rsidRDefault="006F4ACB" w:rsidP="000409D4">
      <w:pPr>
        <w:pStyle w:val="ListParagraph"/>
        <w:numPr>
          <w:ilvl w:val="0"/>
          <w:numId w:val="1"/>
        </w:numPr>
        <w:tabs>
          <w:tab w:val="left" w:pos="90"/>
        </w:tabs>
        <w:jc w:val="both"/>
        <w:rPr>
          <w:color w:val="FF0000"/>
          <w:lang w:val="de-AT"/>
        </w:rPr>
      </w:pPr>
      <w:r w:rsidRPr="00C953D9">
        <w:rPr>
          <w:lang w:val="de-AT"/>
        </w:rPr>
        <w:t>Ligji nr. 1 nuk parashikonte mund</w:t>
      </w:r>
      <w:r>
        <w:rPr>
          <w:lang w:val="de-AT"/>
        </w:rPr>
        <w:t>ë</w:t>
      </w:r>
      <w:r w:rsidRPr="00C953D9">
        <w:rPr>
          <w:lang w:val="de-AT"/>
        </w:rPr>
        <w:t>sin</w:t>
      </w:r>
      <w:r>
        <w:rPr>
          <w:lang w:val="de-AT"/>
        </w:rPr>
        <w:t>ë</w:t>
      </w:r>
      <w:r w:rsidRPr="00C953D9">
        <w:rPr>
          <w:lang w:val="de-AT"/>
        </w:rPr>
        <w:t xml:space="preserve"> e </w:t>
      </w:r>
      <w:r w:rsidR="00FB06EA">
        <w:rPr>
          <w:lang w:val="de-AT"/>
        </w:rPr>
        <w:t>kontrollit</w:t>
      </w:r>
      <w:r w:rsidRPr="00C953D9">
        <w:rPr>
          <w:color w:val="FF0000"/>
          <w:lang w:val="de-AT"/>
        </w:rPr>
        <w:t xml:space="preserve"> </w:t>
      </w:r>
      <w:r w:rsidRPr="00412504">
        <w:rPr>
          <w:lang w:val="de-AT"/>
        </w:rPr>
        <w:t>gjyqësor.</w:t>
      </w:r>
    </w:p>
    <w:p w:rsidR="006F4ACB" w:rsidRPr="00AC35EB" w:rsidRDefault="006F4ACB" w:rsidP="006F4ACB">
      <w:pPr>
        <w:tabs>
          <w:tab w:val="left" w:pos="90"/>
        </w:tabs>
        <w:jc w:val="both"/>
        <w:rPr>
          <w:color w:val="FF0000"/>
          <w:lang w:val="de-AT"/>
        </w:rPr>
      </w:pPr>
    </w:p>
    <w:p w:rsidR="006F4ACB" w:rsidRPr="003E1AE2" w:rsidRDefault="007B4475" w:rsidP="006F4ACB">
      <w:pPr>
        <w:tabs>
          <w:tab w:val="left" w:pos="90"/>
        </w:tabs>
        <w:jc w:val="both"/>
        <w:rPr>
          <w:b/>
          <w:lang w:val="de-AT"/>
        </w:rPr>
      </w:pPr>
      <w:r>
        <w:rPr>
          <w:b/>
          <w:lang w:val="de-AT"/>
        </w:rPr>
        <w:tab/>
      </w:r>
      <w:r>
        <w:rPr>
          <w:b/>
          <w:lang w:val="de-AT"/>
        </w:rPr>
        <w:tab/>
      </w:r>
      <w:r w:rsidR="006F4ACB" w:rsidRPr="003E1AE2">
        <w:rPr>
          <w:b/>
          <w:lang w:val="de-AT"/>
        </w:rPr>
        <w:t>b) Ligji nr. 2</w:t>
      </w:r>
    </w:p>
    <w:p w:rsidR="006F4ACB" w:rsidRDefault="00412504" w:rsidP="000409D4">
      <w:pPr>
        <w:pStyle w:val="paragrafi"/>
        <w:numPr>
          <w:ilvl w:val="0"/>
          <w:numId w:val="1"/>
        </w:numPr>
        <w:ind w:left="0" w:firstLine="360"/>
        <w:jc w:val="both"/>
      </w:pPr>
      <w:r>
        <w:t xml:space="preserve">  Neni 4 paraqiste</w:t>
      </w:r>
      <w:r w:rsidR="006F4ACB">
        <w:t xml:space="preserve"> objektin e Ligjit nr. 2. Të gjithë ata individë, persona fizikë a juridikë, të cilët kanë marrë hua nga publiku i nënshtroheshin kontrollit financiar, me përjashtim: të një banke të licencuar nga Banka e Shqipërisë në përputhje me legjislacionin në fuqi; </w:t>
      </w:r>
      <w:r w:rsidR="006F4ACB" w:rsidRPr="00BC631E">
        <w:t>të një shoqërie, e cila emeton</w:t>
      </w:r>
      <w:r w:rsidR="006F4ACB">
        <w:t>te</w:t>
      </w:r>
      <w:r w:rsidR="006F4ACB" w:rsidRPr="00BC631E">
        <w:t xml:space="preserve"> letra me vlerë për investime në përputhje me legjislacionin në fuqi;</w:t>
      </w:r>
      <w:r w:rsidR="006F4ACB">
        <w:t xml:space="preserve"> </w:t>
      </w:r>
      <w:r w:rsidR="006F4ACB" w:rsidRPr="00BC631E">
        <w:t>t</w:t>
      </w:r>
      <w:r w:rsidR="006F4ACB">
        <w:t xml:space="preserve">ë një personi fizik, i cili kishte marrë </w:t>
      </w:r>
      <w:r w:rsidR="006F4ACB" w:rsidRPr="00BC631E">
        <w:t>hua në përputhje me parashikimet e K</w:t>
      </w:r>
      <w:r>
        <w:t>odit Civil, por që të plotësonte</w:t>
      </w:r>
      <w:r w:rsidR="006F4ACB">
        <w:t xml:space="preserve"> njëkohësisht tre kushte.</w:t>
      </w:r>
    </w:p>
    <w:p w:rsidR="006F4ACB" w:rsidRDefault="006F4ACB" w:rsidP="000409D4">
      <w:pPr>
        <w:pStyle w:val="paragrafi"/>
        <w:numPr>
          <w:ilvl w:val="0"/>
          <w:numId w:val="1"/>
        </w:numPr>
        <w:ind w:left="0" w:firstLine="360"/>
        <w:jc w:val="both"/>
        <w:rPr>
          <w:lang w:val="en-US"/>
        </w:rPr>
      </w:pPr>
      <w:r w:rsidRPr="006B55B1">
        <w:t xml:space="preserve">  </w:t>
      </w:r>
      <w:r w:rsidRPr="00C863C7">
        <w:rPr>
          <w:lang w:val="en-US"/>
        </w:rPr>
        <w:t xml:space="preserve">Sipas nenit 5, </w:t>
      </w:r>
      <w:r>
        <w:rPr>
          <w:lang w:val="en-US"/>
        </w:rPr>
        <w:t xml:space="preserve">Qeveria caktoi </w:t>
      </w:r>
      <w:r w:rsidRPr="00C863C7">
        <w:rPr>
          <w:lang w:val="en-US"/>
        </w:rPr>
        <w:t>administrator</w:t>
      </w:r>
      <w:r>
        <w:rPr>
          <w:lang w:val="en-US"/>
        </w:rPr>
        <w:t>ë</w:t>
      </w:r>
      <w:r w:rsidRPr="00C863C7">
        <w:rPr>
          <w:lang w:val="en-US"/>
        </w:rPr>
        <w:t>t p</w:t>
      </w:r>
      <w:r>
        <w:rPr>
          <w:lang w:val="en-US"/>
        </w:rPr>
        <w:t>ë</w:t>
      </w:r>
      <w:r w:rsidRPr="00C863C7">
        <w:rPr>
          <w:lang w:val="en-US"/>
        </w:rPr>
        <w:t>r subjektet q</w:t>
      </w:r>
      <w:r>
        <w:rPr>
          <w:lang w:val="en-US"/>
        </w:rPr>
        <w:t>ë</w:t>
      </w:r>
      <w:r w:rsidRPr="00C863C7">
        <w:rPr>
          <w:lang w:val="en-US"/>
        </w:rPr>
        <w:t xml:space="preserve"> i n</w:t>
      </w:r>
      <w:r>
        <w:rPr>
          <w:lang w:val="en-US"/>
        </w:rPr>
        <w:t>ë</w:t>
      </w:r>
      <w:r w:rsidRPr="00C863C7">
        <w:rPr>
          <w:lang w:val="en-US"/>
        </w:rPr>
        <w:t xml:space="preserve">nshtroheshin kontrollit financiar. </w:t>
      </w:r>
      <w:r>
        <w:rPr>
          <w:lang w:val="en-US"/>
        </w:rPr>
        <w:t xml:space="preserve">Administratorët duhej të ishin persona fizikë ose subjekte juridikë. Administratorët caktoheshin nëse plotësoheshin </w:t>
      </w:r>
      <w:r w:rsidRPr="00C863C7">
        <w:rPr>
          <w:lang w:val="en-US"/>
        </w:rPr>
        <w:t xml:space="preserve"> kushtet vijuese:</w:t>
      </w:r>
      <w:r w:rsidR="00367742">
        <w:rPr>
          <w:lang w:val="en-US"/>
        </w:rPr>
        <w:t xml:space="preserve"> </w:t>
      </w:r>
      <w:r>
        <w:rPr>
          <w:lang w:val="en-US"/>
        </w:rPr>
        <w:t>a. Subjekti i kontrollit ishte</w:t>
      </w:r>
      <w:r w:rsidRPr="00C863C7">
        <w:rPr>
          <w:lang w:val="en-US"/>
        </w:rPr>
        <w:t xml:space="preserve"> në gjendjen e paaftësisë p</w:t>
      </w:r>
      <w:r>
        <w:rPr>
          <w:lang w:val="en-US"/>
        </w:rPr>
        <w:t>aguese, ose nëse verifikohej se rrezikohej</w:t>
      </w:r>
      <w:r w:rsidRPr="00C863C7">
        <w:rPr>
          <w:lang w:val="en-US"/>
        </w:rPr>
        <w:t xml:space="preserve"> për t'u ndodhur në gjendjen e paaftësisë paguese; </w:t>
      </w:r>
      <w:r>
        <w:rPr>
          <w:lang w:val="en-US"/>
        </w:rPr>
        <w:t>b. subjekti i kontrollit kishte pezulluar, ose ishte gati të pezullonte pagesat, apo nuk kishte mundësi të shlyente</w:t>
      </w:r>
      <w:r w:rsidRPr="00C863C7">
        <w:rPr>
          <w:lang w:val="en-US"/>
        </w:rPr>
        <w:t xml:space="preserve"> detyrime</w:t>
      </w:r>
      <w:r>
        <w:rPr>
          <w:lang w:val="en-US"/>
        </w:rPr>
        <w:t>t e tij në momentin që ato duhej të përmbusheshin</w:t>
      </w:r>
      <w:r w:rsidRPr="00C863C7">
        <w:rPr>
          <w:lang w:val="en-US"/>
        </w:rPr>
        <w:t xml:space="preserve"> sipas akteve të lidhura prej tij me persona të tretë;</w:t>
      </w:r>
      <w:r w:rsidR="00367742">
        <w:rPr>
          <w:lang w:val="en-US"/>
        </w:rPr>
        <w:t xml:space="preserve"> </w:t>
      </w:r>
      <w:r w:rsidRPr="00C863C7">
        <w:rPr>
          <w:lang w:val="en-US"/>
        </w:rPr>
        <w:t>c. veprimt</w:t>
      </w:r>
      <w:r>
        <w:rPr>
          <w:lang w:val="en-US"/>
        </w:rPr>
        <w:t>aria e subjektit të kontrollit ishte</w:t>
      </w:r>
      <w:r w:rsidRPr="00C863C7">
        <w:rPr>
          <w:lang w:val="en-US"/>
        </w:rPr>
        <w:t xml:space="preserve"> në  kundërshtim me parimet dhe rregullat e njohura financiare; </w:t>
      </w:r>
      <w:r>
        <w:rPr>
          <w:lang w:val="en-US"/>
        </w:rPr>
        <w:t>d. gjendja në të cilën ndodhej subjekti i kontrollit ishte</w:t>
      </w:r>
      <w:r w:rsidRPr="00C863C7">
        <w:rPr>
          <w:lang w:val="en-US"/>
        </w:rPr>
        <w:t xml:space="preserve"> në kundërshtim me parimet dhe rregullat e njohura financiare;</w:t>
      </w:r>
      <w:r>
        <w:rPr>
          <w:lang w:val="en-US"/>
        </w:rPr>
        <w:t>e. ishte</w:t>
      </w:r>
      <w:r w:rsidRPr="00C863C7">
        <w:rPr>
          <w:lang w:val="en-US"/>
        </w:rPr>
        <w:t xml:space="preserve"> në interes publik që subjekti i kontrollit  ose</w:t>
      </w:r>
      <w:r>
        <w:rPr>
          <w:lang w:val="en-US"/>
        </w:rPr>
        <w:t xml:space="preserve"> personat e lidhur me t</w:t>
      </w:r>
      <w:r w:rsidR="00FB19B8" w:rsidRPr="00FB19B8">
        <w:rPr>
          <w:lang w:val="en-US"/>
        </w:rPr>
        <w:t>ë</w:t>
      </w:r>
      <w:r>
        <w:rPr>
          <w:lang w:val="en-US"/>
        </w:rPr>
        <w:t xml:space="preserve"> të ishin</w:t>
      </w:r>
      <w:r w:rsidRPr="00C863C7">
        <w:rPr>
          <w:lang w:val="en-US"/>
        </w:rPr>
        <w:t xml:space="preserve"> subjekte </w:t>
      </w:r>
      <w:r>
        <w:rPr>
          <w:lang w:val="en-US"/>
        </w:rPr>
        <w:t>të këtij ligji për shkak se kishin</w:t>
      </w:r>
      <w:r w:rsidRPr="00C863C7">
        <w:rPr>
          <w:lang w:val="en-US"/>
        </w:rPr>
        <w:t xml:space="preserve"> tërhequr në favor të tyre pasuri të personave të tretë.</w:t>
      </w:r>
    </w:p>
    <w:p w:rsidR="006F4ACB" w:rsidRDefault="006F4ACB" w:rsidP="000409D4">
      <w:pPr>
        <w:pStyle w:val="paragrafi"/>
        <w:numPr>
          <w:ilvl w:val="0"/>
          <w:numId w:val="1"/>
        </w:numPr>
        <w:tabs>
          <w:tab w:val="left" w:pos="90"/>
        </w:tabs>
        <w:ind w:left="0" w:firstLine="360"/>
        <w:jc w:val="both"/>
        <w:rPr>
          <w:lang w:val="en-US"/>
        </w:rPr>
      </w:pPr>
      <w:r>
        <w:rPr>
          <w:lang w:val="en-US"/>
        </w:rPr>
        <w:t xml:space="preserve">  Subjekt</w:t>
      </w:r>
      <w:r w:rsidR="00367742">
        <w:rPr>
          <w:lang w:val="en-US"/>
        </w:rPr>
        <w:t>i i kontrollit kishte të drejtë</w:t>
      </w:r>
      <w:r>
        <w:rPr>
          <w:lang w:val="en-US"/>
        </w:rPr>
        <w:t xml:space="preserve"> të apelonte brenda dhjetë ditëve pranë Gjykatës Kushtetuese kundër caktimit të administratorëve. </w:t>
      </w:r>
      <w:r w:rsidRPr="00616C7D">
        <w:rPr>
          <w:lang w:val="en-US"/>
        </w:rPr>
        <w:t>N</w:t>
      </w:r>
      <w:r>
        <w:rPr>
          <w:lang w:val="en-US"/>
        </w:rPr>
        <w:t>ë</w:t>
      </w:r>
      <w:r w:rsidRPr="00616C7D">
        <w:rPr>
          <w:lang w:val="en-US"/>
        </w:rPr>
        <w:t>s</w:t>
      </w:r>
      <w:r w:rsidR="00FB19B8">
        <w:rPr>
          <w:lang w:val="en-US"/>
        </w:rPr>
        <w:t xml:space="preserve">e Gjykata e Apelit linte </w:t>
      </w:r>
      <w:r w:rsidRPr="00616C7D">
        <w:rPr>
          <w:lang w:val="en-US"/>
        </w:rPr>
        <w:t>n</w:t>
      </w:r>
      <w:r w:rsidR="00FB19B8" w:rsidRPr="00FB19B8">
        <w:rPr>
          <w:lang w:val="en-US"/>
        </w:rPr>
        <w:t>ë</w:t>
      </w:r>
      <w:r w:rsidRPr="00616C7D">
        <w:rPr>
          <w:lang w:val="en-US"/>
        </w:rPr>
        <w:t xml:space="preserve"> fuqi</w:t>
      </w:r>
      <w:r w:rsidR="00FB19B8">
        <w:rPr>
          <w:lang w:val="en-US"/>
        </w:rPr>
        <w:t xml:space="preserve"> apelin</w:t>
      </w:r>
      <w:r w:rsidRPr="00616C7D">
        <w:rPr>
          <w:lang w:val="en-US"/>
        </w:rPr>
        <w:t>, ajo urdh</w:t>
      </w:r>
      <w:r>
        <w:rPr>
          <w:lang w:val="en-US"/>
        </w:rPr>
        <w:t>ë</w:t>
      </w:r>
      <w:r w:rsidRPr="00616C7D">
        <w:rPr>
          <w:lang w:val="en-US"/>
        </w:rPr>
        <w:t>ronte K</w:t>
      </w:r>
      <w:r>
        <w:rPr>
          <w:lang w:val="en-US"/>
        </w:rPr>
        <w:t>ë</w:t>
      </w:r>
      <w:r w:rsidRPr="00616C7D">
        <w:rPr>
          <w:lang w:val="en-US"/>
        </w:rPr>
        <w:t>shillin e Ministrave p</w:t>
      </w:r>
      <w:r>
        <w:rPr>
          <w:lang w:val="en-US"/>
        </w:rPr>
        <w:t>ë</w:t>
      </w:r>
      <w:r w:rsidRPr="00616C7D">
        <w:rPr>
          <w:lang w:val="en-US"/>
        </w:rPr>
        <w:t>r t</w:t>
      </w:r>
      <w:r>
        <w:rPr>
          <w:lang w:val="en-US"/>
        </w:rPr>
        <w:t>ë</w:t>
      </w:r>
      <w:r w:rsidRPr="00616C7D">
        <w:rPr>
          <w:lang w:val="en-US"/>
        </w:rPr>
        <w:t xml:space="preserve"> nd</w:t>
      </w:r>
      <w:r>
        <w:rPr>
          <w:lang w:val="en-US"/>
        </w:rPr>
        <w:t>ë</w:t>
      </w:r>
      <w:r w:rsidRPr="00616C7D">
        <w:rPr>
          <w:lang w:val="en-US"/>
        </w:rPr>
        <w:t>rprer</w:t>
      </w:r>
      <w:r>
        <w:rPr>
          <w:lang w:val="en-US"/>
        </w:rPr>
        <w:t>ë</w:t>
      </w:r>
      <w:r w:rsidRPr="00616C7D">
        <w:rPr>
          <w:lang w:val="en-US"/>
        </w:rPr>
        <w:t xml:space="preserve"> mas</w:t>
      </w:r>
      <w:r>
        <w:rPr>
          <w:lang w:val="en-US"/>
        </w:rPr>
        <w:t>ë</w:t>
      </w:r>
      <w:r w:rsidRPr="00616C7D">
        <w:rPr>
          <w:lang w:val="en-US"/>
        </w:rPr>
        <w:t>n e administrimit t</w:t>
      </w:r>
      <w:r>
        <w:rPr>
          <w:lang w:val="en-US"/>
        </w:rPr>
        <w:t>ë</w:t>
      </w:r>
      <w:r w:rsidRPr="00616C7D">
        <w:rPr>
          <w:lang w:val="en-US"/>
        </w:rPr>
        <w:t xml:space="preserve"> detyruar. </w:t>
      </w:r>
      <w:r>
        <w:rPr>
          <w:lang w:val="en-US"/>
        </w:rPr>
        <w:t>Dhënia e vendimit të gjykatës (në rastin kur ajo prishte vendimin e Qeverisë) nuk e pengonte Qeverinë në marrjen e një vendimi tjetër për caktimin e administratorëve të tjerë në lidhje me subjektin e kontrollit, me kusht që të veprohej në përputhje me ligjin.</w:t>
      </w:r>
    </w:p>
    <w:p w:rsidR="006F4ACB" w:rsidRDefault="006F4ACB" w:rsidP="000409D4">
      <w:pPr>
        <w:pStyle w:val="paragrafi"/>
        <w:numPr>
          <w:ilvl w:val="0"/>
          <w:numId w:val="1"/>
        </w:numPr>
        <w:ind w:left="0" w:firstLine="360"/>
        <w:jc w:val="both"/>
        <w:rPr>
          <w:lang w:val="en-US"/>
        </w:rPr>
      </w:pPr>
      <w:r>
        <w:rPr>
          <w:lang w:val="en-US"/>
        </w:rPr>
        <w:t xml:space="preserve">  Sipas nenit 7, administratorët e caktuar nga Qeveria, </w:t>
      </w:r>
      <w:r w:rsidRPr="00257562">
        <w:rPr>
          <w:i/>
          <w:lang w:val="en-US"/>
        </w:rPr>
        <w:t>inter alia</w:t>
      </w:r>
      <w:r>
        <w:rPr>
          <w:lang w:val="en-US"/>
        </w:rPr>
        <w:t>, kishin de</w:t>
      </w:r>
      <w:r w:rsidR="009D2A0D">
        <w:rPr>
          <w:lang w:val="en-US"/>
        </w:rPr>
        <w:t>tyrat e mëposhtme: të pezullonin</w:t>
      </w:r>
      <w:r>
        <w:rPr>
          <w:lang w:val="en-US"/>
        </w:rPr>
        <w:t xml:space="preserve"> tërësisht apo pjesësisht ripagimin e ndonjë huaje apo detyrim</w:t>
      </w:r>
      <w:r w:rsidR="009D2A0D">
        <w:rPr>
          <w:lang w:val="en-US"/>
        </w:rPr>
        <w:t>i palëve të treta; të menaxhonin</w:t>
      </w:r>
      <w:r>
        <w:rPr>
          <w:lang w:val="en-US"/>
        </w:rPr>
        <w:t xml:space="preserve"> veprimtarinë dhe pasurinë e subje</w:t>
      </w:r>
      <w:r w:rsidR="009D2A0D">
        <w:rPr>
          <w:lang w:val="en-US"/>
        </w:rPr>
        <w:t>ktit të kontrollit; të ushtronin</w:t>
      </w:r>
      <w:r>
        <w:rPr>
          <w:lang w:val="en-US"/>
        </w:rPr>
        <w:t xml:space="preserve"> të gjitha të drejtat e aksionerit, ortakut </w:t>
      </w:r>
      <w:r w:rsidR="009D2A0D">
        <w:rPr>
          <w:lang w:val="en-US"/>
        </w:rPr>
        <w:t>si dhe personelit administrativ të tyre; të shisnin apo të dispononin</w:t>
      </w:r>
      <w:r>
        <w:rPr>
          <w:lang w:val="en-US"/>
        </w:rPr>
        <w:t xml:space="preserve"> në mënyrë ligjore pasurinë e subjektit të kontrollit në kushtet që ai e konsidero</w:t>
      </w:r>
      <w:r w:rsidR="009D2A0D">
        <w:rPr>
          <w:lang w:val="en-US"/>
        </w:rPr>
        <w:t>nte të arsyeshme; të konfiskonin</w:t>
      </w:r>
      <w:r>
        <w:rPr>
          <w:lang w:val="en-US"/>
        </w:rPr>
        <w:t xml:space="preserve"> asetet e individëve të emëruar të l</w:t>
      </w:r>
      <w:r w:rsidR="009D2A0D">
        <w:rPr>
          <w:lang w:val="en-US"/>
        </w:rPr>
        <w:t>idhur me skemat; dhe të caktonin</w:t>
      </w:r>
      <w:r>
        <w:rPr>
          <w:lang w:val="en-US"/>
        </w:rPr>
        <w:t xml:space="preserve"> ekspertë për të zbuluar asetet jashtë vendit. </w:t>
      </w:r>
    </w:p>
    <w:p w:rsidR="006F4ACB" w:rsidRDefault="006F4ACB" w:rsidP="000409D4">
      <w:pPr>
        <w:pStyle w:val="paragrafi"/>
        <w:numPr>
          <w:ilvl w:val="0"/>
          <w:numId w:val="1"/>
        </w:numPr>
        <w:ind w:left="0" w:firstLine="360"/>
        <w:jc w:val="both"/>
        <w:rPr>
          <w:lang w:val="en-US"/>
        </w:rPr>
      </w:pPr>
      <w:r>
        <w:rPr>
          <w:lang w:val="en-US"/>
        </w:rPr>
        <w:t xml:space="preserve">  Neni 11 parashikonte se administratorët mund të shkarkoheshin nga pozicioni i tyre nga Qeveria sipas kushteve të caktuara. Sipas nenit 15, administratorët duhej t’i paraqisnin Qeverisë raporte të rregullta mbi ecurinë e punës.</w:t>
      </w:r>
    </w:p>
    <w:p w:rsidR="006F4ACB" w:rsidRDefault="006F4ACB" w:rsidP="000409D4">
      <w:pPr>
        <w:pStyle w:val="paragrafi"/>
        <w:numPr>
          <w:ilvl w:val="0"/>
          <w:numId w:val="1"/>
        </w:numPr>
        <w:ind w:left="0" w:firstLine="360"/>
        <w:jc w:val="both"/>
        <w:rPr>
          <w:lang w:val="en-US"/>
        </w:rPr>
      </w:pPr>
      <w:r>
        <w:rPr>
          <w:lang w:val="en-US"/>
        </w:rPr>
        <w:t xml:space="preserve">  Ligji nuk parashikonte mjete lig</w:t>
      </w:r>
      <w:r w:rsidR="009D2A0D">
        <w:rPr>
          <w:lang w:val="en-US"/>
        </w:rPr>
        <w:t>jore në dispozicion të subjektev</w:t>
      </w:r>
      <w:r>
        <w:rPr>
          <w:lang w:val="en-US"/>
        </w:rPr>
        <w:t xml:space="preserve">e jo-bankare për të kundërshtuar veprimet e administratorëve. </w:t>
      </w:r>
    </w:p>
    <w:p w:rsidR="007B4475" w:rsidRDefault="007B4475">
      <w:pPr>
        <w:suppressAutoHyphens w:val="0"/>
        <w:spacing w:after="200" w:line="276" w:lineRule="auto"/>
        <w:rPr>
          <w:b/>
          <w:szCs w:val="24"/>
          <w:lang w:val="en-US" w:eastAsia="de-AT"/>
        </w:rPr>
      </w:pPr>
      <w:r>
        <w:rPr>
          <w:b/>
          <w:lang w:val="en-US"/>
        </w:rPr>
        <w:br w:type="page"/>
      </w:r>
    </w:p>
    <w:p w:rsidR="006F4ACB" w:rsidRPr="006D59B5" w:rsidRDefault="006F4ACB" w:rsidP="007B4475">
      <w:pPr>
        <w:pStyle w:val="paragrafi"/>
        <w:ind w:firstLine="360"/>
        <w:jc w:val="both"/>
        <w:rPr>
          <w:b/>
          <w:lang w:val="en-US"/>
        </w:rPr>
      </w:pPr>
      <w:r w:rsidRPr="006D59B5">
        <w:rPr>
          <w:b/>
          <w:lang w:val="en-US"/>
        </w:rPr>
        <w:lastRenderedPageBreak/>
        <w:t>c) Ligjet nr. 3-5</w:t>
      </w:r>
    </w:p>
    <w:p w:rsidR="006F4ACB" w:rsidRDefault="006F4ACB" w:rsidP="000409D4">
      <w:pPr>
        <w:pStyle w:val="paragrafi"/>
        <w:numPr>
          <w:ilvl w:val="0"/>
          <w:numId w:val="1"/>
        </w:numPr>
        <w:ind w:left="0" w:firstLine="360"/>
        <w:jc w:val="both"/>
        <w:rPr>
          <w:lang w:val="en-US"/>
        </w:rPr>
      </w:pPr>
      <w:r>
        <w:rPr>
          <w:lang w:val="en-US"/>
        </w:rPr>
        <w:t xml:space="preserve">  Pas përfshirjes së paragrafit të ri në nenin 10 të Ligjit për Dispozitat Kryesore Kushtetuese (shih më lart), neni 1 i Ligj</w:t>
      </w:r>
      <w:r w:rsidR="00BF748C">
        <w:rPr>
          <w:lang w:val="en-US"/>
        </w:rPr>
        <w:t>it nr. 3 të vitit 1997 rifuti</w:t>
      </w:r>
      <w:r>
        <w:rPr>
          <w:lang w:val="en-US"/>
        </w:rPr>
        <w:t xml:space="preserve"> formulimin e nenit 7 të Ligjit nr. 2 të vi</w:t>
      </w:r>
      <w:r w:rsidR="00BF748C">
        <w:rPr>
          <w:lang w:val="en-US"/>
        </w:rPr>
        <w:t>tit 1997, i cili ishte prishur</w:t>
      </w:r>
      <w:r>
        <w:rPr>
          <w:lang w:val="en-US"/>
        </w:rPr>
        <w:t xml:space="preserve"> me vendim të Gjykatës Kushtetuese të datës 13 Nëntor 1997 (shih paragrafët 15-16 më lart).</w:t>
      </w:r>
    </w:p>
    <w:p w:rsidR="006F4ACB" w:rsidRDefault="006F4ACB" w:rsidP="000409D4">
      <w:pPr>
        <w:pStyle w:val="paragrafi"/>
        <w:numPr>
          <w:ilvl w:val="0"/>
          <w:numId w:val="1"/>
        </w:numPr>
        <w:ind w:left="0" w:firstLine="360"/>
        <w:jc w:val="both"/>
        <w:rPr>
          <w:lang w:val="en-US"/>
        </w:rPr>
      </w:pPr>
      <w:r>
        <w:rPr>
          <w:lang w:val="en-US"/>
        </w:rPr>
        <w:t xml:space="preserve">  Neni 1 i Ligjit nr. 4 parashikonte se “në rastet kur shoqëritë i nënshtrohen kontrollit financiar dhe administrimit të detyruar sipas Ligjit, autoritetet gjyqësore nuk dëgjojnë asnjë padi civile dhe pezullojnë të gjitha procedurat e zbatueshme në lidhje me vendimet e mëparshme të miratuara.”</w:t>
      </w:r>
    </w:p>
    <w:p w:rsidR="006F4ACB" w:rsidRDefault="006F4ACB" w:rsidP="000409D4">
      <w:pPr>
        <w:pStyle w:val="paragrafi"/>
        <w:numPr>
          <w:ilvl w:val="0"/>
          <w:numId w:val="1"/>
        </w:numPr>
        <w:ind w:left="0" w:firstLine="360"/>
        <w:jc w:val="both"/>
        <w:rPr>
          <w:lang w:val="en-US"/>
        </w:rPr>
      </w:pPr>
      <w:r>
        <w:rPr>
          <w:lang w:val="en-US"/>
        </w:rPr>
        <w:t xml:space="preserve">  Neni 1 i Ligjit nr. 5 parashikonte se Grupi i Mbikëqyrësve duhej t’i raportonte Ministrit të Financave.</w:t>
      </w:r>
    </w:p>
    <w:p w:rsidR="006F4ACB" w:rsidRPr="009B5F27" w:rsidRDefault="006F4ACB" w:rsidP="006F4ACB">
      <w:pPr>
        <w:pStyle w:val="paragrafi"/>
        <w:jc w:val="both"/>
        <w:rPr>
          <w:i/>
          <w:lang w:val="en-US"/>
        </w:rPr>
      </w:pPr>
      <w:r w:rsidRPr="009B5F27">
        <w:rPr>
          <w:i/>
          <w:lang w:val="en-US"/>
        </w:rPr>
        <w:t>8. Ligji p</w:t>
      </w:r>
      <w:r>
        <w:rPr>
          <w:i/>
          <w:lang w:val="en-US"/>
        </w:rPr>
        <w:t>ë</w:t>
      </w:r>
      <w:r w:rsidRPr="009B5F27">
        <w:rPr>
          <w:i/>
          <w:lang w:val="en-US"/>
        </w:rPr>
        <w:t>r Shitjen e Pasurive t</w:t>
      </w:r>
      <w:r>
        <w:rPr>
          <w:i/>
          <w:lang w:val="en-US"/>
        </w:rPr>
        <w:t>ë</w:t>
      </w:r>
      <w:r w:rsidRPr="009B5F27">
        <w:rPr>
          <w:i/>
          <w:lang w:val="en-US"/>
        </w:rPr>
        <w:t xml:space="preserve"> Personave Juridik</w:t>
      </w:r>
      <w:r>
        <w:rPr>
          <w:i/>
          <w:lang w:val="en-US"/>
        </w:rPr>
        <w:t>ë</w:t>
      </w:r>
      <w:r w:rsidRPr="009B5F27">
        <w:rPr>
          <w:i/>
          <w:lang w:val="en-US"/>
        </w:rPr>
        <w:t xml:space="preserve"> Jo</w:t>
      </w:r>
      <w:r w:rsidR="00694C4E">
        <w:rPr>
          <w:i/>
          <w:lang w:val="en-US"/>
        </w:rPr>
        <w:t>-</w:t>
      </w:r>
      <w:r w:rsidRPr="009B5F27">
        <w:rPr>
          <w:i/>
          <w:lang w:val="en-US"/>
        </w:rPr>
        <w:t>bankar</w:t>
      </w:r>
      <w:r>
        <w:rPr>
          <w:i/>
          <w:lang w:val="en-US"/>
        </w:rPr>
        <w:t>ë</w:t>
      </w:r>
      <w:r w:rsidRPr="009B5F27">
        <w:rPr>
          <w:i/>
          <w:lang w:val="en-US"/>
        </w:rPr>
        <w:t xml:space="preserve"> (Ligji p</w:t>
      </w:r>
      <w:r>
        <w:rPr>
          <w:i/>
          <w:lang w:val="en-US"/>
        </w:rPr>
        <w:t>ë</w:t>
      </w:r>
      <w:r w:rsidRPr="009B5F27">
        <w:rPr>
          <w:i/>
          <w:lang w:val="en-US"/>
        </w:rPr>
        <w:t>r m</w:t>
      </w:r>
      <w:r>
        <w:rPr>
          <w:i/>
          <w:lang w:val="en-US"/>
        </w:rPr>
        <w:t>ë</w:t>
      </w:r>
      <w:r w:rsidRPr="009B5F27">
        <w:rPr>
          <w:i/>
          <w:lang w:val="en-US"/>
        </w:rPr>
        <w:t>nyr</w:t>
      </w:r>
      <w:r>
        <w:rPr>
          <w:i/>
          <w:lang w:val="en-US"/>
        </w:rPr>
        <w:t>ë</w:t>
      </w:r>
      <w:r w:rsidRPr="009B5F27">
        <w:rPr>
          <w:i/>
          <w:lang w:val="en-US"/>
        </w:rPr>
        <w:t>n dhe procedurat e shitjes s</w:t>
      </w:r>
      <w:r>
        <w:rPr>
          <w:i/>
          <w:lang w:val="en-US"/>
        </w:rPr>
        <w:t>ë</w:t>
      </w:r>
      <w:r w:rsidRPr="009B5F27">
        <w:rPr>
          <w:i/>
          <w:lang w:val="en-US"/>
        </w:rPr>
        <w:t xml:space="preserve"> pasurive t</w:t>
      </w:r>
      <w:r>
        <w:rPr>
          <w:i/>
          <w:lang w:val="en-US"/>
        </w:rPr>
        <w:t>ë</w:t>
      </w:r>
      <w:r w:rsidRPr="009B5F27">
        <w:rPr>
          <w:i/>
          <w:lang w:val="en-US"/>
        </w:rPr>
        <w:t xml:space="preserve"> personave juridik</w:t>
      </w:r>
      <w:r>
        <w:rPr>
          <w:i/>
          <w:lang w:val="en-US"/>
        </w:rPr>
        <w:t>ë</w:t>
      </w:r>
      <w:r w:rsidRPr="009B5F27">
        <w:rPr>
          <w:i/>
          <w:lang w:val="en-US"/>
        </w:rPr>
        <w:t xml:space="preserve"> jo</w:t>
      </w:r>
      <w:r w:rsidR="00694C4E">
        <w:rPr>
          <w:i/>
          <w:lang w:val="en-US"/>
        </w:rPr>
        <w:t>-</w:t>
      </w:r>
      <w:r w:rsidRPr="009B5F27">
        <w:rPr>
          <w:i/>
          <w:lang w:val="en-US"/>
        </w:rPr>
        <w:t>bankar</w:t>
      </w:r>
      <w:r>
        <w:rPr>
          <w:i/>
          <w:lang w:val="en-US"/>
        </w:rPr>
        <w:t>ë</w:t>
      </w:r>
      <w:r w:rsidRPr="009B5F27">
        <w:rPr>
          <w:i/>
          <w:lang w:val="en-US"/>
        </w:rPr>
        <w:t xml:space="preserve"> q</w:t>
      </w:r>
      <w:r>
        <w:rPr>
          <w:i/>
          <w:lang w:val="en-US"/>
        </w:rPr>
        <w:t>ë</w:t>
      </w:r>
      <w:r w:rsidRPr="009B5F27">
        <w:rPr>
          <w:i/>
          <w:lang w:val="en-US"/>
        </w:rPr>
        <w:t xml:space="preserve"> kan</w:t>
      </w:r>
      <w:r>
        <w:rPr>
          <w:i/>
          <w:lang w:val="en-US"/>
        </w:rPr>
        <w:t>ë</w:t>
      </w:r>
      <w:r w:rsidRPr="009B5F27">
        <w:rPr>
          <w:i/>
          <w:lang w:val="en-US"/>
        </w:rPr>
        <w:t xml:space="preserve"> marr</w:t>
      </w:r>
      <w:r>
        <w:rPr>
          <w:i/>
          <w:lang w:val="en-US"/>
        </w:rPr>
        <w:t>ë</w:t>
      </w:r>
      <w:r w:rsidRPr="009B5F27">
        <w:rPr>
          <w:i/>
          <w:lang w:val="en-US"/>
        </w:rPr>
        <w:t xml:space="preserve"> hua nga publiku i gjer</w:t>
      </w:r>
      <w:r>
        <w:rPr>
          <w:i/>
          <w:lang w:val="en-US"/>
        </w:rPr>
        <w:t>ë</w:t>
      </w:r>
      <w:r w:rsidR="00990123">
        <w:rPr>
          <w:i/>
          <w:lang w:val="en-US"/>
        </w:rPr>
        <w:t xml:space="preserve">, Ligji nr. 8386 </w:t>
      </w:r>
      <w:r w:rsidRPr="009B5F27">
        <w:rPr>
          <w:i/>
          <w:lang w:val="en-US"/>
        </w:rPr>
        <w:t>dat</w:t>
      </w:r>
      <w:r>
        <w:rPr>
          <w:i/>
          <w:lang w:val="en-US"/>
        </w:rPr>
        <w:t>ë</w:t>
      </w:r>
      <w:r w:rsidRPr="009B5F27">
        <w:rPr>
          <w:i/>
          <w:lang w:val="en-US"/>
        </w:rPr>
        <w:t xml:space="preserve"> 30 Korrik 1998 ndryshuar me Ligj</w:t>
      </w:r>
      <w:r w:rsidR="00990123">
        <w:rPr>
          <w:i/>
          <w:lang w:val="en-US"/>
        </w:rPr>
        <w:t>in nr. 9553</w:t>
      </w:r>
      <w:r w:rsidRPr="009B5F27">
        <w:rPr>
          <w:i/>
          <w:lang w:val="en-US"/>
        </w:rPr>
        <w:t xml:space="preserve"> dat</w:t>
      </w:r>
      <w:r>
        <w:rPr>
          <w:i/>
          <w:lang w:val="en-US"/>
        </w:rPr>
        <w:t>ë</w:t>
      </w:r>
      <w:r w:rsidRPr="009B5F27">
        <w:rPr>
          <w:i/>
          <w:lang w:val="en-US"/>
        </w:rPr>
        <w:t xml:space="preserve"> 5 Qershor 2006)</w:t>
      </w:r>
    </w:p>
    <w:p w:rsidR="006F4ACB" w:rsidRDefault="006F4ACB" w:rsidP="000409D4">
      <w:pPr>
        <w:pStyle w:val="paragrafi"/>
        <w:numPr>
          <w:ilvl w:val="0"/>
          <w:numId w:val="1"/>
        </w:numPr>
        <w:ind w:left="0" w:firstLine="360"/>
        <w:jc w:val="both"/>
        <w:rPr>
          <w:lang w:val="en-US"/>
        </w:rPr>
      </w:pPr>
      <w:r>
        <w:rPr>
          <w:lang w:val="en-US"/>
        </w:rPr>
        <w:t>Neni</w:t>
      </w:r>
      <w:r w:rsidR="00243F5E">
        <w:rPr>
          <w:lang w:val="en-US"/>
        </w:rPr>
        <w:t xml:space="preserve"> </w:t>
      </w:r>
      <w:r w:rsidR="004403B1">
        <w:rPr>
          <w:lang w:val="en-US"/>
        </w:rPr>
        <w:t>1 autorizonte administratorët e</w:t>
      </w:r>
      <w:r w:rsidR="006103F2">
        <w:rPr>
          <w:lang w:val="en-US"/>
        </w:rPr>
        <w:t xml:space="preserve"> subjekteve</w:t>
      </w:r>
      <w:r>
        <w:rPr>
          <w:lang w:val="en-US"/>
        </w:rPr>
        <w:t xml:space="preserve"> ligjor</w:t>
      </w:r>
      <w:r w:rsidR="006103F2">
        <w:rPr>
          <w:lang w:val="en-US"/>
        </w:rPr>
        <w:t>e</w:t>
      </w:r>
      <w:r>
        <w:rPr>
          <w:lang w:val="en-US"/>
        </w:rPr>
        <w:t xml:space="preserve"> jo</w:t>
      </w:r>
      <w:r w:rsidR="006103F2">
        <w:rPr>
          <w:lang w:val="en-US"/>
        </w:rPr>
        <w:t>-</w:t>
      </w:r>
      <w:r>
        <w:rPr>
          <w:lang w:val="en-US"/>
        </w:rPr>
        <w:t>bankar</w:t>
      </w:r>
      <w:r w:rsidR="006103F2">
        <w:rPr>
          <w:lang w:val="en-US"/>
        </w:rPr>
        <w:t>e</w:t>
      </w:r>
      <w:r>
        <w:rPr>
          <w:lang w:val="en-US"/>
        </w:rPr>
        <w:t xml:space="preserve"> të kryenin veprimet e shitjes së pasurive të këtyre subjekteve dhe pronarëve të tyre si dhe të pjesëtarëve të tjerë të familjeve të tyre. Të ardhurat do të përdoreshin për t’i siguru</w:t>
      </w:r>
      <w:r w:rsidR="00243F5E">
        <w:rPr>
          <w:lang w:val="en-US"/>
        </w:rPr>
        <w:t>ar publikut kompensimin monetar</w:t>
      </w:r>
      <w:r>
        <w:rPr>
          <w:lang w:val="en-US"/>
        </w:rPr>
        <w:t xml:space="preserve"> gjatë procesit të rishpërndarjes. Sipas nenit 3 ish-presidentët e shoqërive huamarr</w:t>
      </w:r>
      <w:r w:rsidR="00243F5E">
        <w:rPr>
          <w:lang w:val="en-US"/>
        </w:rPr>
        <w:t>ëse që i nënshtroheshin Ligjit p</w:t>
      </w:r>
      <w:r>
        <w:rPr>
          <w:lang w:val="en-US"/>
        </w:rPr>
        <w:t>ë</w:t>
      </w:r>
      <w:r w:rsidR="00243F5E">
        <w:rPr>
          <w:lang w:val="en-US"/>
        </w:rPr>
        <w:t>r Kontrollin</w:t>
      </w:r>
      <w:r>
        <w:rPr>
          <w:lang w:val="en-US"/>
        </w:rPr>
        <w:t xml:space="preserve"> Financiar të Personave Ligjorë Jo-bankarë, nuk kishin të drej</w:t>
      </w:r>
      <w:r w:rsidR="004403B1">
        <w:rPr>
          <w:lang w:val="en-US"/>
        </w:rPr>
        <w:t>të që pas shitjes së pasurisë ta</w:t>
      </w:r>
      <w:r>
        <w:rPr>
          <w:lang w:val="en-US"/>
        </w:rPr>
        <w:t xml:space="preserve"> riblinin atë apo të kërkonin në gjykatë të drejtën për rikthimin e saj.</w:t>
      </w:r>
    </w:p>
    <w:p w:rsidR="006F4ACB" w:rsidRDefault="006F4ACB" w:rsidP="000409D4">
      <w:pPr>
        <w:pStyle w:val="paragrafi"/>
        <w:numPr>
          <w:ilvl w:val="0"/>
          <w:numId w:val="1"/>
        </w:numPr>
        <w:ind w:left="0" w:firstLine="360"/>
        <w:jc w:val="both"/>
        <w:rPr>
          <w:lang w:val="en-US"/>
        </w:rPr>
      </w:pPr>
      <w:r>
        <w:rPr>
          <w:lang w:val="en-US"/>
        </w:rPr>
        <w:t xml:space="preserve">Neni 4 përcaktonte se administratorët ishin përgjegjës për shitjen e pasurisë dhe për </w:t>
      </w:r>
      <w:r w:rsidR="007F6A48">
        <w:rPr>
          <w:lang w:val="en-US"/>
        </w:rPr>
        <w:t>t</w:t>
      </w:r>
      <w:r w:rsidR="007F6A48" w:rsidRPr="007F6A48">
        <w:rPr>
          <w:lang w:val="en-US"/>
        </w:rPr>
        <w:t>ë</w:t>
      </w:r>
      <w:r w:rsidR="007F6A48">
        <w:rPr>
          <w:lang w:val="en-US"/>
        </w:rPr>
        <w:t xml:space="preserve"> vendosur p</w:t>
      </w:r>
      <w:r w:rsidR="007F6A48" w:rsidRPr="007F6A48">
        <w:rPr>
          <w:lang w:val="en-US"/>
        </w:rPr>
        <w:t>ë</w:t>
      </w:r>
      <w:r w:rsidR="007F6A48">
        <w:rPr>
          <w:lang w:val="en-US"/>
        </w:rPr>
        <w:t>r procedurat</w:t>
      </w:r>
      <w:r>
        <w:rPr>
          <w:lang w:val="en-US"/>
        </w:rPr>
        <w:t xml:space="preserve">. </w:t>
      </w:r>
      <w:r w:rsidR="008C4283" w:rsidRPr="008C4283">
        <w:rPr>
          <w:lang w:val="en-US"/>
        </w:rPr>
        <w:t>Çmimi</w:t>
      </w:r>
      <w:r w:rsidRPr="008C4283">
        <w:rPr>
          <w:lang w:val="en-US"/>
        </w:rPr>
        <w:t xml:space="preserve"> </w:t>
      </w:r>
      <w:r>
        <w:rPr>
          <w:lang w:val="en-US"/>
        </w:rPr>
        <w:t xml:space="preserve">fillestar i shitjes përcaktohej nga një grup vlerësimi sipas nenit 9. </w:t>
      </w:r>
      <w:r w:rsidR="008C4283" w:rsidRPr="008C4283">
        <w:rPr>
          <w:lang w:val="en-US"/>
        </w:rPr>
        <w:t>Çdo</w:t>
      </w:r>
      <w:r w:rsidR="008C4283">
        <w:rPr>
          <w:color w:val="FF0000"/>
          <w:lang w:val="en-US"/>
        </w:rPr>
        <w:t xml:space="preserve"> </w:t>
      </w:r>
      <w:r w:rsidRPr="008C4283">
        <w:rPr>
          <w:lang w:val="sq-AL"/>
        </w:rPr>
        <w:t>p</w:t>
      </w:r>
      <w:r w:rsidR="006103F2">
        <w:rPr>
          <w:lang w:val="sq-AL"/>
        </w:rPr>
        <w:t xml:space="preserve">erson fizik apo subjekt ligjor, </w:t>
      </w:r>
      <w:r w:rsidRPr="008C4283">
        <w:rPr>
          <w:lang w:val="sq-AL"/>
        </w:rPr>
        <w:t xml:space="preserve">vendas ose i huaj, mund të merrte pjesë në shitjen e pasurisë në përputhje me nenin 5. </w:t>
      </w:r>
      <w:r w:rsidRPr="00F6125F">
        <w:rPr>
          <w:lang w:val="sq-AL"/>
        </w:rPr>
        <w:t xml:space="preserve">Sipas nenit 6 të Ligjit 1998 shitja duhej të bëhej në një nga format e parashikuara me ligj: shitje direkte, ankand ose tender publik. Sipas Ligjit </w:t>
      </w:r>
      <w:r w:rsidR="007F6A48" w:rsidRPr="00F6125F">
        <w:rPr>
          <w:lang w:val="sq-AL"/>
        </w:rPr>
        <w:t xml:space="preserve">të vitit </w:t>
      </w:r>
      <w:r w:rsidRPr="00F6125F">
        <w:rPr>
          <w:lang w:val="sq-AL"/>
        </w:rPr>
        <w:t xml:space="preserve">2006, shitja u krye në formën e ankandit. </w:t>
      </w:r>
      <w:r>
        <w:rPr>
          <w:lang w:val="en-US"/>
        </w:rPr>
        <w:t>Neni 11 i Ligjit 1998</w:t>
      </w:r>
      <w:r w:rsidR="007F6A48">
        <w:rPr>
          <w:lang w:val="en-US"/>
        </w:rPr>
        <w:t xml:space="preserve"> </w:t>
      </w:r>
      <w:r>
        <w:rPr>
          <w:lang w:val="en-US"/>
        </w:rPr>
        <w:t>parashikoi se procesi duhej të përfundonte, në parim, para fundit të vitit 1998.  Sipas Ligjit të vitit 2006, pasuria që nuk ishte shitur deri më 31 Dhjetor 2005</w:t>
      </w:r>
      <w:r w:rsidR="006103F2">
        <w:rPr>
          <w:lang w:val="en-US"/>
        </w:rPr>
        <w:t xml:space="preserve"> </w:t>
      </w:r>
      <w:r>
        <w:rPr>
          <w:lang w:val="en-US"/>
        </w:rPr>
        <w:t>do të vihej për shitje nga Ministria e Financave.</w:t>
      </w:r>
    </w:p>
    <w:p w:rsidR="006F4ACB" w:rsidRDefault="006F4ACB" w:rsidP="000409D4">
      <w:pPr>
        <w:pStyle w:val="paragrafi"/>
        <w:numPr>
          <w:ilvl w:val="0"/>
          <w:numId w:val="1"/>
        </w:numPr>
        <w:ind w:left="0" w:firstLine="360"/>
        <w:jc w:val="both"/>
        <w:rPr>
          <w:lang w:val="en-US"/>
        </w:rPr>
      </w:pPr>
      <w:r>
        <w:rPr>
          <w:lang w:val="en-US"/>
        </w:rPr>
        <w:t>Neni 14 parashikonte se vetëm ekspertët kontabël kishin t</w:t>
      </w:r>
      <w:r w:rsidR="003B5204">
        <w:rPr>
          <w:lang w:val="en-US"/>
        </w:rPr>
        <w:t>ë drejtë të kërkonin shpalljen</w:t>
      </w:r>
      <w:r>
        <w:rPr>
          <w:lang w:val="en-US"/>
        </w:rPr>
        <w:t xml:space="preserve"> e shitjes të pavlefshme nga gjykata. Kërkesa duhej të bëhej brenda 30 ditëve nga data kur ato konstatonin shkelje të dispozitave të Ligjit.</w:t>
      </w:r>
    </w:p>
    <w:p w:rsidR="006F4ACB" w:rsidRPr="00AB2148" w:rsidRDefault="006F4ACB" w:rsidP="006F4ACB">
      <w:pPr>
        <w:pStyle w:val="paragrafi"/>
        <w:jc w:val="both"/>
        <w:rPr>
          <w:i/>
          <w:lang w:val="en-US"/>
        </w:rPr>
      </w:pPr>
      <w:r w:rsidRPr="00AB2148">
        <w:rPr>
          <w:i/>
          <w:lang w:val="en-US"/>
        </w:rPr>
        <w:t>9. Ligji p</w:t>
      </w:r>
      <w:r>
        <w:rPr>
          <w:i/>
          <w:lang w:val="en-US"/>
        </w:rPr>
        <w:t>ë</w:t>
      </w:r>
      <w:r w:rsidRPr="00AB2148">
        <w:rPr>
          <w:i/>
          <w:lang w:val="en-US"/>
        </w:rPr>
        <w:t>r Rishp</w:t>
      </w:r>
      <w:r>
        <w:rPr>
          <w:i/>
          <w:lang w:val="en-US"/>
        </w:rPr>
        <w:t>ë</w:t>
      </w:r>
      <w:r w:rsidRPr="00AB2148">
        <w:rPr>
          <w:i/>
          <w:lang w:val="en-US"/>
        </w:rPr>
        <w:t>rndarjen e Pasurive t</w:t>
      </w:r>
      <w:r>
        <w:rPr>
          <w:i/>
          <w:lang w:val="en-US"/>
        </w:rPr>
        <w:t>ë</w:t>
      </w:r>
      <w:r w:rsidRPr="00AB2148">
        <w:rPr>
          <w:i/>
          <w:lang w:val="en-US"/>
        </w:rPr>
        <w:t xml:space="preserve"> Personave Juridik</w:t>
      </w:r>
      <w:r>
        <w:rPr>
          <w:i/>
          <w:lang w:val="en-US"/>
        </w:rPr>
        <w:t>ë</w:t>
      </w:r>
      <w:r w:rsidRPr="00AB2148">
        <w:rPr>
          <w:i/>
          <w:lang w:val="en-US"/>
        </w:rPr>
        <w:t xml:space="preserve"> Jo-bankar</w:t>
      </w:r>
      <w:r>
        <w:rPr>
          <w:i/>
          <w:lang w:val="en-US"/>
        </w:rPr>
        <w:t>ë</w:t>
      </w:r>
      <w:r w:rsidRPr="00AB2148">
        <w:rPr>
          <w:i/>
          <w:lang w:val="en-US"/>
        </w:rPr>
        <w:t xml:space="preserve"> (Ligji p</w:t>
      </w:r>
      <w:r>
        <w:rPr>
          <w:i/>
          <w:lang w:val="en-US"/>
        </w:rPr>
        <w:t>ë</w:t>
      </w:r>
      <w:r w:rsidRPr="00AB2148">
        <w:rPr>
          <w:i/>
          <w:lang w:val="en-US"/>
        </w:rPr>
        <w:t>r kriteret dhe m</w:t>
      </w:r>
      <w:r>
        <w:rPr>
          <w:i/>
          <w:lang w:val="en-US"/>
        </w:rPr>
        <w:t>ë</w:t>
      </w:r>
      <w:r w:rsidRPr="00AB2148">
        <w:rPr>
          <w:i/>
          <w:lang w:val="en-US"/>
        </w:rPr>
        <w:t>nyr</w:t>
      </w:r>
      <w:r>
        <w:rPr>
          <w:i/>
          <w:lang w:val="en-US"/>
        </w:rPr>
        <w:t>ë</w:t>
      </w:r>
      <w:r w:rsidRPr="00AB2148">
        <w:rPr>
          <w:i/>
          <w:lang w:val="en-US"/>
        </w:rPr>
        <w:t>n e shp</w:t>
      </w:r>
      <w:r>
        <w:rPr>
          <w:i/>
          <w:lang w:val="en-US"/>
        </w:rPr>
        <w:t>ë</w:t>
      </w:r>
      <w:r w:rsidRPr="00AB2148">
        <w:rPr>
          <w:i/>
          <w:lang w:val="en-US"/>
        </w:rPr>
        <w:t>rndarjes s</w:t>
      </w:r>
      <w:r>
        <w:rPr>
          <w:i/>
          <w:lang w:val="en-US"/>
        </w:rPr>
        <w:t>ë</w:t>
      </w:r>
      <w:r w:rsidRPr="00AB2148">
        <w:rPr>
          <w:i/>
          <w:lang w:val="en-US"/>
        </w:rPr>
        <w:t xml:space="preserve"> pasuris</w:t>
      </w:r>
      <w:r>
        <w:rPr>
          <w:i/>
          <w:lang w:val="en-US"/>
        </w:rPr>
        <w:t>ë</w:t>
      </w:r>
      <w:r w:rsidRPr="00AB2148">
        <w:rPr>
          <w:i/>
          <w:lang w:val="en-US"/>
        </w:rPr>
        <w:t xml:space="preserve"> s</w:t>
      </w:r>
      <w:r>
        <w:rPr>
          <w:i/>
          <w:lang w:val="en-US"/>
        </w:rPr>
        <w:t>ë</w:t>
      </w:r>
      <w:r w:rsidRPr="00AB2148">
        <w:rPr>
          <w:i/>
          <w:lang w:val="en-US"/>
        </w:rPr>
        <w:t xml:space="preserve"> personave juridik</w:t>
      </w:r>
      <w:r>
        <w:rPr>
          <w:i/>
          <w:lang w:val="en-US"/>
        </w:rPr>
        <w:t>ë</w:t>
      </w:r>
      <w:r w:rsidRPr="00AB2148">
        <w:rPr>
          <w:i/>
          <w:lang w:val="en-US"/>
        </w:rPr>
        <w:t xml:space="preserve"> q</w:t>
      </w:r>
      <w:r>
        <w:rPr>
          <w:i/>
          <w:lang w:val="en-US"/>
        </w:rPr>
        <w:t>ë</w:t>
      </w:r>
      <w:r w:rsidRPr="00AB2148">
        <w:rPr>
          <w:i/>
          <w:lang w:val="en-US"/>
        </w:rPr>
        <w:t xml:space="preserve"> kan</w:t>
      </w:r>
      <w:r>
        <w:rPr>
          <w:i/>
          <w:lang w:val="en-US"/>
        </w:rPr>
        <w:t>ë</w:t>
      </w:r>
      <w:r w:rsidRPr="00AB2148">
        <w:rPr>
          <w:i/>
          <w:lang w:val="en-US"/>
        </w:rPr>
        <w:t xml:space="preserve"> marr</w:t>
      </w:r>
      <w:r>
        <w:rPr>
          <w:i/>
          <w:lang w:val="en-US"/>
        </w:rPr>
        <w:t>ë</w:t>
      </w:r>
      <w:r w:rsidRPr="00AB2148">
        <w:rPr>
          <w:i/>
          <w:lang w:val="en-US"/>
        </w:rPr>
        <w:t xml:space="preserve"> hua nga publiku i gjer</w:t>
      </w:r>
      <w:r>
        <w:rPr>
          <w:i/>
          <w:lang w:val="en-US"/>
        </w:rPr>
        <w:t>ë</w:t>
      </w:r>
      <w:r w:rsidR="003B5204">
        <w:rPr>
          <w:i/>
          <w:lang w:val="en-US"/>
        </w:rPr>
        <w:t xml:space="preserve">, Ligji nr. 8360 </w:t>
      </w:r>
      <w:r w:rsidRPr="00AB2148">
        <w:rPr>
          <w:i/>
          <w:lang w:val="en-US"/>
        </w:rPr>
        <w:t>dat</w:t>
      </w:r>
      <w:r>
        <w:rPr>
          <w:i/>
          <w:lang w:val="en-US"/>
        </w:rPr>
        <w:t>ë</w:t>
      </w:r>
      <w:r w:rsidRPr="00AB2148">
        <w:rPr>
          <w:i/>
          <w:lang w:val="en-US"/>
        </w:rPr>
        <w:t xml:space="preserve"> 10 Qershor 1998 ndryshuar me Ligj</w:t>
      </w:r>
      <w:r w:rsidR="003B5204">
        <w:rPr>
          <w:i/>
          <w:lang w:val="en-US"/>
        </w:rPr>
        <w:t>in nr. 9935</w:t>
      </w:r>
      <w:r w:rsidRPr="00AB2148">
        <w:rPr>
          <w:i/>
          <w:lang w:val="en-US"/>
        </w:rPr>
        <w:t xml:space="preserve"> dat</w:t>
      </w:r>
      <w:r>
        <w:rPr>
          <w:i/>
          <w:lang w:val="en-US"/>
        </w:rPr>
        <w:t>ë</w:t>
      </w:r>
      <w:r w:rsidRPr="00AB2148">
        <w:rPr>
          <w:i/>
          <w:lang w:val="en-US"/>
        </w:rPr>
        <w:t xml:space="preserve"> 26 Qershor 2008)</w:t>
      </w:r>
    </w:p>
    <w:p w:rsidR="006F4ACB" w:rsidRDefault="006F4ACB" w:rsidP="000409D4">
      <w:pPr>
        <w:pStyle w:val="paragrafi"/>
        <w:numPr>
          <w:ilvl w:val="0"/>
          <w:numId w:val="1"/>
        </w:numPr>
        <w:ind w:left="0" w:firstLine="360"/>
        <w:jc w:val="both"/>
        <w:rPr>
          <w:lang w:val="en-US"/>
        </w:rPr>
      </w:pPr>
      <w:r>
        <w:rPr>
          <w:lang w:val="en-US"/>
        </w:rPr>
        <w:t xml:space="preserve">Neni 3 përcaktonte se shpërndarja e vlerave financiare të subjekteve jo-bankare duhej të bëhej sipas koeficientit të kthimit i cili ndryshonte për çdo subjekt. Në përputhje me nenin 4, koeficienti duhej të llogaritej si raport i shumës së vlerave ekzistuese monetare në llogaritë bankare të personave juridikë jo-bankarë dhe të ardhurave të siguruara nga shitja e pasurisë së tyre me shumën e detyrimit debitor që personat juridikë jo-bankarë u kishin kreditorëve të tyre.   </w:t>
      </w:r>
    </w:p>
    <w:p w:rsidR="006F4ACB" w:rsidRPr="00A74B24" w:rsidRDefault="006F4ACB" w:rsidP="006F4ACB">
      <w:pPr>
        <w:pStyle w:val="paragrafi"/>
        <w:jc w:val="both"/>
        <w:rPr>
          <w:b/>
          <w:lang w:val="en-US"/>
        </w:rPr>
      </w:pPr>
      <w:r w:rsidRPr="00A74B24">
        <w:rPr>
          <w:b/>
          <w:lang w:val="en-US"/>
        </w:rPr>
        <w:lastRenderedPageBreak/>
        <w:t>Vendimi i K</w:t>
      </w:r>
      <w:r>
        <w:rPr>
          <w:b/>
          <w:lang w:val="en-US"/>
        </w:rPr>
        <w:t>ë</w:t>
      </w:r>
      <w:r w:rsidRPr="00A74B24">
        <w:rPr>
          <w:b/>
          <w:lang w:val="en-US"/>
        </w:rPr>
        <w:t>shillit t</w:t>
      </w:r>
      <w:r>
        <w:rPr>
          <w:b/>
          <w:lang w:val="en-US"/>
        </w:rPr>
        <w:t>ë</w:t>
      </w:r>
      <w:r w:rsidRPr="00A74B24">
        <w:rPr>
          <w:b/>
          <w:lang w:val="en-US"/>
        </w:rPr>
        <w:t xml:space="preserve"> Ministrave nr. 52 dat</w:t>
      </w:r>
      <w:r>
        <w:rPr>
          <w:b/>
          <w:lang w:val="en-US"/>
        </w:rPr>
        <w:t>ë</w:t>
      </w:r>
      <w:r w:rsidRPr="00A74B24">
        <w:rPr>
          <w:b/>
          <w:lang w:val="en-US"/>
        </w:rPr>
        <w:t xml:space="preserve"> 28 Janar 2005</w:t>
      </w:r>
    </w:p>
    <w:p w:rsidR="006F4ACB" w:rsidRDefault="006F4ACB" w:rsidP="000409D4">
      <w:pPr>
        <w:pStyle w:val="paragrafi"/>
        <w:numPr>
          <w:ilvl w:val="0"/>
          <w:numId w:val="1"/>
        </w:numPr>
        <w:ind w:left="0" w:firstLine="360"/>
        <w:jc w:val="both"/>
        <w:rPr>
          <w:lang w:val="en-US"/>
        </w:rPr>
      </w:pPr>
      <w:r>
        <w:rPr>
          <w:lang w:val="en-US"/>
        </w:rPr>
        <w:t xml:space="preserve">Më 28 Janar 2005 Qeveria miratoi një vendim për shpërndarjen e vlerave financiare kreditorëve të shoqërisë ankuese mbi bazën e një koeficienti të caktuar. Sipas vendimit, koeficienti i shpërndarjes për kreditorët ishte llogaritur në masën njëmbëdhjetë përqind. Të ardhurat e mbledhura nga shitja e vlerave arrinin </w:t>
      </w:r>
      <w:r w:rsidR="00BA1BA8">
        <w:rPr>
          <w:lang w:val="en-US"/>
        </w:rPr>
        <w:t xml:space="preserve">në </w:t>
      </w:r>
      <w:r>
        <w:rPr>
          <w:lang w:val="en-US"/>
        </w:rPr>
        <w:t>3,800,000,000 lekë Shqiptare (</w:t>
      </w:r>
      <w:r w:rsidR="003B5204">
        <w:rPr>
          <w:lang w:val="en-US"/>
        </w:rPr>
        <w:t>për</w:t>
      </w:r>
      <w:r>
        <w:rPr>
          <w:lang w:val="en-US"/>
        </w:rPr>
        <w:t>afërsisht 26,620,100 euro). Detyrimi debitor i shoqërisë mbeti 34,361,781,170 lekë Shqiptare (</w:t>
      </w:r>
      <w:r w:rsidR="003B5204">
        <w:rPr>
          <w:lang w:val="en-US"/>
        </w:rPr>
        <w:t>për</w:t>
      </w:r>
      <w:r>
        <w:rPr>
          <w:lang w:val="en-US"/>
        </w:rPr>
        <w:t>afërsisht 240,714,000 euro).</w:t>
      </w:r>
    </w:p>
    <w:p w:rsidR="006F4ACB" w:rsidRPr="00C97002" w:rsidRDefault="006F4ACB" w:rsidP="006F4ACB">
      <w:pPr>
        <w:pStyle w:val="paragrafi"/>
        <w:jc w:val="both"/>
        <w:rPr>
          <w:i/>
          <w:lang w:val="en-US"/>
        </w:rPr>
      </w:pPr>
      <w:r w:rsidRPr="00C97002">
        <w:rPr>
          <w:i/>
          <w:lang w:val="en-US"/>
        </w:rPr>
        <w:t>10. Ligji p</w:t>
      </w:r>
      <w:r>
        <w:rPr>
          <w:i/>
          <w:lang w:val="en-US"/>
        </w:rPr>
        <w:t>ë</w:t>
      </w:r>
      <w:r w:rsidRPr="00C97002">
        <w:rPr>
          <w:i/>
          <w:lang w:val="en-US"/>
        </w:rPr>
        <w:t>r Detyrimet Debitore (Ligji p</w:t>
      </w:r>
      <w:r>
        <w:rPr>
          <w:i/>
          <w:lang w:val="en-US"/>
        </w:rPr>
        <w:t>ë</w:t>
      </w:r>
      <w:r w:rsidRPr="00C97002">
        <w:rPr>
          <w:i/>
          <w:lang w:val="en-US"/>
        </w:rPr>
        <w:t>r nxjerrjen e detyrimeve debitore dhe rikthimin e vlerave pasurore n</w:t>
      </w:r>
      <w:r>
        <w:rPr>
          <w:i/>
          <w:lang w:val="en-US"/>
        </w:rPr>
        <w:t>ë</w:t>
      </w:r>
      <w:r w:rsidRPr="00C97002">
        <w:rPr>
          <w:i/>
          <w:lang w:val="en-US"/>
        </w:rPr>
        <w:t xml:space="preserve"> llogarit</w:t>
      </w:r>
      <w:r>
        <w:rPr>
          <w:i/>
          <w:lang w:val="en-US"/>
        </w:rPr>
        <w:t>ë</w:t>
      </w:r>
      <w:r w:rsidRPr="00C97002">
        <w:rPr>
          <w:i/>
          <w:lang w:val="en-US"/>
        </w:rPr>
        <w:t xml:space="preserve"> e personave juridik</w:t>
      </w:r>
      <w:r>
        <w:rPr>
          <w:i/>
          <w:lang w:val="en-US"/>
        </w:rPr>
        <w:t>ë</w:t>
      </w:r>
      <w:r w:rsidR="003B5204">
        <w:rPr>
          <w:i/>
          <w:lang w:val="en-US"/>
        </w:rPr>
        <w:t xml:space="preserve"> </w:t>
      </w:r>
      <w:r w:rsidRPr="00C97002">
        <w:rPr>
          <w:i/>
          <w:lang w:val="en-US"/>
        </w:rPr>
        <w:t>jo-bankar</w:t>
      </w:r>
      <w:r>
        <w:rPr>
          <w:i/>
          <w:lang w:val="en-US"/>
        </w:rPr>
        <w:t>ë</w:t>
      </w:r>
      <w:r w:rsidRPr="00C97002">
        <w:rPr>
          <w:i/>
          <w:lang w:val="en-US"/>
        </w:rPr>
        <w:t xml:space="preserve"> q</w:t>
      </w:r>
      <w:r>
        <w:rPr>
          <w:i/>
          <w:lang w:val="en-US"/>
        </w:rPr>
        <w:t>ë</w:t>
      </w:r>
      <w:r w:rsidRPr="00C97002">
        <w:rPr>
          <w:i/>
          <w:lang w:val="en-US"/>
        </w:rPr>
        <w:t xml:space="preserve"> kan</w:t>
      </w:r>
      <w:r>
        <w:rPr>
          <w:i/>
          <w:lang w:val="en-US"/>
        </w:rPr>
        <w:t>ë</w:t>
      </w:r>
      <w:r w:rsidRPr="00C97002">
        <w:rPr>
          <w:i/>
          <w:lang w:val="en-US"/>
        </w:rPr>
        <w:t xml:space="preserve"> marr</w:t>
      </w:r>
      <w:r>
        <w:rPr>
          <w:i/>
          <w:lang w:val="en-US"/>
        </w:rPr>
        <w:t>ë</w:t>
      </w:r>
      <w:r w:rsidRPr="00C97002">
        <w:rPr>
          <w:i/>
          <w:lang w:val="en-US"/>
        </w:rPr>
        <w:t xml:space="preserve"> hua nga publiku i gjer</w:t>
      </w:r>
      <w:r>
        <w:rPr>
          <w:i/>
          <w:lang w:val="en-US"/>
        </w:rPr>
        <w:t>ë</w:t>
      </w:r>
      <w:r w:rsidR="003B5204">
        <w:rPr>
          <w:i/>
          <w:lang w:val="en-US"/>
        </w:rPr>
        <w:t xml:space="preserve">, nr. 8471 </w:t>
      </w:r>
      <w:r w:rsidRPr="00C97002">
        <w:rPr>
          <w:i/>
          <w:lang w:val="en-US"/>
        </w:rPr>
        <w:t>dat</w:t>
      </w:r>
      <w:r>
        <w:rPr>
          <w:i/>
          <w:lang w:val="en-US"/>
        </w:rPr>
        <w:t>ë</w:t>
      </w:r>
      <w:r w:rsidRPr="00C97002">
        <w:rPr>
          <w:i/>
          <w:lang w:val="en-US"/>
        </w:rPr>
        <w:t xml:space="preserve"> 8 Prill 1999)</w:t>
      </w:r>
    </w:p>
    <w:p w:rsidR="006F4ACB" w:rsidRDefault="006F4ACB" w:rsidP="000409D4">
      <w:pPr>
        <w:pStyle w:val="paragrafi"/>
        <w:numPr>
          <w:ilvl w:val="0"/>
          <w:numId w:val="1"/>
        </w:numPr>
        <w:ind w:left="0" w:firstLine="360"/>
        <w:jc w:val="both"/>
        <w:rPr>
          <w:lang w:val="en-US"/>
        </w:rPr>
      </w:pPr>
      <w:r>
        <w:rPr>
          <w:lang w:val="en-US"/>
        </w:rPr>
        <w:t xml:space="preserve">Neni 4 parashikonte se administratorët duhej të identifikonin të gjithë personat fizikë e juridikë që kishin detyrime debitore ndaj personave jo-bankarë subjekt i Ligjit për Kontrollin Financiar të Personave Juridikë Jo-bankarë. Sipas nenit 5 administratorët duhej të miratonin një vendim </w:t>
      </w:r>
      <w:r w:rsidR="006103F2">
        <w:rPr>
          <w:lang w:val="en-US"/>
        </w:rPr>
        <w:t>për personat që do të deklarohes</w:t>
      </w:r>
      <w:r>
        <w:rPr>
          <w:lang w:val="en-US"/>
        </w:rPr>
        <w:t xml:space="preserve">hin debitorë dhe vlerat financiare dhe pasurore debitore që ato duhej të kthenin në llogaritë bankare të personave juridikë jo-bankarë. Ky vendim përbënte një </w:t>
      </w:r>
      <w:r w:rsidR="00FB06EA" w:rsidRPr="003275B7">
        <w:rPr>
          <w:lang w:val="en-US"/>
        </w:rPr>
        <w:t>titull</w:t>
      </w:r>
      <w:r w:rsidRPr="003275B7">
        <w:rPr>
          <w:lang w:val="en-US"/>
        </w:rPr>
        <w:t xml:space="preserve"> ekzekutiv</w:t>
      </w:r>
      <w:r>
        <w:rPr>
          <w:lang w:val="en-US"/>
        </w:rPr>
        <w:t xml:space="preserve"> dhe ishte i zbatueshëm. Neni 7 i lejonte debitorëve 45 ditë afat nga data e njoftimit të vendimit të administratorëve për të përmbushur detyrimet e tyre; dështimi i debitorëve për të përmbushur detyrimin, rezultonte në ekzekutim</w:t>
      </w:r>
      <w:r w:rsidR="003275B7">
        <w:rPr>
          <w:lang w:val="en-US"/>
        </w:rPr>
        <w:t>in e</w:t>
      </w:r>
      <w:r>
        <w:rPr>
          <w:lang w:val="en-US"/>
        </w:rPr>
        <w:t xml:space="preserve"> detyrueshëm nga zyra e përmbarimit.</w:t>
      </w:r>
    </w:p>
    <w:p w:rsidR="006F4ACB" w:rsidRDefault="006F4ACB" w:rsidP="000409D4">
      <w:pPr>
        <w:pStyle w:val="paragrafi"/>
        <w:numPr>
          <w:ilvl w:val="0"/>
          <w:numId w:val="1"/>
        </w:numPr>
        <w:ind w:left="0" w:firstLine="360"/>
        <w:jc w:val="both"/>
        <w:rPr>
          <w:lang w:val="en-US"/>
        </w:rPr>
      </w:pPr>
      <w:r>
        <w:rPr>
          <w:lang w:val="en-US"/>
        </w:rPr>
        <w:t>Sipas nenit 8, pala e dëmtuar kishte të drejtën të kundërshtonte vendimin e administratorëve dhe veprim</w:t>
      </w:r>
      <w:r w:rsidR="003275B7">
        <w:rPr>
          <w:lang w:val="en-US"/>
        </w:rPr>
        <w:t>et e zyrës së përmbarimit</w:t>
      </w:r>
      <w:r>
        <w:rPr>
          <w:lang w:val="en-US"/>
        </w:rPr>
        <w:t xml:space="preserve"> </w:t>
      </w:r>
      <w:r w:rsidR="003275B7">
        <w:rPr>
          <w:lang w:val="en-US"/>
        </w:rPr>
        <w:t xml:space="preserve">para Gjykatës së Apelit </w:t>
      </w:r>
      <w:r>
        <w:rPr>
          <w:lang w:val="en-US"/>
        </w:rPr>
        <w:t xml:space="preserve">respektivisht </w:t>
      </w:r>
      <w:r w:rsidR="003275B7">
        <w:rPr>
          <w:lang w:val="en-US"/>
        </w:rPr>
        <w:t>brenda dhjetë dhe pesë ditëve</w:t>
      </w:r>
      <w:r>
        <w:rPr>
          <w:lang w:val="en-US"/>
        </w:rPr>
        <w:t>.</w:t>
      </w:r>
    </w:p>
    <w:p w:rsidR="006F4ACB" w:rsidRPr="009B1F9F" w:rsidRDefault="006F4ACB" w:rsidP="006F4ACB">
      <w:pPr>
        <w:pStyle w:val="paragrafi"/>
        <w:jc w:val="both"/>
        <w:rPr>
          <w:b/>
          <w:lang w:val="en-US"/>
        </w:rPr>
      </w:pPr>
      <w:r w:rsidRPr="009B1F9F">
        <w:rPr>
          <w:b/>
          <w:lang w:val="en-US"/>
        </w:rPr>
        <w:t>Vendimi i administrator</w:t>
      </w:r>
      <w:r>
        <w:rPr>
          <w:b/>
          <w:lang w:val="en-US"/>
        </w:rPr>
        <w:t>ë</w:t>
      </w:r>
      <w:r w:rsidRPr="009B1F9F">
        <w:rPr>
          <w:b/>
          <w:lang w:val="en-US"/>
        </w:rPr>
        <w:t>ve nr. 30 dat</w:t>
      </w:r>
      <w:r>
        <w:rPr>
          <w:b/>
          <w:lang w:val="en-US"/>
        </w:rPr>
        <w:t>ë</w:t>
      </w:r>
      <w:r w:rsidRPr="009B1F9F">
        <w:rPr>
          <w:b/>
          <w:lang w:val="en-US"/>
        </w:rPr>
        <w:t xml:space="preserve"> 31 Gusht 1999</w:t>
      </w:r>
    </w:p>
    <w:p w:rsidR="006F4ACB" w:rsidRDefault="006F4ACB" w:rsidP="000409D4">
      <w:pPr>
        <w:pStyle w:val="paragrafi"/>
        <w:numPr>
          <w:ilvl w:val="0"/>
          <w:numId w:val="1"/>
        </w:numPr>
        <w:ind w:left="0" w:firstLine="360"/>
        <w:jc w:val="both"/>
        <w:rPr>
          <w:lang w:val="en-US"/>
        </w:rPr>
      </w:pPr>
      <w:r>
        <w:rPr>
          <w:lang w:val="en-US"/>
        </w:rPr>
        <w:t>Më 31 Gusht 1999 administratorët e shoqërisë ankuese miratuan një vendim në lidhje me emrat e debitorëve të shoqërisë. Vendimit iu shtua një listë me emrat e 25 debitorëve dhe detyrimet e tyre debitore përkatëse. Në listë përfshihej emri i ankuesit individual me një detyrim debitor në shumën 171,924,300 lekë Shqiptare (</w:t>
      </w:r>
      <w:r w:rsidR="00645A2C">
        <w:rPr>
          <w:lang w:val="en-US"/>
        </w:rPr>
        <w:t>për</w:t>
      </w:r>
      <w:r>
        <w:rPr>
          <w:lang w:val="en-US"/>
        </w:rPr>
        <w:t xml:space="preserve">afërsisht 1,204,380 euro).  </w:t>
      </w:r>
    </w:p>
    <w:p w:rsidR="006F4ACB" w:rsidRDefault="006F4ACB" w:rsidP="006F4ACB">
      <w:pPr>
        <w:pStyle w:val="paragrafi"/>
        <w:jc w:val="both"/>
        <w:rPr>
          <w:lang w:val="en-US"/>
        </w:rPr>
      </w:pPr>
    </w:p>
    <w:p w:rsidR="007B4475" w:rsidRDefault="007B4475" w:rsidP="006F4ACB">
      <w:pPr>
        <w:pStyle w:val="paragrafi"/>
        <w:jc w:val="both"/>
        <w:rPr>
          <w:b/>
          <w:lang w:val="en-US"/>
        </w:rPr>
      </w:pPr>
    </w:p>
    <w:p w:rsidR="006F4ACB" w:rsidRPr="0088463F" w:rsidRDefault="006F4ACB" w:rsidP="006F4ACB">
      <w:pPr>
        <w:pStyle w:val="paragrafi"/>
        <w:jc w:val="both"/>
        <w:rPr>
          <w:b/>
          <w:lang w:val="en-US"/>
        </w:rPr>
      </w:pPr>
      <w:r w:rsidRPr="009D3A2F">
        <w:rPr>
          <w:b/>
          <w:lang w:val="en-US"/>
        </w:rPr>
        <w:t>ANKIMI</w:t>
      </w:r>
    </w:p>
    <w:p w:rsidR="006F4ACB" w:rsidRDefault="006F4ACB" w:rsidP="000409D4">
      <w:pPr>
        <w:pStyle w:val="paragrafi"/>
        <w:numPr>
          <w:ilvl w:val="0"/>
          <w:numId w:val="1"/>
        </w:numPr>
        <w:ind w:left="0" w:firstLine="360"/>
        <w:jc w:val="both"/>
        <w:rPr>
          <w:lang w:val="en-US"/>
        </w:rPr>
      </w:pPr>
      <w:r>
        <w:rPr>
          <w:lang w:val="en-US"/>
        </w:rPr>
        <w:t xml:space="preserve">Ankuesit u ankuan sipas Nenit 1 të Protokollit </w:t>
      </w:r>
      <w:r w:rsidR="00605D13">
        <w:rPr>
          <w:lang w:val="en-US"/>
        </w:rPr>
        <w:t>Nr. 1</w:t>
      </w:r>
      <w:r>
        <w:rPr>
          <w:lang w:val="en-US"/>
        </w:rPr>
        <w:t>të Kon</w:t>
      </w:r>
      <w:r w:rsidR="00605D13">
        <w:rPr>
          <w:lang w:val="en-US"/>
        </w:rPr>
        <w:t>ventës për ndërhyrjen e pajustifikuar</w:t>
      </w:r>
      <w:r>
        <w:rPr>
          <w:lang w:val="en-US"/>
        </w:rPr>
        <w:t xml:space="preserve"> të Shtetit në gëzimin paqësor të zotërimeve të tyre dhe shmangien e gjyqësorit në mbikëqyrjen e veprimeve të Shtetit.</w:t>
      </w:r>
    </w:p>
    <w:p w:rsidR="006F4ACB" w:rsidRPr="0088463F" w:rsidRDefault="006F4ACB" w:rsidP="006F4ACB">
      <w:pPr>
        <w:pStyle w:val="paragrafi"/>
        <w:jc w:val="both"/>
        <w:rPr>
          <w:b/>
          <w:lang w:val="en-US"/>
        </w:rPr>
      </w:pPr>
      <w:r w:rsidRPr="0088463F">
        <w:rPr>
          <w:b/>
          <w:lang w:val="en-US"/>
        </w:rPr>
        <w:t>E DREJTA</w:t>
      </w:r>
    </w:p>
    <w:p w:rsidR="006F4ACB" w:rsidRDefault="006F4ACB" w:rsidP="000409D4">
      <w:pPr>
        <w:pStyle w:val="paragrafi"/>
        <w:numPr>
          <w:ilvl w:val="0"/>
          <w:numId w:val="1"/>
        </w:numPr>
        <w:jc w:val="both"/>
        <w:rPr>
          <w:lang w:val="en-US"/>
        </w:rPr>
      </w:pPr>
      <w:r>
        <w:rPr>
          <w:lang w:val="en-US"/>
        </w:rPr>
        <w:t>Ankuesit u ankuan për shkelje të Nenit 1 të Protokollit Nr. 1 të Konventës.</w:t>
      </w:r>
    </w:p>
    <w:p w:rsidR="006F4ACB" w:rsidRDefault="006F4ACB" w:rsidP="006F4ACB">
      <w:pPr>
        <w:pStyle w:val="paragrafi"/>
        <w:jc w:val="both"/>
        <w:rPr>
          <w:lang w:val="en-US"/>
        </w:rPr>
      </w:pPr>
    </w:p>
    <w:p w:rsidR="006F4ACB" w:rsidRPr="00894349" w:rsidRDefault="006F4ACB" w:rsidP="000409D4">
      <w:pPr>
        <w:pStyle w:val="paragrafi"/>
        <w:numPr>
          <w:ilvl w:val="0"/>
          <w:numId w:val="5"/>
        </w:numPr>
        <w:jc w:val="both"/>
        <w:rPr>
          <w:b/>
          <w:lang w:val="en-US"/>
        </w:rPr>
      </w:pPr>
      <w:r w:rsidRPr="00894349">
        <w:rPr>
          <w:b/>
          <w:lang w:val="en-US"/>
        </w:rPr>
        <w:lastRenderedPageBreak/>
        <w:t>Parashtrimet e pal</w:t>
      </w:r>
      <w:r>
        <w:rPr>
          <w:b/>
          <w:lang w:val="en-US"/>
        </w:rPr>
        <w:t>ë</w:t>
      </w:r>
      <w:r w:rsidRPr="00894349">
        <w:rPr>
          <w:b/>
          <w:lang w:val="en-US"/>
        </w:rPr>
        <w:t>ve</w:t>
      </w:r>
    </w:p>
    <w:p w:rsidR="006F4ACB" w:rsidRPr="00894349" w:rsidRDefault="006F4ACB" w:rsidP="006F4ACB">
      <w:pPr>
        <w:pStyle w:val="paragrafi"/>
        <w:ind w:left="360"/>
        <w:jc w:val="both"/>
        <w:rPr>
          <w:i/>
          <w:lang w:val="en-US"/>
        </w:rPr>
      </w:pPr>
      <w:r w:rsidRPr="00894349">
        <w:rPr>
          <w:i/>
          <w:lang w:val="en-US"/>
        </w:rPr>
        <w:t>1. Qeveria</w:t>
      </w:r>
    </w:p>
    <w:p w:rsidR="006F4ACB" w:rsidRDefault="006F4ACB" w:rsidP="000409D4">
      <w:pPr>
        <w:pStyle w:val="paragrafi"/>
        <w:numPr>
          <w:ilvl w:val="0"/>
          <w:numId w:val="1"/>
        </w:numPr>
        <w:ind w:left="0" w:firstLine="360"/>
        <w:jc w:val="both"/>
        <w:rPr>
          <w:lang w:val="en-US"/>
        </w:rPr>
      </w:pPr>
      <w:r>
        <w:rPr>
          <w:lang w:val="en-US"/>
        </w:rPr>
        <w:t>Qeveria argumentoi se, meqe</w:t>
      </w:r>
      <w:r w:rsidR="00443CAE">
        <w:rPr>
          <w:lang w:val="en-US"/>
        </w:rPr>
        <w:t>nëse shoqëria ankuese ishte në a</w:t>
      </w:r>
      <w:r>
        <w:rPr>
          <w:lang w:val="en-US"/>
        </w:rPr>
        <w:t>dministrim, as shoqëria dhe as ankuesi nuk mund të pretendonin se ishin “viktimë” në kuptim të Nenit 34 të Konventës. Për më tepër, ankuesi individual kishte detyrime ndaj kompanisë.</w:t>
      </w:r>
    </w:p>
    <w:p w:rsidR="006F4ACB" w:rsidRDefault="006F4ACB" w:rsidP="000409D4">
      <w:pPr>
        <w:pStyle w:val="paragrafi"/>
        <w:numPr>
          <w:ilvl w:val="0"/>
          <w:numId w:val="1"/>
        </w:numPr>
        <w:ind w:left="0" w:firstLine="360"/>
        <w:jc w:val="both"/>
        <w:rPr>
          <w:lang w:val="en-US"/>
        </w:rPr>
      </w:pPr>
      <w:r>
        <w:rPr>
          <w:lang w:val="en-US"/>
        </w:rPr>
        <w:t xml:space="preserve">Sipas mendimit të Qeverisë, ankuesi individual nuk kishte kundërshtuar vendimin e Qeverisë të datës 28 Tetor 1997 (shih paragrafin 12 më lart). Akuza e tij kundër vendimit të datës 22 Korrik 1997 kishte provuar se ishte efektive për këtë qëllim. Për më tepër, ai nuk kishte kundërshtuar të njëjtin vendim në përputhje me nenin 326 të Kodit të Procedurës Civile, </w:t>
      </w:r>
      <w:r w:rsidR="00443CAE">
        <w:rPr>
          <w:lang w:val="en-US"/>
        </w:rPr>
        <w:t>dhe as nuk kishte depozituar</w:t>
      </w:r>
      <w:r>
        <w:rPr>
          <w:lang w:val="en-US"/>
        </w:rPr>
        <w:t xml:space="preserve"> ankim kushtetues në përputhje me Ligjin e Gjykatës Kushtetuese. Nëse do të kishte vepruar kështu, gjykatat vendase do të kishin miratuar një vendim për ligjshmërinë e ndërhyrjes së Shtetit. Për arsyet e mësipërme</w:t>
      </w:r>
      <w:r w:rsidR="00855F1F">
        <w:rPr>
          <w:lang w:val="en-US"/>
        </w:rPr>
        <w:t>,</w:t>
      </w:r>
      <w:r>
        <w:rPr>
          <w:lang w:val="en-US"/>
        </w:rPr>
        <w:t xml:space="preserve"> Qeveria vlerësoi se ankimi ishte pa</w:t>
      </w:r>
      <w:r w:rsidR="00F34B53">
        <w:rPr>
          <w:lang w:val="en-US"/>
        </w:rPr>
        <w:t xml:space="preserve">rashtruar jashtë afatit gjashtë </w:t>
      </w:r>
      <w:r>
        <w:rPr>
          <w:lang w:val="en-US"/>
        </w:rPr>
        <w:t>mujor.</w:t>
      </w:r>
    </w:p>
    <w:p w:rsidR="006F4ACB" w:rsidRDefault="006F4ACB" w:rsidP="000409D4">
      <w:pPr>
        <w:pStyle w:val="paragrafi"/>
        <w:numPr>
          <w:ilvl w:val="0"/>
          <w:numId w:val="1"/>
        </w:numPr>
        <w:ind w:left="0" w:firstLine="360"/>
        <w:jc w:val="both"/>
        <w:rPr>
          <w:lang w:val="en-US"/>
        </w:rPr>
      </w:pPr>
      <w:r>
        <w:rPr>
          <w:lang w:val="en-US"/>
        </w:rPr>
        <w:t xml:space="preserve">Qeveria parashtroi se shoqëria ankuese nuk kishte zotërime ekzistuese në kuptim të Nenit 1 të Protokollit </w:t>
      </w:r>
      <w:r w:rsidR="00F34B53">
        <w:rPr>
          <w:lang w:val="en-US"/>
        </w:rPr>
        <w:t xml:space="preserve">Nr. 1 </w:t>
      </w:r>
      <w:r>
        <w:rPr>
          <w:lang w:val="en-US"/>
        </w:rPr>
        <w:t>të Konventës. Sipas mendimit të saj, Neni 1 i Protokollit Nr. 1 mbronte të drejtën e pronës në lidhje me asetet që rridhnin nga të drejtat legjitime të individëve dhe jo asetet e prokuruara në mënyrë të paligjshme duke u bazuar në përvetësimin e padrejtë të të tjerëve. Pjesa më e ma</w:t>
      </w:r>
      <w:r w:rsidR="00855F1F">
        <w:rPr>
          <w:lang w:val="en-US"/>
        </w:rPr>
        <w:t>dhe e aseteve të shoqërisë ishte</w:t>
      </w:r>
      <w:r>
        <w:rPr>
          <w:lang w:val="en-US"/>
        </w:rPr>
        <w:t xml:space="preserve"> krijuar duke u bazuar në paratë e marra hua nga kreditorët duke pasur parasysh se shoqëria</w:t>
      </w:r>
      <w:r w:rsidR="00F34B53">
        <w:rPr>
          <w:lang w:val="en-US"/>
        </w:rPr>
        <w:t xml:space="preserve"> nuk funksiononte</w:t>
      </w:r>
      <w:r>
        <w:rPr>
          <w:lang w:val="en-US"/>
        </w:rPr>
        <w:t xml:space="preserve"> me përfitim.</w:t>
      </w:r>
    </w:p>
    <w:p w:rsidR="006F4ACB" w:rsidRPr="00B41AC6" w:rsidRDefault="006F4ACB" w:rsidP="007B4475">
      <w:pPr>
        <w:pStyle w:val="paragrafi"/>
        <w:ind w:firstLine="360"/>
        <w:jc w:val="both"/>
        <w:rPr>
          <w:i/>
          <w:lang w:val="en-US"/>
        </w:rPr>
      </w:pPr>
      <w:r w:rsidRPr="00B41AC6">
        <w:rPr>
          <w:i/>
          <w:lang w:val="en-US"/>
        </w:rPr>
        <w:t>2. Ankuesit</w:t>
      </w:r>
    </w:p>
    <w:p w:rsidR="006F4ACB" w:rsidRDefault="006F4ACB" w:rsidP="000409D4">
      <w:pPr>
        <w:pStyle w:val="paragrafi"/>
        <w:numPr>
          <w:ilvl w:val="0"/>
          <w:numId w:val="1"/>
        </w:numPr>
        <w:ind w:left="0" w:firstLine="360"/>
        <w:jc w:val="both"/>
        <w:rPr>
          <w:lang w:val="en-US"/>
        </w:rPr>
      </w:pPr>
      <w:r>
        <w:rPr>
          <w:lang w:val="en-US"/>
        </w:rPr>
        <w:t>Ankuesit parashtruan se çdo përpjekje për të kundërshtuar vendimin e Qeverisë të datës 28 Tetor 1997 do të ishte e paefektshme duke pasur parasysh zëvendësimin e g</w:t>
      </w:r>
      <w:r w:rsidR="00F34B53">
        <w:rPr>
          <w:lang w:val="en-US"/>
        </w:rPr>
        <w:t>jyqësorit nga Qeveria në vëni</w:t>
      </w:r>
      <w:r>
        <w:rPr>
          <w:lang w:val="en-US"/>
        </w:rPr>
        <w:t xml:space="preserve">en e shoqërisë ankuese në administrim të detyruar. Ato theksuan vendimin e Gjykatës së Apelit të datës 17 Shtator 1997, të cilin Qeveria </w:t>
      </w:r>
      <w:r w:rsidR="00F34B53">
        <w:rPr>
          <w:lang w:val="en-US"/>
        </w:rPr>
        <w:t xml:space="preserve">nuk e kishte marrë parasysh </w:t>
      </w:r>
      <w:r>
        <w:rPr>
          <w:lang w:val="en-US"/>
        </w:rPr>
        <w:t>duke caktuar të njëjtët administrator</w:t>
      </w:r>
      <w:r w:rsidR="00F34B53">
        <w:rPr>
          <w:lang w:val="en-US"/>
        </w:rPr>
        <w:t>ë</w:t>
      </w:r>
      <w:r>
        <w:rPr>
          <w:lang w:val="en-US"/>
        </w:rPr>
        <w:t xml:space="preserve">, në kundërshtim me konstatimet e gjykatës. Për më tepër, aktet ligjore në fuqi, </w:t>
      </w:r>
      <w:r w:rsidR="00A279A7">
        <w:rPr>
          <w:lang w:val="en-US"/>
        </w:rPr>
        <w:t>nuk i ngarkonin administratorët me përgjegjësi për ndonjë</w:t>
      </w:r>
      <w:r>
        <w:rPr>
          <w:lang w:val="en-US"/>
        </w:rPr>
        <w:t xml:space="preserve"> dëm të pariparueshëm shkaktuar shoqërisë gjatë kryerjes së detyrave të tyre.  </w:t>
      </w:r>
    </w:p>
    <w:p w:rsidR="006F4ACB" w:rsidRDefault="006F4ACB" w:rsidP="000409D4">
      <w:pPr>
        <w:pStyle w:val="paragrafi"/>
        <w:numPr>
          <w:ilvl w:val="0"/>
          <w:numId w:val="1"/>
        </w:numPr>
        <w:ind w:left="0" w:firstLine="360"/>
        <w:jc w:val="both"/>
        <w:rPr>
          <w:lang w:val="en-US"/>
        </w:rPr>
      </w:pPr>
      <w:r>
        <w:rPr>
          <w:lang w:val="en-US"/>
        </w:rPr>
        <w:t xml:space="preserve">  Ankuesit deklaruan se vendimi i Gjykatës Kushtet</w:t>
      </w:r>
      <w:r w:rsidR="00244BDE">
        <w:rPr>
          <w:lang w:val="en-US"/>
        </w:rPr>
        <w:t xml:space="preserve">uese i datës 13 Nëntor 1997 në </w:t>
      </w:r>
      <w:r>
        <w:rPr>
          <w:lang w:val="en-US"/>
        </w:rPr>
        <w:t xml:space="preserve">favor të tyre </w:t>
      </w:r>
      <w:r w:rsidR="00244BDE">
        <w:rPr>
          <w:lang w:val="en-US"/>
        </w:rPr>
        <w:t xml:space="preserve">nuk ishte </w:t>
      </w:r>
      <w:r w:rsidR="00FB06EA" w:rsidRPr="00244BDE">
        <w:rPr>
          <w:lang w:val="en-US"/>
        </w:rPr>
        <w:t>respektuar</w:t>
      </w:r>
      <w:r>
        <w:rPr>
          <w:lang w:val="en-US"/>
        </w:rPr>
        <w:t xml:space="preserve"> nga Qeveria. Gjashtë ditë pas vendimit të gjykatës</w:t>
      </w:r>
      <w:r w:rsidR="00244BDE">
        <w:rPr>
          <w:lang w:val="en-US"/>
        </w:rPr>
        <w:t>,</w:t>
      </w:r>
      <w:r>
        <w:rPr>
          <w:lang w:val="en-US"/>
        </w:rPr>
        <w:t xml:space="preserve"> Qeveria kishte ndryshuar Ligjin për Dispozitat Kryesore Kushtetuese dhe kishte </w:t>
      </w:r>
      <w:r w:rsidRPr="00244BDE">
        <w:rPr>
          <w:lang w:val="en-US"/>
        </w:rPr>
        <w:t>ri</w:t>
      </w:r>
      <w:r w:rsidR="00FB06EA" w:rsidRPr="00244BDE">
        <w:rPr>
          <w:lang w:val="en-US"/>
        </w:rPr>
        <w:t>futur</w:t>
      </w:r>
      <w:r w:rsidRPr="00244BDE">
        <w:rPr>
          <w:lang w:val="en-US"/>
        </w:rPr>
        <w:t xml:space="preserve"> </w:t>
      </w:r>
      <w:r>
        <w:rPr>
          <w:lang w:val="en-US"/>
        </w:rPr>
        <w:t>të njëjtën dispozitë që ishte deklaruar jokushtetuese nga ajo gjykatë. Pr</w:t>
      </w:r>
      <w:r w:rsidR="00855F1F">
        <w:rPr>
          <w:lang w:val="en-US"/>
        </w:rPr>
        <w:t>andaj ankuesit pretenduan</w:t>
      </w:r>
      <w:r>
        <w:rPr>
          <w:lang w:val="en-US"/>
        </w:rPr>
        <w:t xml:space="preserve"> se veprimet e Qeverisë dhe legjislacioni i kishin bërë mjetet ligjore vendase të paefektshme. </w:t>
      </w:r>
    </w:p>
    <w:p w:rsidR="006F4ACB" w:rsidRPr="00060CCB" w:rsidRDefault="006F4ACB" w:rsidP="000409D4">
      <w:pPr>
        <w:pStyle w:val="paragrafi"/>
        <w:numPr>
          <w:ilvl w:val="0"/>
          <w:numId w:val="1"/>
        </w:numPr>
        <w:ind w:left="0" w:firstLine="360"/>
        <w:jc w:val="both"/>
        <w:rPr>
          <w:lang w:val="en-US"/>
        </w:rPr>
      </w:pPr>
      <w:r>
        <w:rPr>
          <w:lang w:val="en-US"/>
        </w:rPr>
        <w:t xml:space="preserve">  Përsa i përket raportit të administratorëve të </w:t>
      </w:r>
      <w:r w:rsidR="00244BDE">
        <w:rPr>
          <w:lang w:val="en-US"/>
        </w:rPr>
        <w:t>datës 31 Janar 1998 dhe raportit të</w:t>
      </w:r>
      <w:r>
        <w:rPr>
          <w:lang w:val="en-US"/>
        </w:rPr>
        <w:t xml:space="preserve"> kontrollit financiar të datës 5 Janar 1999, ankuesit deklaruan se ato nuk ishin njoftuar për përmbajtjen e tyre deri në konstatimet e komisionit hetimor parlamentar të vitit 2003. Edhe nëse ato do të njoftoheshin dhe do të kundërshto</w:t>
      </w:r>
      <w:r w:rsidR="00052098">
        <w:rPr>
          <w:lang w:val="en-US"/>
        </w:rPr>
        <w:t>nin këto konstatime, përsëri</w:t>
      </w:r>
      <w:r>
        <w:rPr>
          <w:lang w:val="en-US"/>
        </w:rPr>
        <w:t xml:space="preserve"> nuk do të </w:t>
      </w:r>
      <w:r w:rsidRPr="00060CCB">
        <w:rPr>
          <w:lang w:val="en-US"/>
        </w:rPr>
        <w:t xml:space="preserve">kishin një perspektivë të arsyeshme për sukses. </w:t>
      </w:r>
    </w:p>
    <w:p w:rsidR="006F4ACB" w:rsidRDefault="006F4ACB" w:rsidP="000409D4">
      <w:pPr>
        <w:pStyle w:val="paragrafi"/>
        <w:numPr>
          <w:ilvl w:val="0"/>
          <w:numId w:val="1"/>
        </w:numPr>
        <w:ind w:left="0" w:firstLine="360"/>
        <w:jc w:val="both"/>
        <w:rPr>
          <w:lang w:val="en-US"/>
        </w:rPr>
      </w:pPr>
      <w:r>
        <w:rPr>
          <w:lang w:val="en-US"/>
        </w:rPr>
        <w:t xml:space="preserve">  Më tej, ankuesit parashtruan se, me hyrjen në fuqi të Kushtetutës, ato kishin kundërshtuar në mënyrë të pasukseshme kushtetueshmërinë e Ligjit për Kontrollin Financiar të Personav</w:t>
      </w:r>
      <w:r w:rsidR="00052098">
        <w:rPr>
          <w:lang w:val="en-US"/>
        </w:rPr>
        <w:t>e Juridikë Jo-bankarë dhe Ligjit</w:t>
      </w:r>
      <w:r>
        <w:rPr>
          <w:lang w:val="en-US"/>
        </w:rPr>
        <w:t xml:space="preserve"> për Shitjen e Pasurisë së Personave Juridikë Jo-bankarë. </w:t>
      </w:r>
    </w:p>
    <w:p w:rsidR="007B4475" w:rsidRDefault="007B4475">
      <w:pPr>
        <w:suppressAutoHyphens w:val="0"/>
        <w:spacing w:after="200" w:line="276" w:lineRule="auto"/>
        <w:rPr>
          <w:b/>
          <w:szCs w:val="24"/>
          <w:lang w:val="en-US" w:eastAsia="de-AT"/>
        </w:rPr>
      </w:pPr>
      <w:r>
        <w:rPr>
          <w:b/>
          <w:lang w:val="en-US"/>
        </w:rPr>
        <w:br w:type="page"/>
      </w:r>
    </w:p>
    <w:p w:rsidR="006F4ACB" w:rsidRPr="00B7347C" w:rsidRDefault="006F4ACB" w:rsidP="006F4ACB">
      <w:pPr>
        <w:pStyle w:val="paragrafi"/>
        <w:jc w:val="both"/>
        <w:rPr>
          <w:b/>
          <w:lang w:val="en-US"/>
        </w:rPr>
      </w:pPr>
      <w:r w:rsidRPr="00B7347C">
        <w:rPr>
          <w:b/>
          <w:lang w:val="en-US"/>
        </w:rPr>
        <w:lastRenderedPageBreak/>
        <w:t>B. Vler</w:t>
      </w:r>
      <w:r>
        <w:rPr>
          <w:b/>
          <w:lang w:val="en-US"/>
        </w:rPr>
        <w:t>ë</w:t>
      </w:r>
      <w:r w:rsidRPr="00B7347C">
        <w:rPr>
          <w:b/>
          <w:lang w:val="en-US"/>
        </w:rPr>
        <w:t>simi i Gjykat</w:t>
      </w:r>
      <w:r>
        <w:rPr>
          <w:b/>
          <w:lang w:val="en-US"/>
        </w:rPr>
        <w:t>ë</w:t>
      </w:r>
      <w:r w:rsidRPr="00B7347C">
        <w:rPr>
          <w:b/>
          <w:lang w:val="en-US"/>
        </w:rPr>
        <w:t>s</w:t>
      </w:r>
    </w:p>
    <w:p w:rsidR="006F4ACB" w:rsidRPr="00B7347C" w:rsidRDefault="006F4ACB" w:rsidP="006F4ACB">
      <w:pPr>
        <w:pStyle w:val="paragrafi"/>
        <w:jc w:val="both"/>
        <w:rPr>
          <w:i/>
          <w:lang w:val="en-US"/>
        </w:rPr>
      </w:pPr>
      <w:r w:rsidRPr="00B7347C">
        <w:rPr>
          <w:i/>
          <w:lang w:val="en-US"/>
        </w:rPr>
        <w:t>1. Papajtueshm</w:t>
      </w:r>
      <w:r>
        <w:rPr>
          <w:i/>
          <w:lang w:val="en-US"/>
        </w:rPr>
        <w:t>ë</w:t>
      </w:r>
      <w:r w:rsidRPr="00B7347C">
        <w:rPr>
          <w:i/>
          <w:lang w:val="en-US"/>
        </w:rPr>
        <w:t>ria e pretenduar ratione personae dhe ratione materiae</w:t>
      </w:r>
    </w:p>
    <w:p w:rsidR="006F4ACB" w:rsidRDefault="00855F1F" w:rsidP="000409D4">
      <w:pPr>
        <w:pStyle w:val="paragrafi"/>
        <w:numPr>
          <w:ilvl w:val="0"/>
          <w:numId w:val="1"/>
        </w:numPr>
        <w:spacing w:before="0" w:beforeAutospacing="0"/>
        <w:ind w:left="0" w:firstLine="360"/>
        <w:jc w:val="both"/>
        <w:rPr>
          <w:color w:val="000000" w:themeColor="text1"/>
          <w:lang w:val="en-US"/>
        </w:rPr>
      </w:pPr>
      <w:r>
        <w:rPr>
          <w:lang w:val="en-US"/>
        </w:rPr>
        <w:t xml:space="preserve">  Gjykata përsërit se</w:t>
      </w:r>
      <w:r w:rsidR="006F4ACB">
        <w:rPr>
          <w:lang w:val="en-US"/>
        </w:rPr>
        <w:t xml:space="preserve"> termi “viktimë” në nenin 34 të Konventës tregon </w:t>
      </w:r>
      <w:r w:rsidR="006A7784">
        <w:rPr>
          <w:lang w:val="en-US"/>
        </w:rPr>
        <w:t>personin e prekur drejtpërdrejt</w:t>
      </w:r>
      <w:r w:rsidR="006F4ACB">
        <w:rPr>
          <w:lang w:val="en-US"/>
        </w:rPr>
        <w:t xml:space="preserve"> nga ligji apo </w:t>
      </w:r>
      <w:r w:rsidR="006F4ACB" w:rsidRPr="0046417D">
        <w:rPr>
          <w:color w:val="000000" w:themeColor="text1"/>
          <w:lang w:val="en-US"/>
        </w:rPr>
        <w:t xml:space="preserve">mosveprimi i tij </w:t>
      </w:r>
      <w:r w:rsidR="006F4ACB">
        <w:rPr>
          <w:color w:val="000000" w:themeColor="text1"/>
          <w:lang w:val="en-US"/>
        </w:rPr>
        <w:t xml:space="preserve">për çështjen </w:t>
      </w:r>
      <w:r w:rsidR="006F4ACB" w:rsidRPr="0046417D">
        <w:rPr>
          <w:color w:val="000000" w:themeColor="text1"/>
          <w:lang w:val="en-US"/>
        </w:rPr>
        <w:t>n</w:t>
      </w:r>
      <w:r w:rsidR="006F4ACB">
        <w:rPr>
          <w:color w:val="000000" w:themeColor="text1"/>
          <w:lang w:val="en-US"/>
        </w:rPr>
        <w:t xml:space="preserve">ë shqyrtim (shih </w:t>
      </w:r>
      <w:r w:rsidR="006F4ACB" w:rsidRPr="00641569">
        <w:rPr>
          <w:i/>
          <w:color w:val="000000" w:themeColor="text1"/>
          <w:lang w:val="en-US"/>
        </w:rPr>
        <w:t>Eckle k. Gjermanis</w:t>
      </w:r>
      <w:r w:rsidR="006F4ACB">
        <w:rPr>
          <w:i/>
          <w:color w:val="000000" w:themeColor="text1"/>
          <w:lang w:val="en-US"/>
        </w:rPr>
        <w:t>ë</w:t>
      </w:r>
      <w:r w:rsidR="006F4ACB">
        <w:rPr>
          <w:color w:val="000000" w:themeColor="text1"/>
          <w:lang w:val="en-US"/>
        </w:rPr>
        <w:t xml:space="preserve">, 15 Korrik 1982, </w:t>
      </w:r>
      <w:r w:rsidR="006F4ACB" w:rsidRPr="000A7ADF">
        <w:rPr>
          <w:lang w:val="sq-AL"/>
        </w:rPr>
        <w:t>§</w:t>
      </w:r>
      <w:r w:rsidR="006F4ACB">
        <w:rPr>
          <w:color w:val="000000" w:themeColor="text1"/>
          <w:lang w:val="en-US"/>
        </w:rPr>
        <w:t xml:space="preserve"> 66, Seria A nr. 51). Në vendimin e saj </w:t>
      </w:r>
      <w:r w:rsidR="006F4ACB">
        <w:rPr>
          <w:i/>
          <w:color w:val="000000" w:themeColor="text1"/>
          <w:lang w:val="en-US"/>
        </w:rPr>
        <w:t>Agrotexim dhe të Tjerë</w:t>
      </w:r>
      <w:r w:rsidR="006F4ACB" w:rsidRPr="00641569">
        <w:rPr>
          <w:i/>
          <w:color w:val="000000" w:themeColor="text1"/>
          <w:lang w:val="en-US"/>
        </w:rPr>
        <w:t xml:space="preserve"> k. Greqis</w:t>
      </w:r>
      <w:r w:rsidR="006F4ACB">
        <w:rPr>
          <w:i/>
          <w:color w:val="000000" w:themeColor="text1"/>
          <w:lang w:val="en-US"/>
        </w:rPr>
        <w:t>ë</w:t>
      </w:r>
      <w:r w:rsidR="006F4ACB">
        <w:rPr>
          <w:color w:val="000000" w:themeColor="text1"/>
          <w:lang w:val="en-US"/>
        </w:rPr>
        <w:t xml:space="preserve"> (24 Tetor 1995 </w:t>
      </w:r>
      <w:r w:rsidR="006F4ACB" w:rsidRPr="000A7ADF">
        <w:rPr>
          <w:lang w:val="sq-AL"/>
        </w:rPr>
        <w:t>§</w:t>
      </w:r>
      <w:r w:rsidR="006F4ACB">
        <w:rPr>
          <w:lang w:val="sq-AL"/>
        </w:rPr>
        <w:t xml:space="preserve"> 66, Seria A nr. 330-A</w:t>
      </w:r>
      <w:r w:rsidR="006F4ACB">
        <w:rPr>
          <w:color w:val="000000" w:themeColor="text1"/>
          <w:lang w:val="en-US"/>
        </w:rPr>
        <w:t>), Gjykata argumentoi se, në parim, një shoqëri duhej t</w:t>
      </w:r>
      <w:r w:rsidR="008162AF">
        <w:rPr>
          <w:color w:val="000000" w:themeColor="text1"/>
          <w:lang w:val="en-US"/>
        </w:rPr>
        <w:t>’</w:t>
      </w:r>
      <w:r w:rsidR="006F4ACB">
        <w:rPr>
          <w:color w:val="000000" w:themeColor="text1"/>
          <w:lang w:val="en-US"/>
        </w:rPr>
        <w:t xml:space="preserve">i drejtohej institucioneve të Konventës nëpërmjet organeve të saj </w:t>
      </w:r>
      <w:r w:rsidR="006F4ACB" w:rsidRPr="008162AF">
        <w:rPr>
          <w:lang w:val="en-US"/>
        </w:rPr>
        <w:t xml:space="preserve">ligjore </w:t>
      </w:r>
      <w:r w:rsidR="006F4ACB">
        <w:rPr>
          <w:color w:val="000000" w:themeColor="text1"/>
          <w:lang w:val="en-US"/>
        </w:rPr>
        <w:t>ose, në rastin e likuidimit, nëpërmjet likuiduesve të saj. Vetëm në rrethana të veçanta, veçanërisht kur përcaktohej qartë se ishte e pamundur që shoqëria të drejtohej nëpërmjet likuiduesve të saj, at</w:t>
      </w:r>
      <w:r w:rsidR="008162AF">
        <w:rPr>
          <w:lang w:val="en-US"/>
        </w:rPr>
        <w:t>ë</w:t>
      </w:r>
      <w:r w:rsidR="006F4ACB">
        <w:rPr>
          <w:color w:val="000000" w:themeColor="text1"/>
          <w:lang w:val="en-US"/>
        </w:rPr>
        <w:t>her</w:t>
      </w:r>
      <w:r w:rsidR="008162AF">
        <w:rPr>
          <w:lang w:val="en-US"/>
        </w:rPr>
        <w:t>ë</w:t>
      </w:r>
      <w:r w:rsidR="006F4ACB">
        <w:rPr>
          <w:color w:val="000000" w:themeColor="text1"/>
          <w:lang w:val="en-US"/>
        </w:rPr>
        <w:t xml:space="preserve"> ankimi mund të depozitohej në em</w:t>
      </w:r>
      <w:r w:rsidR="008162AF">
        <w:rPr>
          <w:lang w:val="en-US"/>
        </w:rPr>
        <w:t>ë</w:t>
      </w:r>
      <w:r w:rsidR="006F4ACB">
        <w:rPr>
          <w:color w:val="000000" w:themeColor="text1"/>
          <w:lang w:val="en-US"/>
        </w:rPr>
        <w:t>r të saj nga të tjerë, për shembull ng</w:t>
      </w:r>
      <w:r w:rsidR="008162AF">
        <w:rPr>
          <w:color w:val="000000" w:themeColor="text1"/>
          <w:lang w:val="en-US"/>
        </w:rPr>
        <w:t>a</w:t>
      </w:r>
      <w:r w:rsidR="006F4ACB">
        <w:rPr>
          <w:color w:val="000000" w:themeColor="text1"/>
          <w:lang w:val="en-US"/>
        </w:rPr>
        <w:t xml:space="preserve"> aksionerët e saj, me kusht që të jenë prekur të drejtat e tyre individuale. </w:t>
      </w:r>
    </w:p>
    <w:p w:rsidR="006F4ACB" w:rsidRDefault="006F4ACB" w:rsidP="000409D4">
      <w:pPr>
        <w:pStyle w:val="paragrafi"/>
        <w:numPr>
          <w:ilvl w:val="0"/>
          <w:numId w:val="1"/>
        </w:numPr>
        <w:spacing w:before="0" w:beforeAutospacing="0"/>
        <w:ind w:left="0" w:firstLine="360"/>
        <w:jc w:val="both"/>
        <w:rPr>
          <w:color w:val="000000" w:themeColor="text1"/>
          <w:lang w:val="en-US"/>
        </w:rPr>
      </w:pPr>
      <w:r>
        <w:rPr>
          <w:color w:val="000000" w:themeColor="text1"/>
          <w:lang w:val="en-US"/>
        </w:rPr>
        <w:t xml:space="preserve">  Gjykata me tej përsërit se Konventa dhe Protokollet e saj duhet të interpretohen se garantojnë të drejtat që janë praktike dhe efektive në kundërsht</w:t>
      </w:r>
      <w:r w:rsidR="002B73DF">
        <w:rPr>
          <w:color w:val="000000" w:themeColor="text1"/>
          <w:lang w:val="en-US"/>
        </w:rPr>
        <w:t>im me ato teorike dhe iluzive</w:t>
      </w:r>
      <w:r>
        <w:rPr>
          <w:color w:val="000000" w:themeColor="text1"/>
          <w:lang w:val="en-US"/>
        </w:rPr>
        <w:t>. Ky parim është g</w:t>
      </w:r>
      <w:r w:rsidR="008162AF">
        <w:rPr>
          <w:color w:val="000000" w:themeColor="text1"/>
          <w:lang w:val="en-US"/>
        </w:rPr>
        <w:t>jithashtu i zbatueshëm për Neni</w:t>
      </w:r>
      <w:r w:rsidR="002B73DF">
        <w:rPr>
          <w:color w:val="000000" w:themeColor="text1"/>
          <w:lang w:val="en-US"/>
        </w:rPr>
        <w:t>n</w:t>
      </w:r>
      <w:r>
        <w:rPr>
          <w:color w:val="000000" w:themeColor="text1"/>
          <w:lang w:val="en-US"/>
        </w:rPr>
        <w:t xml:space="preserve"> 34</w:t>
      </w:r>
      <w:r w:rsidR="002B6DC5">
        <w:rPr>
          <w:color w:val="000000" w:themeColor="text1"/>
          <w:lang w:val="en-US"/>
        </w:rPr>
        <w:t xml:space="preserve"> të Konventës, i cili u</w:t>
      </w:r>
      <w:r>
        <w:rPr>
          <w:color w:val="000000" w:themeColor="text1"/>
          <w:lang w:val="en-US"/>
        </w:rPr>
        <w:t xml:space="preserve"> jep individëve dhe organizatave jo-qeveritare të drejtën e natyrës procedurale (shih </w:t>
      </w:r>
      <w:r w:rsidRPr="00A75D3B">
        <w:rPr>
          <w:i/>
          <w:color w:val="000000" w:themeColor="text1"/>
          <w:lang w:val="en-US"/>
        </w:rPr>
        <w:t>Banka Kapitale AD k. Bullgaris</w:t>
      </w:r>
      <w:r>
        <w:rPr>
          <w:i/>
          <w:color w:val="000000" w:themeColor="text1"/>
          <w:lang w:val="en-US"/>
        </w:rPr>
        <w:t>ë</w:t>
      </w:r>
      <w:r>
        <w:rPr>
          <w:color w:val="000000" w:themeColor="text1"/>
          <w:lang w:val="en-US"/>
        </w:rPr>
        <w:t xml:space="preserve"> (dec.), nr. 49429/99, 9 Shtator 2004, dhe </w:t>
      </w:r>
      <w:r w:rsidRPr="00A75D3B">
        <w:rPr>
          <w:i/>
          <w:color w:val="000000" w:themeColor="text1"/>
          <w:lang w:val="en-US"/>
        </w:rPr>
        <w:t>Banka Industriale dhe e Kreditit k. Republik</w:t>
      </w:r>
      <w:r>
        <w:rPr>
          <w:i/>
          <w:color w:val="000000" w:themeColor="text1"/>
          <w:lang w:val="en-US"/>
        </w:rPr>
        <w:t>ë</w:t>
      </w:r>
      <w:r w:rsidRPr="00A75D3B">
        <w:rPr>
          <w:i/>
          <w:color w:val="000000" w:themeColor="text1"/>
          <w:lang w:val="en-US"/>
        </w:rPr>
        <w:t>s</w:t>
      </w:r>
      <w:r>
        <w:rPr>
          <w:color w:val="000000" w:themeColor="text1"/>
          <w:lang w:val="en-US"/>
        </w:rPr>
        <w:t xml:space="preserve"> </w:t>
      </w:r>
      <w:r>
        <w:rPr>
          <w:i/>
          <w:color w:val="000000" w:themeColor="text1"/>
          <w:lang w:val="en-US"/>
        </w:rPr>
        <w:t>ç</w:t>
      </w:r>
      <w:r w:rsidRPr="00A75D3B">
        <w:rPr>
          <w:i/>
          <w:color w:val="000000" w:themeColor="text1"/>
          <w:lang w:val="en-US"/>
        </w:rPr>
        <w:t>eke</w:t>
      </w:r>
      <w:r>
        <w:rPr>
          <w:color w:val="000000" w:themeColor="text1"/>
          <w:lang w:val="en-US"/>
        </w:rPr>
        <w:t xml:space="preserve">, nr. 29010/95, </w:t>
      </w:r>
      <w:r w:rsidRPr="000A7ADF">
        <w:rPr>
          <w:lang w:val="sq-AL"/>
        </w:rPr>
        <w:t>§</w:t>
      </w:r>
      <w:r>
        <w:rPr>
          <w:lang w:val="sq-AL"/>
        </w:rPr>
        <w:t xml:space="preserve"> 48, GJEDNJ 2003-XI(ekstrakte)</w:t>
      </w:r>
      <w:r>
        <w:rPr>
          <w:color w:val="000000" w:themeColor="text1"/>
          <w:lang w:val="en-US"/>
        </w:rPr>
        <w:t>).</w:t>
      </w:r>
    </w:p>
    <w:p w:rsidR="006F4ACB" w:rsidRDefault="0089250D" w:rsidP="000409D4">
      <w:pPr>
        <w:pStyle w:val="paragrafi"/>
        <w:numPr>
          <w:ilvl w:val="0"/>
          <w:numId w:val="1"/>
        </w:numPr>
        <w:spacing w:before="0" w:beforeAutospacing="0"/>
        <w:ind w:left="0" w:firstLine="360"/>
        <w:jc w:val="both"/>
        <w:rPr>
          <w:color w:val="000000" w:themeColor="text1"/>
          <w:lang w:val="en-US"/>
        </w:rPr>
      </w:pPr>
      <w:r>
        <w:rPr>
          <w:color w:val="000000" w:themeColor="text1"/>
          <w:lang w:val="en-US"/>
        </w:rPr>
        <w:t>Në rastin konkret</w:t>
      </w:r>
      <w:r w:rsidR="006F4ACB">
        <w:rPr>
          <w:color w:val="000000" w:themeColor="text1"/>
          <w:lang w:val="en-US"/>
        </w:rPr>
        <w:t>, Gjykata vëren se, k</w:t>
      </w:r>
      <w:r w:rsidR="00DB361E">
        <w:rPr>
          <w:color w:val="000000" w:themeColor="text1"/>
          <w:lang w:val="en-US"/>
        </w:rPr>
        <w:t>ur është depozituar ankimi para</w:t>
      </w:r>
      <w:r w:rsidR="006F4ACB">
        <w:rPr>
          <w:color w:val="000000" w:themeColor="text1"/>
          <w:lang w:val="en-US"/>
        </w:rPr>
        <w:t xml:space="preserve"> saj më 2 Qershor 2005, shoqëria ankuese ishte vënë tashmë në administrim të detyruar. Prandaj, administratorët kishin të drejtë t’i drejtoheshin Gjykatës në emër të shoqërisë ankuese nëse ato e konsideronin me vend. Megjithatë ankimi para Gjykatës lidhet saktësisht me ngjarjet komplekse që shpien në caktimin e administratorëve, rolin e tyre dhe kryerjen e procedurave të administrimit të detyruar. Ankimi nuk lidhet me ndërhyrjen e pretenduar në të drejtën e pronës të shoqërisë ankuese, të cilën administratorët ishin caktuar të mbrojnë dhe menaxhojnë dhe në lidhje me të cilën adminis</w:t>
      </w:r>
      <w:r w:rsidR="00DB361E">
        <w:rPr>
          <w:color w:val="000000" w:themeColor="text1"/>
          <w:lang w:val="en-US"/>
        </w:rPr>
        <w:t>tratorët mund t’i drejtoheshin i</w:t>
      </w:r>
      <w:r w:rsidR="006F4ACB">
        <w:rPr>
          <w:color w:val="000000" w:themeColor="text1"/>
          <w:lang w:val="en-US"/>
        </w:rPr>
        <w:t>nstituc</w:t>
      </w:r>
      <w:r w:rsidR="00DB361E">
        <w:rPr>
          <w:color w:val="000000" w:themeColor="text1"/>
          <w:lang w:val="en-US"/>
        </w:rPr>
        <w:t>ioneve të Konventës në emër të s</w:t>
      </w:r>
      <w:r w:rsidR="006F4ACB">
        <w:rPr>
          <w:color w:val="000000" w:themeColor="text1"/>
          <w:lang w:val="en-US"/>
        </w:rPr>
        <w:t xml:space="preserve">hoqërisë ankuese. </w:t>
      </w:r>
    </w:p>
    <w:p w:rsidR="006F4ACB" w:rsidRDefault="006F4ACB" w:rsidP="000409D4">
      <w:pPr>
        <w:pStyle w:val="paragrafi"/>
        <w:numPr>
          <w:ilvl w:val="0"/>
          <w:numId w:val="1"/>
        </w:numPr>
        <w:spacing w:before="0" w:beforeAutospacing="0"/>
        <w:ind w:left="0" w:firstLine="360"/>
        <w:jc w:val="both"/>
        <w:rPr>
          <w:color w:val="000000" w:themeColor="text1"/>
          <w:lang w:val="en-US"/>
        </w:rPr>
      </w:pPr>
      <w:r>
        <w:rPr>
          <w:color w:val="000000" w:themeColor="text1"/>
          <w:lang w:val="en-US"/>
        </w:rPr>
        <w:t xml:space="preserve">  Prandaj ekziston një konflikt i qartë interesi ndërmjet shoqërisë ankuese dhe administratorëve në lidhje m</w:t>
      </w:r>
      <w:r w:rsidR="00F11056">
        <w:rPr>
          <w:color w:val="000000" w:themeColor="text1"/>
          <w:lang w:val="en-US"/>
        </w:rPr>
        <w:t>e ankimin para Gjykatës duke qenë e</w:t>
      </w:r>
      <w:r>
        <w:rPr>
          <w:color w:val="000000" w:themeColor="text1"/>
          <w:lang w:val="en-US"/>
        </w:rPr>
        <w:t xml:space="preserve"> pamundur që shoqëria ankuese t’i drejtohej Gjykatës nëpërmjet tyre (shih </w:t>
      </w:r>
      <w:r w:rsidRPr="00A75D3B">
        <w:rPr>
          <w:i/>
          <w:color w:val="000000" w:themeColor="text1"/>
          <w:lang w:val="en-US"/>
        </w:rPr>
        <w:t>Camberro</w:t>
      </w:r>
      <w:r w:rsidR="00410F40">
        <w:rPr>
          <w:i/>
          <w:color w:val="000000" w:themeColor="text1"/>
          <w:lang w:val="en-US"/>
        </w:rPr>
        <w:t>w</w:t>
      </w:r>
      <w:r w:rsidRPr="00A75D3B">
        <w:rPr>
          <w:i/>
          <w:color w:val="000000" w:themeColor="text1"/>
          <w:lang w:val="en-US"/>
        </w:rPr>
        <w:t xml:space="preserve"> MM5 AD k. Bullgaris</w:t>
      </w:r>
      <w:r>
        <w:rPr>
          <w:i/>
          <w:color w:val="000000" w:themeColor="text1"/>
          <w:lang w:val="en-US"/>
        </w:rPr>
        <w:t>ë</w:t>
      </w:r>
      <w:r>
        <w:rPr>
          <w:color w:val="000000" w:themeColor="text1"/>
          <w:lang w:val="en-US"/>
        </w:rPr>
        <w:t xml:space="preserve"> (dec.), nr. 50357/99, 1 Prill 2004, dhe </w:t>
      </w:r>
      <w:r w:rsidRPr="00A75D3B">
        <w:rPr>
          <w:i/>
          <w:color w:val="000000" w:themeColor="text1"/>
          <w:lang w:val="en-US"/>
        </w:rPr>
        <w:t>Roseltrans, Finlease dhe Myshkin k. Rusis</w:t>
      </w:r>
      <w:r>
        <w:rPr>
          <w:i/>
          <w:color w:val="000000" w:themeColor="text1"/>
          <w:lang w:val="en-US"/>
        </w:rPr>
        <w:t>ë</w:t>
      </w:r>
      <w:r>
        <w:rPr>
          <w:color w:val="000000" w:themeColor="text1"/>
          <w:lang w:val="en-US"/>
        </w:rPr>
        <w:t xml:space="preserve"> (dec), nr. 60974/00, 27 Maj 2004). Të argumentosh se vetëm administratorët ishin të autorizuar të përfaqësonin shoqërinë ankuese në depozitimin e ankesave të tilla par</w:t>
      </w:r>
      <w:r w:rsidR="00410F40">
        <w:rPr>
          <w:color w:val="000000" w:themeColor="text1"/>
          <w:lang w:val="en-US"/>
        </w:rPr>
        <w:t>a</w:t>
      </w:r>
      <w:r>
        <w:rPr>
          <w:color w:val="000000" w:themeColor="text1"/>
          <w:lang w:val="en-US"/>
        </w:rPr>
        <w:t xml:space="preserve"> Gjykatës</w:t>
      </w:r>
      <w:r w:rsidR="00410F40">
        <w:rPr>
          <w:color w:val="000000" w:themeColor="text1"/>
          <w:lang w:val="en-US"/>
        </w:rPr>
        <w:t>,</w:t>
      </w:r>
      <w:r>
        <w:rPr>
          <w:color w:val="000000" w:themeColor="text1"/>
          <w:lang w:val="en-US"/>
        </w:rPr>
        <w:t xml:space="preserve"> do të thotë të bësh teorike dhe </w:t>
      </w:r>
      <w:r w:rsidR="00FB06EA" w:rsidRPr="00410F40">
        <w:rPr>
          <w:lang w:val="en-US"/>
        </w:rPr>
        <w:t>iluzive</w:t>
      </w:r>
      <w:r>
        <w:rPr>
          <w:color w:val="000000" w:themeColor="text1"/>
          <w:lang w:val="en-US"/>
        </w:rPr>
        <w:t xml:space="preserve"> të drejtën e peticionit individual dhënë nga Neni 34 (shih </w:t>
      </w:r>
      <w:r w:rsidRPr="00A75D3B">
        <w:rPr>
          <w:i/>
          <w:color w:val="000000" w:themeColor="text1"/>
          <w:lang w:val="en-US"/>
        </w:rPr>
        <w:t>Banka Industriale dhe e Kreditit</w:t>
      </w:r>
      <w:r>
        <w:rPr>
          <w:color w:val="000000" w:themeColor="text1"/>
          <w:lang w:val="en-US"/>
        </w:rPr>
        <w:t xml:space="preserve">, cituar më lart </w:t>
      </w:r>
      <w:r w:rsidRPr="000A7ADF">
        <w:rPr>
          <w:lang w:val="sq-AL"/>
        </w:rPr>
        <w:t>§</w:t>
      </w:r>
      <w:r>
        <w:rPr>
          <w:lang w:val="sq-AL"/>
        </w:rPr>
        <w:t xml:space="preserve"> 51</w:t>
      </w:r>
      <w:r>
        <w:rPr>
          <w:color w:val="000000" w:themeColor="text1"/>
          <w:lang w:val="en-US"/>
        </w:rPr>
        <w:t>).</w:t>
      </w:r>
    </w:p>
    <w:p w:rsidR="006F4ACB" w:rsidRDefault="006F4ACB" w:rsidP="000409D4">
      <w:pPr>
        <w:pStyle w:val="paragrafi"/>
        <w:numPr>
          <w:ilvl w:val="0"/>
          <w:numId w:val="1"/>
        </w:numPr>
        <w:spacing w:before="0" w:beforeAutospacing="0"/>
        <w:ind w:left="0" w:firstLine="360"/>
        <w:jc w:val="both"/>
        <w:rPr>
          <w:color w:val="000000" w:themeColor="text1"/>
          <w:lang w:val="en-US"/>
        </w:rPr>
      </w:pPr>
      <w:r>
        <w:rPr>
          <w:color w:val="000000" w:themeColor="text1"/>
          <w:lang w:val="en-US"/>
        </w:rPr>
        <w:t xml:space="preserve">  Gjykata thekson se ankuesi individual ishte aksioneri i vetëm i shoqërisë ankuese që nga themelimi i saj në vitin 1992. Aksionet e ankuesit padyshim kishin vlerë ekonomike dhe përbënin “zotërime” në kuptim të Nenit 1 të Protokollit Nr. 1 (shih </w:t>
      </w:r>
      <w:r w:rsidRPr="00CF58AD">
        <w:rPr>
          <w:i/>
          <w:color w:val="000000" w:themeColor="text1"/>
          <w:lang w:val="en-US"/>
        </w:rPr>
        <w:t>Marini k. Shqip</w:t>
      </w:r>
      <w:r>
        <w:rPr>
          <w:i/>
          <w:color w:val="000000" w:themeColor="text1"/>
          <w:lang w:val="en-US"/>
        </w:rPr>
        <w:t>ë</w:t>
      </w:r>
      <w:r w:rsidRPr="00CF58AD">
        <w:rPr>
          <w:i/>
          <w:color w:val="000000" w:themeColor="text1"/>
          <w:lang w:val="en-US"/>
        </w:rPr>
        <w:t>ris</w:t>
      </w:r>
      <w:r>
        <w:rPr>
          <w:i/>
          <w:color w:val="000000" w:themeColor="text1"/>
          <w:lang w:val="en-US"/>
        </w:rPr>
        <w:t>ë</w:t>
      </w:r>
      <w:r>
        <w:rPr>
          <w:color w:val="000000" w:themeColor="text1"/>
          <w:lang w:val="en-US"/>
        </w:rPr>
        <w:t xml:space="preserve">, nr. 3738/02, </w:t>
      </w:r>
      <w:r w:rsidRPr="000A7ADF">
        <w:rPr>
          <w:lang w:val="sq-AL"/>
        </w:rPr>
        <w:t>§</w:t>
      </w:r>
      <w:r>
        <w:rPr>
          <w:lang w:val="sq-AL"/>
        </w:rPr>
        <w:t xml:space="preserve"> 164, GJEDNJ 2007-XIV(ekstrakte), dhe Sovtrans</w:t>
      </w:r>
      <w:r w:rsidRPr="00574ED6">
        <w:rPr>
          <w:lang w:val="sq-AL"/>
        </w:rPr>
        <w:t>avto</w:t>
      </w:r>
      <w:r>
        <w:rPr>
          <w:lang w:val="sq-AL"/>
        </w:rPr>
        <w:t xml:space="preserve"> Holding k. Ukrainës (dec.), nr. 48553/99, 27 Shtator 2001</w:t>
      </w:r>
      <w:r w:rsidRPr="00574ED6">
        <w:rPr>
          <w:color w:val="000000" w:themeColor="text1"/>
          <w:lang w:val="en-US"/>
        </w:rPr>
        <w:t>)</w:t>
      </w:r>
      <w:r>
        <w:rPr>
          <w:color w:val="000000" w:themeColor="text1"/>
          <w:lang w:val="en-US"/>
        </w:rPr>
        <w:t xml:space="preserve">. Ankuesi individual e kryente biznesin e tij nëpërmjet shoqërisë dhe </w:t>
      </w:r>
      <w:r w:rsidR="007F3874">
        <w:rPr>
          <w:color w:val="000000" w:themeColor="text1"/>
          <w:lang w:val="en-US"/>
        </w:rPr>
        <w:t>p</w:t>
      </w:r>
      <w:r w:rsidR="007F3874">
        <w:rPr>
          <w:lang w:val="sq-AL"/>
        </w:rPr>
        <w:t>ë</w:t>
      </w:r>
      <w:r w:rsidR="007F3874">
        <w:rPr>
          <w:color w:val="000000" w:themeColor="text1"/>
          <w:lang w:val="en-US"/>
        </w:rPr>
        <w:t>r rrjedhoj</w:t>
      </w:r>
      <w:r w:rsidR="007F3874">
        <w:rPr>
          <w:lang w:val="sq-AL"/>
        </w:rPr>
        <w:t>ë</w:t>
      </w:r>
      <w:r>
        <w:rPr>
          <w:color w:val="000000" w:themeColor="text1"/>
          <w:lang w:val="en-US"/>
        </w:rPr>
        <w:t xml:space="preserve"> kishte interes direkt personal në objektin e ankimit (shih G.J k. Luksemburgut, nr. 21156/93 </w:t>
      </w:r>
      <w:r w:rsidRPr="000A7ADF">
        <w:rPr>
          <w:lang w:val="sq-AL"/>
        </w:rPr>
        <w:t>§</w:t>
      </w:r>
      <w:r>
        <w:rPr>
          <w:lang w:val="sq-AL"/>
        </w:rPr>
        <w:t xml:space="preserve"> 24, 26 Tetor 2000</w:t>
      </w:r>
      <w:r>
        <w:rPr>
          <w:color w:val="000000" w:themeColor="text1"/>
          <w:lang w:val="en-US"/>
        </w:rPr>
        <w:t xml:space="preserve">). </w:t>
      </w:r>
      <w:r w:rsidR="00C43D66">
        <w:rPr>
          <w:color w:val="000000" w:themeColor="text1"/>
          <w:lang w:val="en-US"/>
        </w:rPr>
        <w:t>T</w:t>
      </w:r>
      <w:r w:rsidR="00C43D66">
        <w:rPr>
          <w:lang w:val="sq-AL"/>
        </w:rPr>
        <w:t>ë</w:t>
      </w:r>
      <w:r w:rsidR="00C43D66">
        <w:rPr>
          <w:color w:val="000000" w:themeColor="text1"/>
          <w:lang w:val="en-US"/>
        </w:rPr>
        <w:t xml:space="preserve"> argumentosh</w:t>
      </w:r>
      <w:r>
        <w:rPr>
          <w:color w:val="000000" w:themeColor="text1"/>
          <w:lang w:val="en-US"/>
        </w:rPr>
        <w:t xml:space="preserve"> se ankuesi individual nuk kishte zotërime ekzistuese në kohën e paraqitjes së ankimit do të thotë të dëmtosh vetë thelbin e së drejtës së ankimit individual, meqenëse do të nxiste qeveritë të privonin </w:t>
      </w:r>
      <w:r w:rsidR="00855F1F">
        <w:rPr>
          <w:color w:val="000000" w:themeColor="text1"/>
          <w:lang w:val="en-US"/>
        </w:rPr>
        <w:t>k</w:t>
      </w:r>
      <w:r w:rsidR="00855F1F" w:rsidRPr="00855F1F">
        <w:rPr>
          <w:color w:val="000000" w:themeColor="text1"/>
          <w:lang w:val="en-US"/>
        </w:rPr>
        <w:t>ë</w:t>
      </w:r>
      <w:r w:rsidR="00855F1F">
        <w:rPr>
          <w:color w:val="000000" w:themeColor="text1"/>
          <w:lang w:val="en-US"/>
        </w:rPr>
        <w:t xml:space="preserve">ta individë </w:t>
      </w:r>
      <w:r>
        <w:rPr>
          <w:color w:val="000000" w:themeColor="text1"/>
          <w:lang w:val="en-US"/>
        </w:rPr>
        <w:t>nga e drejta e pronës së tyre dhe, në të njëjtën kohë, nga mundësia për t’u ankuar për këtë çështje pranë Gjykatës.</w:t>
      </w:r>
    </w:p>
    <w:p w:rsidR="006F4ACB" w:rsidRDefault="006F4ACB" w:rsidP="000409D4">
      <w:pPr>
        <w:pStyle w:val="paragrafi"/>
        <w:numPr>
          <w:ilvl w:val="0"/>
          <w:numId w:val="1"/>
        </w:numPr>
        <w:spacing w:before="0" w:beforeAutospacing="0"/>
        <w:ind w:left="0" w:firstLine="360"/>
        <w:jc w:val="both"/>
        <w:rPr>
          <w:color w:val="000000" w:themeColor="text1"/>
          <w:lang w:val="en-US"/>
        </w:rPr>
      </w:pPr>
      <w:r>
        <w:rPr>
          <w:color w:val="000000" w:themeColor="text1"/>
          <w:lang w:val="en-US"/>
        </w:rPr>
        <w:t xml:space="preserve">  Rrjedhimisht Gjykata konstaton se, duke pasur parasysh natyrën e veçantë të ankimeve të bëra, ekzistonin rrethana të veçanta të cilat i jepnin të drejtën ankuesit individual, </w:t>
      </w:r>
      <w:r>
        <w:rPr>
          <w:color w:val="000000" w:themeColor="text1"/>
          <w:lang w:val="en-US"/>
        </w:rPr>
        <w:lastRenderedPageBreak/>
        <w:t xml:space="preserve">i cili ishtë presidenti dhe aksioneri i vetëm i shoqërisë ankuese dhe kishte “zotërime”, të depozitonte një ankim të vlefshëm në emër të tij dhe </w:t>
      </w:r>
      <w:r w:rsidR="00A42EAF">
        <w:rPr>
          <w:color w:val="000000" w:themeColor="text1"/>
          <w:lang w:val="en-US"/>
        </w:rPr>
        <w:t>t</w:t>
      </w:r>
      <w:r w:rsidR="00A42EAF">
        <w:rPr>
          <w:lang w:val="sq-AL"/>
        </w:rPr>
        <w:t>ë</w:t>
      </w:r>
      <w:r w:rsidR="00A42EAF">
        <w:rPr>
          <w:color w:val="000000" w:themeColor="text1"/>
          <w:lang w:val="en-US"/>
        </w:rPr>
        <w:t xml:space="preserve"> </w:t>
      </w:r>
      <w:r>
        <w:rPr>
          <w:color w:val="000000" w:themeColor="text1"/>
          <w:lang w:val="en-US"/>
        </w:rPr>
        <w:t>shoqëris</w:t>
      </w:r>
      <w:r w:rsidR="00C562C1">
        <w:rPr>
          <w:lang w:val="sq-AL"/>
        </w:rPr>
        <w:t>ë</w:t>
      </w:r>
      <w:r>
        <w:rPr>
          <w:color w:val="000000" w:themeColor="text1"/>
          <w:lang w:val="en-US"/>
        </w:rPr>
        <w:t xml:space="preserve"> ankuese.</w:t>
      </w:r>
    </w:p>
    <w:p w:rsidR="006F4ACB" w:rsidRDefault="006F4ACB" w:rsidP="000409D4">
      <w:pPr>
        <w:pStyle w:val="paragrafi"/>
        <w:numPr>
          <w:ilvl w:val="0"/>
          <w:numId w:val="1"/>
        </w:numPr>
        <w:spacing w:before="0" w:beforeAutospacing="0"/>
        <w:ind w:left="0" w:firstLine="360"/>
        <w:jc w:val="both"/>
        <w:rPr>
          <w:color w:val="000000" w:themeColor="text1"/>
          <w:lang w:val="en-US"/>
        </w:rPr>
      </w:pPr>
      <w:r>
        <w:rPr>
          <w:color w:val="000000" w:themeColor="text1"/>
          <w:lang w:val="en-US"/>
        </w:rPr>
        <w:t xml:space="preserve">Kundërshtimet e Qeverisë në lidhje me papajtueshmërinë </w:t>
      </w:r>
      <w:r w:rsidRPr="0025595A">
        <w:rPr>
          <w:i/>
          <w:color w:val="000000" w:themeColor="text1"/>
          <w:lang w:val="en-US"/>
        </w:rPr>
        <w:t>r</w:t>
      </w:r>
      <w:r>
        <w:rPr>
          <w:i/>
          <w:color w:val="000000" w:themeColor="text1"/>
          <w:lang w:val="en-US"/>
        </w:rPr>
        <w:t>a</w:t>
      </w:r>
      <w:r w:rsidRPr="0025595A">
        <w:rPr>
          <w:i/>
          <w:color w:val="000000" w:themeColor="text1"/>
          <w:lang w:val="en-US"/>
        </w:rPr>
        <w:t>tione personae</w:t>
      </w:r>
      <w:r>
        <w:rPr>
          <w:i/>
          <w:color w:val="000000" w:themeColor="text1"/>
          <w:lang w:val="en-US"/>
        </w:rPr>
        <w:t xml:space="preserve"> </w:t>
      </w:r>
      <w:r>
        <w:rPr>
          <w:color w:val="000000" w:themeColor="text1"/>
          <w:lang w:val="en-US"/>
        </w:rPr>
        <w:t xml:space="preserve">dhe </w:t>
      </w:r>
      <w:r w:rsidRPr="0025595A">
        <w:rPr>
          <w:i/>
          <w:color w:val="000000" w:themeColor="text1"/>
          <w:lang w:val="en-US"/>
        </w:rPr>
        <w:t>ratione materiae</w:t>
      </w:r>
      <w:r>
        <w:rPr>
          <w:color w:val="000000" w:themeColor="text1"/>
          <w:lang w:val="en-US"/>
        </w:rPr>
        <w:t xml:space="preserve"> duhet të rrëzohen.</w:t>
      </w:r>
    </w:p>
    <w:p w:rsidR="006F4ACB" w:rsidRDefault="006F4ACB" w:rsidP="006F4ACB">
      <w:pPr>
        <w:pStyle w:val="paragrafi"/>
        <w:spacing w:before="0" w:beforeAutospacing="0"/>
        <w:jc w:val="both"/>
        <w:rPr>
          <w:color w:val="000000" w:themeColor="text1"/>
          <w:lang w:val="en-US"/>
        </w:rPr>
      </w:pPr>
      <w:r>
        <w:rPr>
          <w:color w:val="000000" w:themeColor="text1"/>
          <w:lang w:val="en-US"/>
        </w:rPr>
        <w:t xml:space="preserve">2.   </w:t>
      </w:r>
      <w:r w:rsidRPr="008830E7">
        <w:rPr>
          <w:i/>
          <w:color w:val="000000" w:themeColor="text1"/>
          <w:lang w:val="en-US"/>
        </w:rPr>
        <w:t>Mos-shterimi i pretenduar i mjeteve ligjore vendase</w:t>
      </w:r>
    </w:p>
    <w:p w:rsidR="006F4ACB" w:rsidRDefault="006F4ACB" w:rsidP="000409D4">
      <w:pPr>
        <w:pStyle w:val="paragrafi"/>
        <w:numPr>
          <w:ilvl w:val="0"/>
          <w:numId w:val="1"/>
        </w:numPr>
        <w:spacing w:before="0" w:beforeAutospacing="0"/>
        <w:ind w:left="0" w:firstLine="360"/>
        <w:jc w:val="both"/>
        <w:rPr>
          <w:color w:val="000000" w:themeColor="text1"/>
          <w:lang w:val="en-US"/>
        </w:rPr>
      </w:pPr>
      <w:r>
        <w:rPr>
          <w:color w:val="000000" w:themeColor="text1"/>
          <w:lang w:val="en-US"/>
        </w:rPr>
        <w:t>Gjykata përsërit se rregulli i shterimit të m</w:t>
      </w:r>
      <w:r w:rsidR="00F6341D">
        <w:rPr>
          <w:color w:val="000000" w:themeColor="text1"/>
          <w:lang w:val="en-US"/>
        </w:rPr>
        <w:t>jeteve ligjore vendase referuar</w:t>
      </w:r>
      <w:r>
        <w:rPr>
          <w:color w:val="000000" w:themeColor="text1"/>
          <w:lang w:val="en-US"/>
        </w:rPr>
        <w:t xml:space="preserve"> në Nenin 35 të Konventës detyron të gjith</w:t>
      </w:r>
      <w:r w:rsidR="00F6341D">
        <w:rPr>
          <w:lang w:val="sq-AL"/>
        </w:rPr>
        <w:t>ë</w:t>
      </w:r>
      <w:r>
        <w:rPr>
          <w:color w:val="000000" w:themeColor="text1"/>
          <w:lang w:val="en-US"/>
        </w:rPr>
        <w:t xml:space="preserve"> personat që pa</w:t>
      </w:r>
      <w:r w:rsidR="00F6341D">
        <w:rPr>
          <w:color w:val="000000" w:themeColor="text1"/>
          <w:lang w:val="en-US"/>
        </w:rPr>
        <w:t>raqesin çështjet e tyre kundër S</w:t>
      </w:r>
      <w:r>
        <w:rPr>
          <w:color w:val="000000" w:themeColor="text1"/>
          <w:lang w:val="en-US"/>
        </w:rPr>
        <w:t>htetit para Gjykatës të përdorin së pari mjetet ligjore të sigu</w:t>
      </w:r>
      <w:r w:rsidR="00F6341D">
        <w:rPr>
          <w:color w:val="000000" w:themeColor="text1"/>
          <w:lang w:val="en-US"/>
        </w:rPr>
        <w:t>ru</w:t>
      </w:r>
      <w:r>
        <w:rPr>
          <w:color w:val="000000" w:themeColor="text1"/>
          <w:lang w:val="en-US"/>
        </w:rPr>
        <w:t xml:space="preserve">ara nga sistemi ligjor kombëtar (shih </w:t>
      </w:r>
      <w:r w:rsidRPr="008830E7">
        <w:rPr>
          <w:i/>
          <w:color w:val="000000" w:themeColor="text1"/>
          <w:lang w:val="en-US"/>
        </w:rPr>
        <w:t>Handyside k. Mbret</w:t>
      </w:r>
      <w:r>
        <w:rPr>
          <w:i/>
          <w:color w:val="000000" w:themeColor="text1"/>
          <w:lang w:val="en-US"/>
        </w:rPr>
        <w:t>ë</w:t>
      </w:r>
      <w:r w:rsidRPr="008830E7">
        <w:rPr>
          <w:i/>
          <w:color w:val="000000" w:themeColor="text1"/>
          <w:lang w:val="en-US"/>
        </w:rPr>
        <w:t>ris</w:t>
      </w:r>
      <w:r>
        <w:rPr>
          <w:i/>
          <w:color w:val="000000" w:themeColor="text1"/>
          <w:lang w:val="en-US"/>
        </w:rPr>
        <w:t>ë</w:t>
      </w:r>
      <w:r w:rsidRPr="008830E7">
        <w:rPr>
          <w:i/>
          <w:color w:val="000000" w:themeColor="text1"/>
          <w:lang w:val="en-US"/>
        </w:rPr>
        <w:t xml:space="preserve"> s</w:t>
      </w:r>
      <w:r>
        <w:rPr>
          <w:i/>
          <w:color w:val="000000" w:themeColor="text1"/>
          <w:lang w:val="en-US"/>
        </w:rPr>
        <w:t>ë</w:t>
      </w:r>
      <w:r w:rsidRPr="008830E7">
        <w:rPr>
          <w:i/>
          <w:color w:val="000000" w:themeColor="text1"/>
          <w:lang w:val="en-US"/>
        </w:rPr>
        <w:t xml:space="preserve"> Bashkuar</w:t>
      </w:r>
      <w:r>
        <w:rPr>
          <w:color w:val="000000" w:themeColor="text1"/>
          <w:lang w:val="en-US"/>
        </w:rPr>
        <w:t xml:space="preserve">, 7 Dhjetor 1976, </w:t>
      </w:r>
      <w:r w:rsidRPr="000A7ADF">
        <w:rPr>
          <w:lang w:val="sq-AL"/>
        </w:rPr>
        <w:t>§</w:t>
      </w:r>
      <w:r>
        <w:rPr>
          <w:lang w:val="sq-AL"/>
        </w:rPr>
        <w:t xml:space="preserve"> 48, Seria A nr. 24</w:t>
      </w:r>
      <w:r>
        <w:rPr>
          <w:color w:val="000000" w:themeColor="text1"/>
          <w:lang w:val="en-US"/>
        </w:rPr>
        <w:t>). Rekursi duhej të bëhej nga një a</w:t>
      </w:r>
      <w:r w:rsidR="00B2588A">
        <w:rPr>
          <w:color w:val="000000" w:themeColor="text1"/>
          <w:lang w:val="en-US"/>
        </w:rPr>
        <w:t>nkues me mjete ligjore që janë në dispozicion</w:t>
      </w:r>
      <w:r>
        <w:rPr>
          <w:color w:val="000000" w:themeColor="text1"/>
          <w:lang w:val="en-US"/>
        </w:rPr>
        <w:t xml:space="preserve"> dhe të mjaftueshme për të gjetur zgjidhje në lidhje me shkeljet e pretenduara. Ekzistenca e mjeteve </w:t>
      </w:r>
      <w:r w:rsidR="00BE0568">
        <w:rPr>
          <w:color w:val="000000" w:themeColor="text1"/>
          <w:lang w:val="en-US"/>
        </w:rPr>
        <w:t>ligjore në fjalë duhet që të jetë e</w:t>
      </w:r>
      <w:r>
        <w:rPr>
          <w:color w:val="000000" w:themeColor="text1"/>
          <w:lang w:val="en-US"/>
        </w:rPr>
        <w:t xml:space="preserve"> sigurt</w:t>
      </w:r>
      <w:r w:rsidR="00BE0568">
        <w:rPr>
          <w:lang w:val="sq-AL"/>
        </w:rPr>
        <w:t>ë</w:t>
      </w:r>
      <w:r>
        <w:rPr>
          <w:color w:val="000000" w:themeColor="text1"/>
          <w:lang w:val="en-US"/>
        </w:rPr>
        <w:t xml:space="preserve"> në mënyrë të mjaftueshme jo vetëm n</w:t>
      </w:r>
      <w:r w:rsidR="00BE0568">
        <w:rPr>
          <w:lang w:val="sq-AL"/>
        </w:rPr>
        <w:t>ë</w:t>
      </w:r>
      <w:r>
        <w:rPr>
          <w:color w:val="000000" w:themeColor="text1"/>
          <w:lang w:val="en-US"/>
        </w:rPr>
        <w:t xml:space="preserve"> teori por edhe në praktikë, </w:t>
      </w:r>
      <w:r w:rsidR="00453D3F">
        <w:rPr>
          <w:color w:val="000000" w:themeColor="text1"/>
          <w:lang w:val="en-US"/>
        </w:rPr>
        <w:t>pasi d</w:t>
      </w:r>
      <w:r w:rsidR="00453D3F">
        <w:rPr>
          <w:lang w:val="sq-AL"/>
        </w:rPr>
        <w:t>ë</w:t>
      </w:r>
      <w:r w:rsidR="00453D3F">
        <w:rPr>
          <w:color w:val="000000" w:themeColor="text1"/>
          <w:lang w:val="en-US"/>
        </w:rPr>
        <w:t>shtimi n</w:t>
      </w:r>
      <w:r w:rsidR="00453D3F">
        <w:rPr>
          <w:lang w:val="sq-AL"/>
        </w:rPr>
        <w:t>ë</w:t>
      </w:r>
      <w:r w:rsidR="00453D3F">
        <w:rPr>
          <w:color w:val="000000" w:themeColor="text1"/>
          <w:lang w:val="en-US"/>
        </w:rPr>
        <w:t xml:space="preserve"> p</w:t>
      </w:r>
      <w:r w:rsidR="00453D3F">
        <w:rPr>
          <w:lang w:val="sq-AL"/>
        </w:rPr>
        <w:t>ë</w:t>
      </w:r>
      <w:r w:rsidR="00453D3F">
        <w:rPr>
          <w:color w:val="000000" w:themeColor="text1"/>
          <w:lang w:val="en-US"/>
        </w:rPr>
        <w:t xml:space="preserve">rdorimin </w:t>
      </w:r>
      <w:r w:rsidR="00453D3F" w:rsidRPr="00453D3F">
        <w:rPr>
          <w:lang w:val="en-US"/>
        </w:rPr>
        <w:t xml:space="preserve">e </w:t>
      </w:r>
      <w:r w:rsidRPr="00453D3F">
        <w:rPr>
          <w:lang w:val="en-US"/>
        </w:rPr>
        <w:t>tyre</w:t>
      </w:r>
      <w:r w:rsidR="00453D3F">
        <w:rPr>
          <w:lang w:val="en-US"/>
        </w:rPr>
        <w:t>, sjell</w:t>
      </w:r>
      <w:r w:rsidRPr="00453D3F">
        <w:rPr>
          <w:lang w:val="en-US"/>
        </w:rPr>
        <w:t xml:space="preserve"> mungesën e aksesibilitetit dhe efektivitetit të nevojshëm</w:t>
      </w:r>
      <w:r>
        <w:rPr>
          <w:color w:val="FF0000"/>
          <w:lang w:val="en-US"/>
        </w:rPr>
        <w:t xml:space="preserve"> </w:t>
      </w:r>
      <w:r w:rsidRPr="00582B92">
        <w:rPr>
          <w:color w:val="000000" w:themeColor="text1"/>
          <w:lang w:val="en-US"/>
        </w:rPr>
        <w:t>(</w:t>
      </w:r>
      <w:r>
        <w:rPr>
          <w:color w:val="000000" w:themeColor="text1"/>
          <w:lang w:val="en-US"/>
        </w:rPr>
        <w:t xml:space="preserve">shih </w:t>
      </w:r>
      <w:r w:rsidRPr="00582B92">
        <w:rPr>
          <w:i/>
          <w:color w:val="000000" w:themeColor="text1"/>
          <w:lang w:val="en-US"/>
        </w:rPr>
        <w:t>Aksoy k. Turqis</w:t>
      </w:r>
      <w:r>
        <w:rPr>
          <w:i/>
          <w:color w:val="000000" w:themeColor="text1"/>
          <w:lang w:val="en-US"/>
        </w:rPr>
        <w:t>ë</w:t>
      </w:r>
      <w:r>
        <w:rPr>
          <w:color w:val="000000" w:themeColor="text1"/>
          <w:lang w:val="en-US"/>
        </w:rPr>
        <w:t xml:space="preserve">, 18 Dhjetor 1996, </w:t>
      </w:r>
      <w:r w:rsidRPr="000A7ADF">
        <w:rPr>
          <w:lang w:val="sq-AL"/>
        </w:rPr>
        <w:t>§</w:t>
      </w:r>
      <w:r>
        <w:rPr>
          <w:lang w:val="sq-AL"/>
        </w:rPr>
        <w:t xml:space="preserve"> 51, </w:t>
      </w:r>
      <w:r w:rsidRPr="00582B92">
        <w:rPr>
          <w:i/>
          <w:lang w:val="sq-AL"/>
        </w:rPr>
        <w:t>Raporte dhe Vendime</w:t>
      </w:r>
      <w:r>
        <w:rPr>
          <w:lang w:val="sq-AL"/>
        </w:rPr>
        <w:t xml:space="preserve"> 1996-VI</w:t>
      </w:r>
      <w:r w:rsidRPr="00582B92">
        <w:rPr>
          <w:color w:val="000000" w:themeColor="text1"/>
          <w:lang w:val="en-US"/>
        </w:rPr>
        <w:t>)</w:t>
      </w:r>
      <w:r>
        <w:rPr>
          <w:color w:val="000000" w:themeColor="text1"/>
          <w:lang w:val="en-US"/>
        </w:rPr>
        <w:t xml:space="preserve">. Një ankues nuk mund të konsiderohet se ka dështuar të shterojë mjetet ligjore vendase nëse ai ose ajo mund të tregojë, duke paraqitur praktikën </w:t>
      </w:r>
      <w:r w:rsidR="00BE0568">
        <w:rPr>
          <w:color w:val="000000" w:themeColor="text1"/>
          <w:lang w:val="en-US"/>
        </w:rPr>
        <w:t xml:space="preserve">ligjore </w:t>
      </w:r>
      <w:r>
        <w:rPr>
          <w:color w:val="000000" w:themeColor="text1"/>
          <w:lang w:val="en-US"/>
        </w:rPr>
        <w:t xml:space="preserve">përkatëse </w:t>
      </w:r>
      <w:r w:rsidR="00BE0568">
        <w:rPr>
          <w:color w:val="000000" w:themeColor="text1"/>
          <w:lang w:val="en-US"/>
        </w:rPr>
        <w:t xml:space="preserve">vendase </w:t>
      </w:r>
      <w:r>
        <w:rPr>
          <w:color w:val="000000" w:themeColor="text1"/>
          <w:lang w:val="en-US"/>
        </w:rPr>
        <w:t>apo ndonjë të dhënë tjetër të përshtats</w:t>
      </w:r>
      <w:r w:rsidR="00FC117B">
        <w:rPr>
          <w:color w:val="000000" w:themeColor="text1"/>
          <w:lang w:val="en-US"/>
        </w:rPr>
        <w:t>hme, se një mjet ligjor në dispozicion</w:t>
      </w:r>
      <w:r>
        <w:rPr>
          <w:color w:val="000000" w:themeColor="text1"/>
          <w:lang w:val="en-US"/>
        </w:rPr>
        <w:t xml:space="preserve"> të cilin ai ose ajo nuk</w:t>
      </w:r>
      <w:r w:rsidR="00266F8E">
        <w:rPr>
          <w:color w:val="000000" w:themeColor="text1"/>
          <w:lang w:val="en-US"/>
        </w:rPr>
        <w:t xml:space="preserve"> e ka përdorur</w:t>
      </w:r>
      <w:r w:rsidR="00FC117B">
        <w:rPr>
          <w:color w:val="000000" w:themeColor="text1"/>
          <w:lang w:val="en-US"/>
        </w:rPr>
        <w:t>,</w:t>
      </w:r>
      <w:r w:rsidR="00266F8E">
        <w:rPr>
          <w:color w:val="000000" w:themeColor="text1"/>
          <w:lang w:val="en-US"/>
        </w:rPr>
        <w:t xml:space="preserve"> ishte i detyruar</w:t>
      </w:r>
      <w:r>
        <w:rPr>
          <w:color w:val="000000" w:themeColor="text1"/>
          <w:lang w:val="en-US"/>
        </w:rPr>
        <w:t xml:space="preserve"> të dështonte (shih </w:t>
      </w:r>
      <w:r w:rsidRPr="00582B92">
        <w:rPr>
          <w:i/>
          <w:color w:val="000000" w:themeColor="text1"/>
          <w:lang w:val="en-US"/>
        </w:rPr>
        <w:t>Kleyn dhe t</w:t>
      </w:r>
      <w:r>
        <w:rPr>
          <w:i/>
          <w:color w:val="000000" w:themeColor="text1"/>
          <w:lang w:val="en-US"/>
        </w:rPr>
        <w:t>ë</w:t>
      </w:r>
      <w:r w:rsidRPr="00582B92">
        <w:rPr>
          <w:i/>
          <w:color w:val="000000" w:themeColor="text1"/>
          <w:lang w:val="en-US"/>
        </w:rPr>
        <w:t xml:space="preserve"> Tjer</w:t>
      </w:r>
      <w:r>
        <w:rPr>
          <w:i/>
          <w:color w:val="000000" w:themeColor="text1"/>
          <w:lang w:val="en-US"/>
        </w:rPr>
        <w:t>ë</w:t>
      </w:r>
      <w:r w:rsidRPr="00582B92">
        <w:rPr>
          <w:i/>
          <w:color w:val="000000" w:themeColor="text1"/>
          <w:lang w:val="en-US"/>
        </w:rPr>
        <w:t xml:space="preserve"> k. Holland</w:t>
      </w:r>
      <w:r>
        <w:rPr>
          <w:i/>
          <w:color w:val="000000" w:themeColor="text1"/>
          <w:lang w:val="en-US"/>
        </w:rPr>
        <w:t>ë</w:t>
      </w:r>
      <w:r w:rsidRPr="00582B92">
        <w:rPr>
          <w:i/>
          <w:color w:val="000000" w:themeColor="text1"/>
          <w:lang w:val="en-US"/>
        </w:rPr>
        <w:t>s</w:t>
      </w:r>
      <w:r>
        <w:rPr>
          <w:color w:val="000000" w:themeColor="text1"/>
          <w:lang w:val="en-US"/>
        </w:rPr>
        <w:t xml:space="preserve"> [GC], nr. 39343/98, 39651/98, 43147/98 dhe 46664/99, </w:t>
      </w:r>
      <w:r w:rsidRPr="000A7ADF">
        <w:rPr>
          <w:lang w:val="sq-AL"/>
        </w:rPr>
        <w:t>§</w:t>
      </w:r>
      <w:r>
        <w:rPr>
          <w:lang w:val="sq-AL"/>
        </w:rPr>
        <w:t xml:space="preserve"> 156, GJEDNJ 2003-VI</w:t>
      </w:r>
      <w:r>
        <w:rPr>
          <w:color w:val="000000" w:themeColor="text1"/>
          <w:lang w:val="en-US"/>
        </w:rPr>
        <w:t>).</w:t>
      </w:r>
    </w:p>
    <w:p w:rsidR="006F4ACB" w:rsidRDefault="00266F8E" w:rsidP="000409D4">
      <w:pPr>
        <w:pStyle w:val="paragrafi"/>
        <w:numPr>
          <w:ilvl w:val="0"/>
          <w:numId w:val="1"/>
        </w:numPr>
        <w:spacing w:before="0" w:beforeAutospacing="0"/>
        <w:ind w:left="0" w:firstLine="360"/>
        <w:jc w:val="both"/>
        <w:rPr>
          <w:color w:val="000000" w:themeColor="text1"/>
          <w:lang w:val="en-US"/>
        </w:rPr>
      </w:pPr>
      <w:r>
        <w:rPr>
          <w:color w:val="000000" w:themeColor="text1"/>
          <w:lang w:val="en-US"/>
        </w:rPr>
        <w:t xml:space="preserve">  Në rastin konkret,</w:t>
      </w:r>
      <w:r w:rsidR="006F4ACB">
        <w:rPr>
          <w:color w:val="000000" w:themeColor="text1"/>
          <w:lang w:val="en-US"/>
        </w:rPr>
        <w:t xml:space="preserve"> Gjykata vëren se në një datë të pacaktuar në vitin 1997 shoqëria ankuese kundërshtoi vendimin e Qeverisë të datës 22 Gusht 1997. Më 17 Shtato</w:t>
      </w:r>
      <w:r w:rsidR="0069659D">
        <w:rPr>
          <w:color w:val="000000" w:themeColor="text1"/>
          <w:lang w:val="en-US"/>
        </w:rPr>
        <w:t>r 1997 Gjykata e Apelit prishi</w:t>
      </w:r>
      <w:r w:rsidR="006F4ACB">
        <w:rPr>
          <w:color w:val="000000" w:themeColor="text1"/>
          <w:lang w:val="en-US"/>
        </w:rPr>
        <w:t xml:space="preserve"> vendimin për mospërputhje me të drejtën vendase. Më 28 Tetor 1997 Qeveria caktoi të njëtët administratorë me</w:t>
      </w:r>
      <w:r>
        <w:rPr>
          <w:color w:val="000000" w:themeColor="text1"/>
          <w:lang w:val="en-US"/>
        </w:rPr>
        <w:t xml:space="preserve"> të njëtat kushte që prishi</w:t>
      </w:r>
      <w:r w:rsidR="006F4ACB">
        <w:rPr>
          <w:color w:val="000000" w:themeColor="text1"/>
          <w:lang w:val="en-US"/>
        </w:rPr>
        <w:t xml:space="preserve"> Gjykata e Apelit. Shoqëria ankuese nuk apeloi kund</w:t>
      </w:r>
      <w:r>
        <w:rPr>
          <w:lang w:val="sq-AL"/>
        </w:rPr>
        <w:t>ë</w:t>
      </w:r>
      <w:r w:rsidR="006F4ACB">
        <w:rPr>
          <w:color w:val="000000" w:themeColor="text1"/>
          <w:lang w:val="en-US"/>
        </w:rPr>
        <w:t>r vendimit</w:t>
      </w:r>
      <w:r>
        <w:rPr>
          <w:color w:val="000000" w:themeColor="text1"/>
          <w:lang w:val="en-US"/>
        </w:rPr>
        <w:t>.</w:t>
      </w:r>
    </w:p>
    <w:p w:rsidR="006F4ACB" w:rsidRDefault="006F4ACB" w:rsidP="000409D4">
      <w:pPr>
        <w:pStyle w:val="paragrafi"/>
        <w:numPr>
          <w:ilvl w:val="0"/>
          <w:numId w:val="1"/>
        </w:numPr>
        <w:spacing w:before="0" w:beforeAutospacing="0"/>
        <w:ind w:left="0" w:firstLine="360"/>
        <w:jc w:val="both"/>
        <w:rPr>
          <w:color w:val="000000" w:themeColor="text1"/>
          <w:lang w:val="en-US"/>
        </w:rPr>
      </w:pPr>
      <w:r>
        <w:rPr>
          <w:color w:val="000000" w:themeColor="text1"/>
          <w:lang w:val="en-US"/>
        </w:rPr>
        <w:t xml:space="preserve">  Përsa i përket kompetencave të administratorëve</w:t>
      </w:r>
      <w:r w:rsidR="00176D53">
        <w:rPr>
          <w:color w:val="000000" w:themeColor="text1"/>
          <w:lang w:val="en-US"/>
        </w:rPr>
        <w:t>,</w:t>
      </w:r>
      <w:r>
        <w:rPr>
          <w:color w:val="000000" w:themeColor="text1"/>
          <w:lang w:val="en-US"/>
        </w:rPr>
        <w:t xml:space="preserve"> Gjykata vëren se në vitin 1997 ankuesi individual kundërshtoi kushtetueshmërinë e nenit 7 të Ligjit nr. 2. Më 13 Nëntor 1997 Gjykata Ku</w:t>
      </w:r>
      <w:r w:rsidR="00855F1F">
        <w:rPr>
          <w:color w:val="000000" w:themeColor="text1"/>
          <w:lang w:val="en-US"/>
        </w:rPr>
        <w:t>shtetuese e shpalli këtë nen jo</w:t>
      </w:r>
      <w:r>
        <w:rPr>
          <w:color w:val="000000" w:themeColor="text1"/>
          <w:lang w:val="en-US"/>
        </w:rPr>
        <w:t>kushtetues. Më 19 Në</w:t>
      </w:r>
      <w:r w:rsidR="00176D53">
        <w:rPr>
          <w:color w:val="000000" w:themeColor="text1"/>
          <w:lang w:val="en-US"/>
        </w:rPr>
        <w:t>ntor 1997 Ligji nr. 3 rifuti</w:t>
      </w:r>
      <w:r>
        <w:rPr>
          <w:color w:val="000000" w:themeColor="text1"/>
          <w:lang w:val="en-US"/>
        </w:rPr>
        <w:t xml:space="preserve"> në mënyrë efektive të njëjtin formulim që ishte konstatua</w:t>
      </w:r>
      <w:r w:rsidR="00855F1F">
        <w:rPr>
          <w:color w:val="000000" w:themeColor="text1"/>
          <w:lang w:val="en-US"/>
        </w:rPr>
        <w:t>r jo</w:t>
      </w:r>
      <w:r w:rsidR="00B57E51">
        <w:rPr>
          <w:color w:val="000000" w:themeColor="text1"/>
          <w:lang w:val="en-US"/>
        </w:rPr>
        <w:t>kushtetues, pas një shtese</w:t>
      </w:r>
      <w:r>
        <w:rPr>
          <w:color w:val="000000" w:themeColor="text1"/>
          <w:lang w:val="en-US"/>
        </w:rPr>
        <w:t xml:space="preserve"> bërë Ligjit për Dispozitat Kryesore Kus</w:t>
      </w:r>
      <w:r w:rsidR="00DB1CEF">
        <w:rPr>
          <w:color w:val="000000" w:themeColor="text1"/>
          <w:lang w:val="en-US"/>
        </w:rPr>
        <w:t>htetuese i cili futi</w:t>
      </w:r>
      <w:r>
        <w:rPr>
          <w:color w:val="000000" w:themeColor="text1"/>
          <w:lang w:val="en-US"/>
        </w:rPr>
        <w:t xml:space="preserve"> të drejtën e Shtetit për të kontrolluar dhe administruar pronën e subjekteve private si ajo e shoqërisë ankuese. </w:t>
      </w:r>
    </w:p>
    <w:p w:rsidR="006F4ACB" w:rsidRDefault="006F4ACB" w:rsidP="000409D4">
      <w:pPr>
        <w:pStyle w:val="paragrafi"/>
        <w:numPr>
          <w:ilvl w:val="0"/>
          <w:numId w:val="1"/>
        </w:numPr>
        <w:spacing w:before="0" w:beforeAutospacing="0"/>
        <w:ind w:left="0" w:firstLine="360"/>
        <w:jc w:val="both"/>
        <w:rPr>
          <w:color w:val="000000" w:themeColor="text1"/>
          <w:lang w:val="en-US"/>
        </w:rPr>
      </w:pPr>
      <w:r>
        <w:rPr>
          <w:color w:val="000000" w:themeColor="text1"/>
          <w:lang w:val="en-US"/>
        </w:rPr>
        <w:t xml:space="preserve">  Rrjedhimisht Gjykata vlerëson se, nëse akuzat para Gjykatës së Apelit dhe Gjykatës Kushtetuese ishin, në parim mjete ligjore për t’u shteruar, efektiviteti i tyre është bërë i pavlefshëm nga veprimet e autoriteteve. Prandaj a</w:t>
      </w:r>
      <w:r w:rsidR="00A31D9A">
        <w:rPr>
          <w:color w:val="000000" w:themeColor="text1"/>
          <w:lang w:val="en-US"/>
        </w:rPr>
        <w:t>s</w:t>
      </w:r>
      <w:r>
        <w:rPr>
          <w:color w:val="000000" w:themeColor="text1"/>
          <w:lang w:val="en-US"/>
        </w:rPr>
        <w:t>një nga ankuesit nuk është kërkuar të bëjë rekurs të mëtejshëm me një mjet ligjor, i cili, nëse do të rezultonte i suksesshëm, ka shumë të ngjarë që do të pengohej nga veprimet e autoriteteve.</w:t>
      </w:r>
    </w:p>
    <w:p w:rsidR="006F4ACB" w:rsidRDefault="006F4ACB" w:rsidP="000409D4">
      <w:pPr>
        <w:pStyle w:val="paragrafi"/>
        <w:numPr>
          <w:ilvl w:val="0"/>
          <w:numId w:val="6"/>
        </w:numPr>
        <w:spacing w:before="0" w:beforeAutospacing="0"/>
        <w:ind w:left="-90" w:firstLine="270"/>
        <w:jc w:val="both"/>
        <w:rPr>
          <w:color w:val="000000" w:themeColor="text1"/>
          <w:lang w:val="en-US"/>
        </w:rPr>
      </w:pPr>
      <w:r w:rsidRPr="001025C8">
        <w:rPr>
          <w:color w:val="000000" w:themeColor="text1"/>
          <w:lang w:val="en-US"/>
        </w:rPr>
        <w:t>P</w:t>
      </w:r>
      <w:r>
        <w:rPr>
          <w:color w:val="000000" w:themeColor="text1"/>
          <w:lang w:val="en-US"/>
        </w:rPr>
        <w:t>ë</w:t>
      </w:r>
      <w:r w:rsidRPr="001025C8">
        <w:rPr>
          <w:color w:val="000000" w:themeColor="text1"/>
          <w:lang w:val="en-US"/>
        </w:rPr>
        <w:t>r</w:t>
      </w:r>
      <w:r>
        <w:rPr>
          <w:color w:val="000000" w:themeColor="text1"/>
          <w:lang w:val="en-US"/>
        </w:rPr>
        <w:t xml:space="preserve"> </w:t>
      </w:r>
      <w:r w:rsidRPr="001025C8">
        <w:rPr>
          <w:color w:val="000000" w:themeColor="text1"/>
          <w:lang w:val="en-US"/>
        </w:rPr>
        <w:t>m</w:t>
      </w:r>
      <w:r>
        <w:rPr>
          <w:color w:val="000000" w:themeColor="text1"/>
          <w:lang w:val="en-US"/>
        </w:rPr>
        <w:t xml:space="preserve">ë </w:t>
      </w:r>
      <w:r w:rsidRPr="001025C8">
        <w:rPr>
          <w:color w:val="000000" w:themeColor="text1"/>
          <w:lang w:val="en-US"/>
        </w:rPr>
        <w:t>tep</w:t>
      </w:r>
      <w:r>
        <w:rPr>
          <w:color w:val="000000" w:themeColor="text1"/>
          <w:lang w:val="en-US"/>
        </w:rPr>
        <w:t>ë</w:t>
      </w:r>
      <w:r w:rsidRPr="001025C8">
        <w:rPr>
          <w:color w:val="000000" w:themeColor="text1"/>
          <w:lang w:val="en-US"/>
        </w:rPr>
        <w:t xml:space="preserve">r, </w:t>
      </w:r>
      <w:r>
        <w:rPr>
          <w:color w:val="000000" w:themeColor="text1"/>
          <w:lang w:val="en-US"/>
        </w:rPr>
        <w:t>pas hyrjes në fuqi të Kushtetutës së re në vitin 1998, më 17 Janar 1999 shoqëria ankuese u përpoq të kundërshtonte kushtetueshmërinë e Ligjit për Kontrollin Financiar të Personave Juridikë Jo-bankarë dhe Ligji</w:t>
      </w:r>
      <w:r w:rsidR="00847D59">
        <w:rPr>
          <w:color w:val="000000" w:themeColor="text1"/>
          <w:lang w:val="en-US"/>
        </w:rPr>
        <w:t>t</w:t>
      </w:r>
      <w:r>
        <w:rPr>
          <w:color w:val="000000" w:themeColor="text1"/>
          <w:lang w:val="en-US"/>
        </w:rPr>
        <w:t xml:space="preserve"> për Shitje</w:t>
      </w:r>
      <w:r w:rsidR="00847D59">
        <w:rPr>
          <w:color w:val="000000" w:themeColor="text1"/>
          <w:lang w:val="en-US"/>
        </w:rPr>
        <w:t>n</w:t>
      </w:r>
      <w:r>
        <w:rPr>
          <w:color w:val="000000" w:themeColor="text1"/>
          <w:lang w:val="en-US"/>
        </w:rPr>
        <w:t xml:space="preserve"> e Pasurisë së Personave Juridikë Jo-bankarë. Megjithatë, kundërshtimi i tij nuk mund të përmbushej, me sa duket për mungesë </w:t>
      </w:r>
      <w:r w:rsidR="0004473C">
        <w:rPr>
          <w:color w:val="000000" w:themeColor="text1"/>
          <w:lang w:val="en-US"/>
        </w:rPr>
        <w:t>legjitimimi</w:t>
      </w:r>
      <w:r>
        <w:rPr>
          <w:color w:val="000000" w:themeColor="text1"/>
          <w:lang w:val="en-US"/>
        </w:rPr>
        <w:t xml:space="preserve"> sipas Kushtetutës së re (shih par</w:t>
      </w:r>
      <w:r w:rsidR="00D54029">
        <w:rPr>
          <w:color w:val="000000" w:themeColor="text1"/>
          <w:lang w:val="en-US"/>
        </w:rPr>
        <w:t xml:space="preserve">agrafin 27 më lart). </w:t>
      </w:r>
      <w:r>
        <w:rPr>
          <w:color w:val="000000" w:themeColor="text1"/>
          <w:lang w:val="en-US"/>
        </w:rPr>
        <w:t xml:space="preserve">Gjykata </w:t>
      </w:r>
      <w:r w:rsidR="00D54029">
        <w:rPr>
          <w:color w:val="000000" w:themeColor="text1"/>
          <w:lang w:val="en-US"/>
        </w:rPr>
        <w:t xml:space="preserve">gjithashtu </w:t>
      </w:r>
      <w:r>
        <w:rPr>
          <w:color w:val="000000" w:themeColor="text1"/>
          <w:lang w:val="en-US"/>
        </w:rPr>
        <w:t>përsërit se nëse më shumë se një mjet ligjor efektiv</w:t>
      </w:r>
      <w:r w:rsidR="00D54029">
        <w:rPr>
          <w:color w:val="000000" w:themeColor="text1"/>
          <w:lang w:val="en-US"/>
        </w:rPr>
        <w:t xml:space="preserve"> është në dispozicion</w:t>
      </w:r>
      <w:r w:rsidR="00847D59">
        <w:rPr>
          <w:color w:val="000000" w:themeColor="text1"/>
          <w:lang w:val="en-US"/>
        </w:rPr>
        <w:t>,</w:t>
      </w:r>
      <w:r>
        <w:rPr>
          <w:color w:val="000000" w:themeColor="text1"/>
          <w:lang w:val="en-US"/>
        </w:rPr>
        <w:t xml:space="preserve"> ankuesit i kërkohet të përdorë vetëm njërin prej tyre. Në fakt kur përdoret një mjet ligjor, nuk kërkohet përdorimi i një mjeti tjetër ligjor i cili n</w:t>
      </w:r>
      <w:r w:rsidR="00847D59">
        <w:rPr>
          <w:color w:val="000000" w:themeColor="text1"/>
          <w:lang w:val="en-US"/>
        </w:rPr>
        <w:t>ë</w:t>
      </w:r>
      <w:r>
        <w:rPr>
          <w:color w:val="000000" w:themeColor="text1"/>
          <w:lang w:val="en-US"/>
        </w:rPr>
        <w:t xml:space="preserve"> thelb ka të njëjtin qëllim (</w:t>
      </w:r>
      <w:r>
        <w:rPr>
          <w:lang w:val="en-US"/>
        </w:rPr>
        <w:t>shih</w:t>
      </w:r>
      <w:r w:rsidRPr="004B4EA6">
        <w:rPr>
          <w:lang w:val="en-US"/>
        </w:rPr>
        <w:t xml:space="preserve"> </w:t>
      </w:r>
      <w:r>
        <w:rPr>
          <w:i/>
          <w:lang w:val="en-US" w:eastAsia="en-US"/>
        </w:rPr>
        <w:t>Micallef k</w:t>
      </w:r>
      <w:r w:rsidRPr="004B4EA6">
        <w:rPr>
          <w:i/>
          <w:lang w:val="en-US" w:eastAsia="en-US"/>
        </w:rPr>
        <w:t>. Malt</w:t>
      </w:r>
      <w:r>
        <w:rPr>
          <w:i/>
          <w:lang w:val="en-US" w:eastAsia="en-US"/>
        </w:rPr>
        <w:t>ës</w:t>
      </w:r>
      <w:r w:rsidRPr="004B4EA6">
        <w:rPr>
          <w:lang w:val="en-US" w:eastAsia="en-US"/>
        </w:rPr>
        <w:t xml:space="preserve"> </w:t>
      </w:r>
      <w:r>
        <w:rPr>
          <w:lang w:val="en-US" w:eastAsia="en-US"/>
        </w:rPr>
        <w:t>[GC], nr</w:t>
      </w:r>
      <w:r w:rsidRPr="004B4EA6">
        <w:rPr>
          <w:lang w:val="en-US" w:eastAsia="en-US"/>
        </w:rPr>
        <w:t xml:space="preserve">. 17056/06, § 58, </w:t>
      </w:r>
      <w:r>
        <w:rPr>
          <w:lang w:val="en-US" w:eastAsia="en-US"/>
        </w:rPr>
        <w:t>GJEDNJ</w:t>
      </w:r>
      <w:r w:rsidRPr="004B4EA6">
        <w:rPr>
          <w:lang w:val="en-US" w:eastAsia="en-US"/>
        </w:rPr>
        <w:t xml:space="preserve"> 2009</w:t>
      </w:r>
      <w:r w:rsidRPr="004B4EA6">
        <w:rPr>
          <w:lang w:val="en-US" w:eastAsia="en-US"/>
        </w:rPr>
        <w:noBreakHyphen/>
      </w:r>
      <w:r>
        <w:rPr>
          <w:lang w:val="en-US" w:eastAsia="en-US"/>
        </w:rPr>
        <w:t>..., dhe</w:t>
      </w:r>
      <w:r w:rsidRPr="004B4EA6">
        <w:rPr>
          <w:lang w:val="en-US" w:eastAsia="en-US"/>
        </w:rPr>
        <w:t xml:space="preserve"> </w:t>
      </w:r>
      <w:r>
        <w:rPr>
          <w:i/>
          <w:lang w:val="en-US" w:eastAsia="en-US"/>
        </w:rPr>
        <w:t>Kozacıoğlu k</w:t>
      </w:r>
      <w:r w:rsidRPr="004B4EA6">
        <w:rPr>
          <w:i/>
          <w:lang w:val="en-US" w:eastAsia="en-US"/>
        </w:rPr>
        <w:t>. Tur</w:t>
      </w:r>
      <w:r>
        <w:rPr>
          <w:i/>
          <w:lang w:val="en-US" w:eastAsia="en-US"/>
        </w:rPr>
        <w:t>qisë</w:t>
      </w:r>
      <w:r>
        <w:rPr>
          <w:lang w:val="en-US" w:eastAsia="en-US"/>
        </w:rPr>
        <w:t>, nr</w:t>
      </w:r>
      <w:r w:rsidRPr="004B4EA6">
        <w:rPr>
          <w:lang w:val="en-US" w:eastAsia="en-US"/>
        </w:rPr>
        <w:t>. 2334/03, § 40</w:t>
      </w:r>
      <w:r>
        <w:rPr>
          <w:lang w:val="en-US" w:eastAsia="en-US"/>
        </w:rPr>
        <w:t>, 31 Korrik</w:t>
      </w:r>
      <w:r w:rsidRPr="004B4EA6">
        <w:rPr>
          <w:lang w:val="en-US" w:eastAsia="en-US"/>
        </w:rPr>
        <w:t xml:space="preserve"> 2007</w:t>
      </w:r>
      <w:r>
        <w:rPr>
          <w:color w:val="000000" w:themeColor="text1"/>
          <w:lang w:val="en-US"/>
        </w:rPr>
        <w:t xml:space="preserve">). </w:t>
      </w:r>
      <w:r w:rsidR="00C41FF8">
        <w:rPr>
          <w:color w:val="000000" w:themeColor="text1"/>
          <w:lang w:val="en-US"/>
        </w:rPr>
        <w:t>Në rrethanat e rastit konkret</w:t>
      </w:r>
      <w:r>
        <w:rPr>
          <w:color w:val="000000" w:themeColor="text1"/>
          <w:lang w:val="en-US"/>
        </w:rPr>
        <w:t>, Gjykata vlerëson se ankuesve nuk u është kërkuar të shter</w:t>
      </w:r>
      <w:r w:rsidR="00D54029">
        <w:rPr>
          <w:color w:val="000000" w:themeColor="text1"/>
          <w:lang w:val="en-US"/>
        </w:rPr>
        <w:t>ojnë asnjë mjet tjetër ligjor n</w:t>
      </w:r>
      <w:r>
        <w:rPr>
          <w:color w:val="000000" w:themeColor="text1"/>
          <w:lang w:val="en-US"/>
        </w:rPr>
        <w:t xml:space="preserve">ë </w:t>
      </w:r>
      <w:r w:rsidR="00D54029">
        <w:rPr>
          <w:color w:val="000000" w:themeColor="text1"/>
          <w:lang w:val="en-US"/>
        </w:rPr>
        <w:t xml:space="preserve">dispozicion </w:t>
      </w:r>
      <w:r>
        <w:rPr>
          <w:color w:val="000000" w:themeColor="text1"/>
          <w:lang w:val="en-US"/>
        </w:rPr>
        <w:t xml:space="preserve">siç pretendohet nga Qeveria. </w:t>
      </w:r>
    </w:p>
    <w:p w:rsidR="006F4ACB" w:rsidRDefault="006F4ACB" w:rsidP="000409D4">
      <w:pPr>
        <w:pStyle w:val="paragrafi"/>
        <w:numPr>
          <w:ilvl w:val="0"/>
          <w:numId w:val="6"/>
        </w:numPr>
        <w:spacing w:before="0" w:beforeAutospacing="0"/>
        <w:ind w:left="-90" w:firstLine="270"/>
        <w:jc w:val="both"/>
        <w:rPr>
          <w:color w:val="000000" w:themeColor="text1"/>
          <w:lang w:val="en-US"/>
        </w:rPr>
      </w:pPr>
      <w:r w:rsidRPr="008D0126">
        <w:rPr>
          <w:color w:val="000000" w:themeColor="text1"/>
          <w:lang w:val="en-US"/>
        </w:rPr>
        <w:lastRenderedPageBreak/>
        <w:t>Duke pasur parasysh vler</w:t>
      </w:r>
      <w:r>
        <w:rPr>
          <w:color w:val="000000" w:themeColor="text1"/>
          <w:lang w:val="en-US"/>
        </w:rPr>
        <w:t>ë</w:t>
      </w:r>
      <w:r w:rsidRPr="008D0126">
        <w:rPr>
          <w:color w:val="000000" w:themeColor="text1"/>
          <w:lang w:val="en-US"/>
        </w:rPr>
        <w:t>simet e m</w:t>
      </w:r>
      <w:r>
        <w:rPr>
          <w:color w:val="000000" w:themeColor="text1"/>
          <w:lang w:val="en-US"/>
        </w:rPr>
        <w:t>ë</w:t>
      </w:r>
      <w:r w:rsidRPr="008D0126">
        <w:rPr>
          <w:color w:val="000000" w:themeColor="text1"/>
          <w:lang w:val="en-US"/>
        </w:rPr>
        <w:t>sip</w:t>
      </w:r>
      <w:r>
        <w:rPr>
          <w:color w:val="000000" w:themeColor="text1"/>
          <w:lang w:val="en-US"/>
        </w:rPr>
        <w:t>ë</w:t>
      </w:r>
      <w:r w:rsidRPr="008D0126">
        <w:rPr>
          <w:color w:val="000000" w:themeColor="text1"/>
          <w:lang w:val="en-US"/>
        </w:rPr>
        <w:t>rme, Gjykata vler</w:t>
      </w:r>
      <w:r>
        <w:rPr>
          <w:color w:val="000000" w:themeColor="text1"/>
          <w:lang w:val="en-US"/>
        </w:rPr>
        <w:t>ë</w:t>
      </w:r>
      <w:r w:rsidRPr="008D0126">
        <w:rPr>
          <w:color w:val="000000" w:themeColor="text1"/>
          <w:lang w:val="en-US"/>
        </w:rPr>
        <w:t>son se ky kund</w:t>
      </w:r>
      <w:r>
        <w:rPr>
          <w:color w:val="000000" w:themeColor="text1"/>
          <w:lang w:val="en-US"/>
        </w:rPr>
        <w:t>ë</w:t>
      </w:r>
      <w:r w:rsidRPr="008D0126">
        <w:rPr>
          <w:color w:val="000000" w:themeColor="text1"/>
          <w:lang w:val="en-US"/>
        </w:rPr>
        <w:t>rshtim duhet t</w:t>
      </w:r>
      <w:r>
        <w:rPr>
          <w:color w:val="000000" w:themeColor="text1"/>
          <w:lang w:val="en-US"/>
        </w:rPr>
        <w:t>ë</w:t>
      </w:r>
      <w:r w:rsidRPr="008D0126">
        <w:rPr>
          <w:color w:val="000000" w:themeColor="text1"/>
          <w:lang w:val="en-US"/>
        </w:rPr>
        <w:t xml:space="preserve"> rr</w:t>
      </w:r>
      <w:r>
        <w:rPr>
          <w:color w:val="000000" w:themeColor="text1"/>
          <w:lang w:val="en-US"/>
        </w:rPr>
        <w:t>ë</w:t>
      </w:r>
      <w:r w:rsidRPr="008D0126">
        <w:rPr>
          <w:color w:val="000000" w:themeColor="text1"/>
          <w:lang w:val="en-US"/>
        </w:rPr>
        <w:t>zohet.</w:t>
      </w:r>
    </w:p>
    <w:p w:rsidR="006F4ACB" w:rsidRDefault="006F4ACB" w:rsidP="006F4ACB">
      <w:pPr>
        <w:pStyle w:val="paragrafi"/>
        <w:spacing w:before="0" w:beforeAutospacing="0"/>
        <w:ind w:left="-90"/>
        <w:jc w:val="both"/>
        <w:rPr>
          <w:color w:val="000000" w:themeColor="text1"/>
          <w:lang w:val="en-US"/>
        </w:rPr>
      </w:pPr>
      <w:r>
        <w:rPr>
          <w:color w:val="000000" w:themeColor="text1"/>
          <w:lang w:val="en-US"/>
        </w:rPr>
        <w:t xml:space="preserve">3.   </w:t>
      </w:r>
      <w:r w:rsidRPr="006B55B1">
        <w:rPr>
          <w:i/>
          <w:color w:val="000000" w:themeColor="text1"/>
          <w:lang w:val="en-US"/>
        </w:rPr>
        <w:t>Afati gja</w:t>
      </w:r>
      <w:r>
        <w:rPr>
          <w:i/>
          <w:color w:val="000000" w:themeColor="text1"/>
          <w:lang w:val="en-US"/>
        </w:rPr>
        <w:t>sh</w:t>
      </w:r>
      <w:r w:rsidRPr="006B55B1">
        <w:rPr>
          <w:i/>
          <w:color w:val="000000" w:themeColor="text1"/>
          <w:lang w:val="en-US"/>
        </w:rPr>
        <w:t>t</w:t>
      </w:r>
      <w:r>
        <w:rPr>
          <w:i/>
          <w:color w:val="000000" w:themeColor="text1"/>
          <w:lang w:val="en-US"/>
        </w:rPr>
        <w:t>ë</w:t>
      </w:r>
      <w:r w:rsidRPr="006B55B1">
        <w:rPr>
          <w:i/>
          <w:color w:val="000000" w:themeColor="text1"/>
          <w:lang w:val="en-US"/>
        </w:rPr>
        <w:t>-mujor</w:t>
      </w:r>
      <w:r>
        <w:rPr>
          <w:color w:val="000000" w:themeColor="text1"/>
          <w:lang w:val="en-US"/>
        </w:rPr>
        <w:t xml:space="preserve"> </w:t>
      </w:r>
    </w:p>
    <w:p w:rsidR="006F4ACB" w:rsidRPr="006B55B1" w:rsidRDefault="006F4ACB" w:rsidP="000409D4">
      <w:pPr>
        <w:pStyle w:val="paragrafi"/>
        <w:numPr>
          <w:ilvl w:val="0"/>
          <w:numId w:val="6"/>
        </w:numPr>
        <w:spacing w:before="0" w:beforeAutospacing="0"/>
        <w:ind w:left="-90" w:firstLine="270"/>
        <w:jc w:val="both"/>
        <w:rPr>
          <w:color w:val="000000" w:themeColor="text1"/>
          <w:lang w:val="en-US"/>
        </w:rPr>
      </w:pPr>
      <w:r>
        <w:rPr>
          <w:color w:val="000000" w:themeColor="text1"/>
          <w:lang w:val="en-US"/>
        </w:rPr>
        <w:t xml:space="preserve"> Sipas Nenit 35 </w:t>
      </w:r>
      <w:r w:rsidRPr="004B4EA6">
        <w:rPr>
          <w:lang w:val="en-US" w:eastAsia="en-US"/>
        </w:rPr>
        <w:t>§</w:t>
      </w:r>
      <w:r>
        <w:rPr>
          <w:lang w:val="en-US" w:eastAsia="en-US"/>
        </w:rPr>
        <w:t xml:space="preserve"> 1 të Konventës Gjykata “mund të merret me n</w:t>
      </w:r>
      <w:r w:rsidR="006C6EB5">
        <w:rPr>
          <w:lang w:val="en-US" w:eastAsia="en-US"/>
        </w:rPr>
        <w:t>jë çështje…brenda një periudhe gjasht</w:t>
      </w:r>
      <w:r w:rsidR="006C6EB5">
        <w:rPr>
          <w:color w:val="000000" w:themeColor="text1"/>
          <w:lang w:val="en-US"/>
        </w:rPr>
        <w:t xml:space="preserve">ë </w:t>
      </w:r>
      <w:r>
        <w:rPr>
          <w:lang w:val="en-US" w:eastAsia="en-US"/>
        </w:rPr>
        <w:t xml:space="preserve">mujore nga data kur është marrë </w:t>
      </w:r>
      <w:r w:rsidR="006C6EB5">
        <w:rPr>
          <w:lang w:val="en-US" w:eastAsia="en-US"/>
        </w:rPr>
        <w:t xml:space="preserve">vendimi </w:t>
      </w:r>
      <w:r>
        <w:rPr>
          <w:lang w:val="en-US" w:eastAsia="en-US"/>
        </w:rPr>
        <w:t xml:space="preserve">përfundimtar”. Neni 35 </w:t>
      </w:r>
      <w:r w:rsidRPr="004B4EA6">
        <w:rPr>
          <w:lang w:val="en-US" w:eastAsia="en-US"/>
        </w:rPr>
        <w:t>§</w:t>
      </w:r>
      <w:r>
        <w:rPr>
          <w:lang w:val="en-US" w:eastAsia="en-US"/>
        </w:rPr>
        <w:t xml:space="preserve"> 1 i referohet “vendimit përfundimtar” të marrë në procesin e shterimit të mjeteve ligjore vendase të cilat janë “efektive dhe të mjaftueshme” </w:t>
      </w:r>
      <w:r w:rsidRPr="006C6EB5">
        <w:rPr>
          <w:lang w:val="en-US" w:eastAsia="en-US"/>
        </w:rPr>
        <w:t xml:space="preserve">për të zgjidhur </w:t>
      </w:r>
      <w:r>
        <w:rPr>
          <w:lang w:val="en-US" w:eastAsia="en-US"/>
        </w:rPr>
        <w:t>ankimin e ankuesit. Megjithatë në rastet kur që në fillim është e qartë se asnjë mjet ligjor efektiv nuk është në dispozicion të ankuesit afati shtrihe</w:t>
      </w:r>
      <w:r w:rsidR="006C6EB5">
        <w:rPr>
          <w:lang w:val="en-US" w:eastAsia="en-US"/>
        </w:rPr>
        <w:t>t nga data e ankimit ndaj ligjeve</w:t>
      </w:r>
      <w:r>
        <w:rPr>
          <w:lang w:val="en-US" w:eastAsia="en-US"/>
        </w:rPr>
        <w:t xml:space="preserve"> dhe masave ose nga data e marrjes dijeni të lig</w:t>
      </w:r>
      <w:r w:rsidR="004152A6">
        <w:rPr>
          <w:lang w:val="en-US" w:eastAsia="en-US"/>
        </w:rPr>
        <w:t>jit apo efektit të tij ose d</w:t>
      </w:r>
      <w:r w:rsidR="004152A6">
        <w:rPr>
          <w:color w:val="000000" w:themeColor="text1"/>
          <w:lang w:val="en-US"/>
        </w:rPr>
        <w:t>ë</w:t>
      </w:r>
      <w:r w:rsidR="004152A6">
        <w:rPr>
          <w:lang w:val="en-US" w:eastAsia="en-US"/>
        </w:rPr>
        <w:t>mit</w:t>
      </w:r>
      <w:r w:rsidR="00BB17B8">
        <w:rPr>
          <w:lang w:val="en-US" w:eastAsia="en-US"/>
        </w:rPr>
        <w:t xml:space="preserve"> të ankuesit. K</w:t>
      </w:r>
      <w:r>
        <w:rPr>
          <w:lang w:val="en-US" w:eastAsia="en-US"/>
        </w:rPr>
        <w:t>ur n</w:t>
      </w:r>
      <w:r w:rsidR="006C6EB5">
        <w:rPr>
          <w:lang w:val="en-US" w:eastAsia="en-US"/>
        </w:rPr>
        <w:t>jë ankues përdor</w:t>
      </w:r>
      <w:r>
        <w:rPr>
          <w:lang w:val="en-US" w:eastAsia="en-US"/>
        </w:rPr>
        <w:t xml:space="preserve"> një mjet ligjor ekzi</w:t>
      </w:r>
      <w:r w:rsidR="00BB17B8">
        <w:rPr>
          <w:lang w:val="en-US" w:eastAsia="en-US"/>
        </w:rPr>
        <w:t>s</w:t>
      </w:r>
      <w:r>
        <w:rPr>
          <w:lang w:val="en-US" w:eastAsia="en-US"/>
        </w:rPr>
        <w:t xml:space="preserve">tues </w:t>
      </w:r>
      <w:r w:rsidR="00BB17B8">
        <w:rPr>
          <w:lang w:val="en-US" w:eastAsia="en-US"/>
        </w:rPr>
        <w:t>dhe vetëm më pas bëhet i ndërgjegj</w:t>
      </w:r>
      <w:r>
        <w:rPr>
          <w:lang w:val="en-US" w:eastAsia="en-US"/>
        </w:rPr>
        <w:t xml:space="preserve">shëm për rrethanat që e bëjnë këtë mjet ligjor të paefektshëm, mund të jetë me vend për qëllime të Nenit 35 </w:t>
      </w:r>
      <w:r w:rsidRPr="004B4EA6">
        <w:rPr>
          <w:lang w:val="en-US" w:eastAsia="en-US"/>
        </w:rPr>
        <w:t>§</w:t>
      </w:r>
      <w:r>
        <w:rPr>
          <w:lang w:val="en-US" w:eastAsia="en-US"/>
        </w:rPr>
        <w:t xml:space="preserve"> 1 </w:t>
      </w:r>
      <w:r w:rsidR="004152A6">
        <w:rPr>
          <w:lang w:val="en-US" w:eastAsia="en-US"/>
        </w:rPr>
        <w:t>q</w:t>
      </w:r>
      <w:r w:rsidR="004152A6">
        <w:rPr>
          <w:color w:val="000000" w:themeColor="text1"/>
          <w:lang w:val="en-US"/>
        </w:rPr>
        <w:t>ë</w:t>
      </w:r>
      <w:r w:rsidR="004152A6">
        <w:rPr>
          <w:lang w:val="en-US" w:eastAsia="en-US"/>
        </w:rPr>
        <w:t xml:space="preserve"> </w:t>
      </w:r>
      <w:r>
        <w:rPr>
          <w:lang w:val="en-US" w:eastAsia="en-US"/>
        </w:rPr>
        <w:t>të merre</w:t>
      </w:r>
      <w:r w:rsidR="00BB17B8">
        <w:rPr>
          <w:lang w:val="en-US" w:eastAsia="en-US"/>
        </w:rPr>
        <w:t xml:space="preserve">t si fillim i periudhës gjashtë </w:t>
      </w:r>
      <w:r>
        <w:rPr>
          <w:lang w:val="en-US" w:eastAsia="en-US"/>
        </w:rPr>
        <w:t>mujore data kur për herë të parë ankuesi u bë ose duhej të bë</w:t>
      </w:r>
      <w:r w:rsidR="00BB17B8">
        <w:rPr>
          <w:lang w:val="en-US" w:eastAsia="en-US"/>
        </w:rPr>
        <w:t xml:space="preserve">hej i ndërgjegjshëm </w:t>
      </w:r>
      <w:r>
        <w:rPr>
          <w:lang w:val="en-US" w:eastAsia="en-US"/>
        </w:rPr>
        <w:t xml:space="preserve">për këto rrethana ( </w:t>
      </w:r>
      <w:r>
        <w:rPr>
          <w:lang w:val="en-US"/>
        </w:rPr>
        <w:t>shih</w:t>
      </w:r>
      <w:r w:rsidRPr="00D65F7B">
        <w:rPr>
          <w:lang w:val="en-US"/>
        </w:rPr>
        <w:t xml:space="preserve"> </w:t>
      </w:r>
      <w:r>
        <w:rPr>
          <w:i/>
          <w:lang w:val="en-US"/>
        </w:rPr>
        <w:t>Kolu k</w:t>
      </w:r>
      <w:r w:rsidRPr="00D65F7B">
        <w:rPr>
          <w:i/>
          <w:lang w:val="en-US"/>
        </w:rPr>
        <w:t>. Finland</w:t>
      </w:r>
      <w:r>
        <w:rPr>
          <w:i/>
          <w:lang w:val="en-US"/>
        </w:rPr>
        <w:t>ës</w:t>
      </w:r>
      <w:r w:rsidRPr="00D65F7B">
        <w:rPr>
          <w:lang w:val="en-US"/>
        </w:rPr>
        <w:t xml:space="preserve"> (dec.)</w:t>
      </w:r>
      <w:r>
        <w:rPr>
          <w:lang w:val="en-US"/>
        </w:rPr>
        <w:t>, nr</w:t>
      </w:r>
      <w:r w:rsidRPr="00D65F7B">
        <w:rPr>
          <w:lang w:val="en-US"/>
        </w:rPr>
        <w:t>. 56463/10,</w:t>
      </w:r>
      <w:r>
        <w:rPr>
          <w:lang w:val="en-US"/>
        </w:rPr>
        <w:t xml:space="preserve"> 3 Maj</w:t>
      </w:r>
      <w:r w:rsidRPr="00D65F7B">
        <w:rPr>
          <w:lang w:val="en-US"/>
        </w:rPr>
        <w:t xml:space="preserve"> 2011; </w:t>
      </w:r>
      <w:r w:rsidR="00BB17B8">
        <w:rPr>
          <w:i/>
          <w:lang w:val="en-US" w:eastAsia="en-US"/>
        </w:rPr>
        <w:t>Varnava dh të T</w:t>
      </w:r>
      <w:r>
        <w:rPr>
          <w:i/>
          <w:lang w:val="en-US" w:eastAsia="en-US"/>
        </w:rPr>
        <w:t>jerë k</w:t>
      </w:r>
      <w:r w:rsidRPr="00D65F7B">
        <w:rPr>
          <w:i/>
          <w:lang w:val="en-US" w:eastAsia="en-US"/>
        </w:rPr>
        <w:t>. Tur</w:t>
      </w:r>
      <w:r>
        <w:rPr>
          <w:i/>
          <w:lang w:val="en-US" w:eastAsia="en-US"/>
        </w:rPr>
        <w:t>qisë</w:t>
      </w:r>
      <w:r>
        <w:rPr>
          <w:lang w:val="en-US" w:eastAsia="en-US"/>
        </w:rPr>
        <w:t xml:space="preserve"> [GC], nr</w:t>
      </w:r>
      <w:r w:rsidRPr="00D65F7B">
        <w:rPr>
          <w:lang w:val="en-US" w:eastAsia="en-US"/>
        </w:rPr>
        <w:t xml:space="preserve">. 16064/90, 16065/90, 16066/90, 16068/90, 16069/90, </w:t>
      </w:r>
      <w:r>
        <w:rPr>
          <w:lang w:val="en-US" w:eastAsia="en-US"/>
        </w:rPr>
        <w:t>16070/90, 16071/90, 16072/90 dhe</w:t>
      </w:r>
      <w:r w:rsidRPr="00D65F7B">
        <w:rPr>
          <w:lang w:val="en-US" w:eastAsia="en-US"/>
        </w:rPr>
        <w:t xml:space="preserve"> 16073/90, § 157, </w:t>
      </w:r>
      <w:r>
        <w:rPr>
          <w:lang w:val="en-US" w:eastAsia="en-US"/>
        </w:rPr>
        <w:t>GJEDNJ</w:t>
      </w:r>
      <w:r w:rsidRPr="00D65F7B">
        <w:rPr>
          <w:lang w:val="en-US" w:eastAsia="en-US"/>
        </w:rPr>
        <w:t xml:space="preserve"> 2009</w:t>
      </w:r>
      <w:r w:rsidRPr="00D65F7B">
        <w:rPr>
          <w:lang w:val="en-US" w:eastAsia="en-US"/>
        </w:rPr>
        <w:noBreakHyphen/>
        <w:t>...;</w:t>
      </w:r>
      <w:r w:rsidRPr="00D65F7B">
        <w:rPr>
          <w:lang w:val="en-US"/>
        </w:rPr>
        <w:t xml:space="preserve"> </w:t>
      </w:r>
      <w:r>
        <w:rPr>
          <w:rStyle w:val="ju-005fpara-002cleft-002cfirst-0020line-003a-0020-00200-0020cm--char"/>
          <w:i/>
          <w:iCs/>
          <w:lang w:val="en-US"/>
        </w:rPr>
        <w:t>De</w:t>
      </w:r>
      <w:r w:rsidR="00BB17B8">
        <w:rPr>
          <w:rStyle w:val="ju-005fpara-002cleft-002cfirst-0020line-003a-0020-00200-0020cm--char"/>
          <w:i/>
          <w:iCs/>
          <w:lang w:val="en-US"/>
        </w:rPr>
        <w:t>nnis dhe të T</w:t>
      </w:r>
      <w:r>
        <w:rPr>
          <w:rStyle w:val="ju-005fpara-002cleft-002cfirst-0020line-003a-0020-00200-0020cm--char"/>
          <w:i/>
          <w:iCs/>
          <w:lang w:val="en-US"/>
        </w:rPr>
        <w:t>jerë k</w:t>
      </w:r>
      <w:r w:rsidRPr="00D65F7B">
        <w:rPr>
          <w:rStyle w:val="ju-005fpara-002cleft-002cfirst-0020line-003a-0020-00200-0020cm--char"/>
          <w:i/>
          <w:iCs/>
          <w:lang w:val="en-US"/>
        </w:rPr>
        <w:t xml:space="preserve">. </w:t>
      </w:r>
      <w:r>
        <w:rPr>
          <w:rStyle w:val="ju-005fpara-002cleft-002cfirst-0020line-003a-0020-00200-0020cm--char"/>
          <w:i/>
          <w:iCs/>
          <w:lang w:val="en-US"/>
        </w:rPr>
        <w:t>Mbretërisë së Bashkuar</w:t>
      </w:r>
      <w:r>
        <w:rPr>
          <w:lang w:val="en-US"/>
        </w:rPr>
        <w:t xml:space="preserve"> (dec.), nr. 76573/01, 2 Korrik 2002; dhe</w:t>
      </w:r>
      <w:r w:rsidRPr="00D65F7B">
        <w:rPr>
          <w:lang w:val="en-US"/>
        </w:rPr>
        <w:t xml:space="preserve"> </w:t>
      </w:r>
      <w:r w:rsidR="00BB17B8">
        <w:rPr>
          <w:rStyle w:val="ju-005fpara-002cleft-002cfirst-0020line-003a-0020-00200-0020cm--char"/>
          <w:i/>
          <w:iCs/>
          <w:lang w:val="en-US"/>
        </w:rPr>
        <w:t>Paul dhe Aubrey Edw</w:t>
      </w:r>
      <w:r>
        <w:rPr>
          <w:rStyle w:val="ju-005fpara-002cleft-002cfirst-0020line-003a-0020-00200-0020cm--char"/>
          <w:i/>
          <w:iCs/>
          <w:lang w:val="en-US"/>
        </w:rPr>
        <w:t>ards k</w:t>
      </w:r>
      <w:r w:rsidRPr="00D65F7B">
        <w:rPr>
          <w:rStyle w:val="ju-005fpara-002cleft-002cfirst-0020line-003a-0020-00200-0020cm--char"/>
          <w:i/>
          <w:iCs/>
          <w:lang w:val="en-US"/>
        </w:rPr>
        <w:t xml:space="preserve">. </w:t>
      </w:r>
      <w:r>
        <w:rPr>
          <w:rStyle w:val="ju-005fpara-002cleft-002cfirst-0020line-003a-0020-00200-0020cm--char"/>
          <w:i/>
          <w:iCs/>
          <w:lang w:val="en-US"/>
        </w:rPr>
        <w:t>Mbretërisë së Bashkuar</w:t>
      </w:r>
      <w:r>
        <w:rPr>
          <w:lang w:val="en-US"/>
        </w:rPr>
        <w:t xml:space="preserve"> (dec.), nr. 46477/99, 4 Qershor</w:t>
      </w:r>
      <w:r w:rsidRPr="00D65F7B">
        <w:rPr>
          <w:lang w:val="en-US"/>
        </w:rPr>
        <w:t xml:space="preserve"> 2001</w:t>
      </w:r>
      <w:r>
        <w:rPr>
          <w:lang w:val="en-US" w:eastAsia="en-US"/>
        </w:rPr>
        <w:t>).</w:t>
      </w:r>
    </w:p>
    <w:p w:rsidR="006F4ACB" w:rsidRPr="00C450C1" w:rsidRDefault="006A0413" w:rsidP="000409D4">
      <w:pPr>
        <w:pStyle w:val="paragrafi"/>
        <w:numPr>
          <w:ilvl w:val="0"/>
          <w:numId w:val="6"/>
        </w:numPr>
        <w:spacing w:before="0" w:beforeAutospacing="0"/>
        <w:ind w:left="-90" w:firstLine="270"/>
        <w:jc w:val="both"/>
        <w:rPr>
          <w:color w:val="000000" w:themeColor="text1"/>
          <w:lang w:val="en-US"/>
        </w:rPr>
      </w:pPr>
      <w:r>
        <w:rPr>
          <w:lang w:val="en-US" w:eastAsia="en-US"/>
        </w:rPr>
        <w:t xml:space="preserve">  Në rastin konkret</w:t>
      </w:r>
      <w:r w:rsidR="006F4ACB">
        <w:rPr>
          <w:lang w:val="en-US" w:eastAsia="en-US"/>
        </w:rPr>
        <w:t xml:space="preserve"> Gjykata vëren se ankuesit </w:t>
      </w:r>
      <w:r w:rsidR="00543091" w:rsidRPr="00611489">
        <w:rPr>
          <w:lang w:val="en-US" w:eastAsia="en-US"/>
        </w:rPr>
        <w:t>p</w:t>
      </w:r>
      <w:r w:rsidR="00611489" w:rsidRPr="006C6EB5">
        <w:rPr>
          <w:lang w:val="en-US" w:eastAsia="en-US"/>
        </w:rPr>
        <w:t>ë</w:t>
      </w:r>
      <w:r w:rsidR="00543091" w:rsidRPr="00611489">
        <w:rPr>
          <w:lang w:val="en-US" w:eastAsia="en-US"/>
        </w:rPr>
        <w:t>rdor</w:t>
      </w:r>
      <w:r w:rsidR="00611489" w:rsidRPr="006C6EB5">
        <w:rPr>
          <w:lang w:val="en-US" w:eastAsia="en-US"/>
        </w:rPr>
        <w:t>ë</w:t>
      </w:r>
      <w:r w:rsidR="00543091" w:rsidRPr="00611489">
        <w:rPr>
          <w:lang w:val="en-US" w:eastAsia="en-US"/>
        </w:rPr>
        <w:t>n</w:t>
      </w:r>
      <w:r w:rsidR="00611489">
        <w:rPr>
          <w:lang w:val="en-US" w:eastAsia="en-US"/>
        </w:rPr>
        <w:t xml:space="preserve"> </w:t>
      </w:r>
      <w:r w:rsidR="006F4ACB">
        <w:rPr>
          <w:lang w:val="en-US" w:eastAsia="en-US"/>
        </w:rPr>
        <w:t xml:space="preserve">në mënyrë të suksesshme mjetet ligjore vendase të paktën në dy raste. Efektiviteti i këtyre mjeteve ligjore është dëmtuar nga veprimet vijuese të Qeverisë (shih paragrafët 97-98 më lart). Në një rast të tretë, kërkesa kushtetuese e ankuesit në Gjykatën Kushtetuese është shpallur e papranueshme më 17 Janar 1999 (shih paragrafin 100 më lart). Në këto rrethana, Gjykata vlerëson se </w:t>
      </w:r>
      <w:r w:rsidR="006F4ACB" w:rsidRPr="005E393F">
        <w:rPr>
          <w:lang w:val="en-US" w:eastAsia="en-US"/>
        </w:rPr>
        <w:t>më së shumti</w:t>
      </w:r>
      <w:r w:rsidR="006F4ACB">
        <w:rPr>
          <w:lang w:val="en-US" w:eastAsia="en-US"/>
        </w:rPr>
        <w:t xml:space="preserve"> më 17 Janar 1999 ankuesit u </w:t>
      </w:r>
      <w:r w:rsidR="006F4ACB" w:rsidRPr="005E393F">
        <w:rPr>
          <w:lang w:val="en-US" w:eastAsia="en-US"/>
        </w:rPr>
        <w:t xml:space="preserve">bënë të </w:t>
      </w:r>
      <w:r w:rsidR="00543091" w:rsidRPr="005E393F">
        <w:rPr>
          <w:lang w:val="en-US" w:eastAsia="en-US"/>
        </w:rPr>
        <w:t>nd</w:t>
      </w:r>
      <w:r w:rsidR="005E393F" w:rsidRPr="005E393F">
        <w:rPr>
          <w:lang w:val="en-US" w:eastAsia="en-US"/>
        </w:rPr>
        <w:t>ë</w:t>
      </w:r>
      <w:r w:rsidR="00543091" w:rsidRPr="005E393F">
        <w:rPr>
          <w:lang w:val="en-US" w:eastAsia="en-US"/>
        </w:rPr>
        <w:t>rgjegjsh</w:t>
      </w:r>
      <w:r w:rsidR="005E393F" w:rsidRPr="005E393F">
        <w:rPr>
          <w:lang w:val="en-US" w:eastAsia="en-US"/>
        </w:rPr>
        <w:t>ë</w:t>
      </w:r>
      <w:r w:rsidR="00543091" w:rsidRPr="005E393F">
        <w:rPr>
          <w:lang w:val="en-US" w:eastAsia="en-US"/>
        </w:rPr>
        <w:t>m</w:t>
      </w:r>
      <w:r w:rsidR="006F4ACB">
        <w:rPr>
          <w:lang w:val="en-US" w:eastAsia="en-US"/>
        </w:rPr>
        <w:t xml:space="preserve"> se nuk kishte </w:t>
      </w:r>
      <w:r w:rsidR="005E393F">
        <w:rPr>
          <w:lang w:val="en-US" w:eastAsia="en-US"/>
        </w:rPr>
        <w:t>asnj</w:t>
      </w:r>
      <w:r w:rsidR="005E393F" w:rsidRPr="006C6EB5">
        <w:rPr>
          <w:lang w:val="en-US" w:eastAsia="en-US"/>
        </w:rPr>
        <w:t>ë</w:t>
      </w:r>
      <w:r w:rsidR="005E393F">
        <w:rPr>
          <w:lang w:val="en-US" w:eastAsia="en-US"/>
        </w:rPr>
        <w:t xml:space="preserve"> </w:t>
      </w:r>
      <w:r w:rsidR="006F4ACB">
        <w:rPr>
          <w:lang w:val="en-US" w:eastAsia="en-US"/>
        </w:rPr>
        <w:t>mjet ligjor efektiv në dispozicion të tyre në lid</w:t>
      </w:r>
      <w:r w:rsidR="005E393F">
        <w:rPr>
          <w:lang w:val="en-US" w:eastAsia="en-US"/>
        </w:rPr>
        <w:t>hje me ankimin sipas Nenit 1 t</w:t>
      </w:r>
      <w:r w:rsidR="005E393F" w:rsidRPr="006C6EB5">
        <w:rPr>
          <w:lang w:val="en-US" w:eastAsia="en-US"/>
        </w:rPr>
        <w:t>ë</w:t>
      </w:r>
      <w:r w:rsidR="006F4ACB">
        <w:rPr>
          <w:lang w:val="en-US" w:eastAsia="en-US"/>
        </w:rPr>
        <w:t xml:space="preserve"> Protokollit Nr. 1. Pra ato duhej të </w:t>
      </w:r>
      <w:r w:rsidR="005E393F">
        <w:rPr>
          <w:lang w:val="en-US" w:eastAsia="en-US"/>
        </w:rPr>
        <w:t>kishin paraqitur</w:t>
      </w:r>
      <w:r w:rsidR="006F4ACB">
        <w:rPr>
          <w:lang w:val="en-US" w:eastAsia="en-US"/>
        </w:rPr>
        <w:t xml:space="preserve"> ankimin e tyre brenda gjashtë muajve nga d</w:t>
      </w:r>
      <w:r w:rsidR="00CB1F36">
        <w:rPr>
          <w:lang w:val="en-US" w:eastAsia="en-US"/>
        </w:rPr>
        <w:t>ata e mësipërme. Megjithatë, an</w:t>
      </w:r>
      <w:r w:rsidR="006F4ACB">
        <w:rPr>
          <w:lang w:val="en-US" w:eastAsia="en-US"/>
        </w:rPr>
        <w:t>kimi i tyre është depozituar më 2 Janar 2005.</w:t>
      </w:r>
    </w:p>
    <w:p w:rsidR="006F4ACB" w:rsidRPr="001A560C" w:rsidRDefault="004A0C8E" w:rsidP="000409D4">
      <w:pPr>
        <w:pStyle w:val="paragrafi"/>
        <w:numPr>
          <w:ilvl w:val="0"/>
          <w:numId w:val="6"/>
        </w:numPr>
        <w:spacing w:before="0" w:beforeAutospacing="0"/>
        <w:ind w:left="-90" w:firstLine="270"/>
        <w:jc w:val="both"/>
        <w:rPr>
          <w:color w:val="000000" w:themeColor="text1"/>
          <w:lang w:val="en-US"/>
        </w:rPr>
      </w:pPr>
      <w:r>
        <w:rPr>
          <w:lang w:val="en-US" w:eastAsia="en-US"/>
        </w:rPr>
        <w:t xml:space="preserve">  Gjykata më tej thekson se afati gjashtë </w:t>
      </w:r>
      <w:r w:rsidR="006F4ACB">
        <w:rPr>
          <w:lang w:val="en-US" w:eastAsia="en-US"/>
        </w:rPr>
        <w:t>mujor nuk zbatohet si i tillë në situatat e mëtejshme (</w:t>
      </w:r>
      <w:r w:rsidR="006F4ACB">
        <w:rPr>
          <w:lang w:val="en-US"/>
        </w:rPr>
        <w:t>shih, për shembull</w:t>
      </w:r>
      <w:r w:rsidR="006F4ACB" w:rsidRPr="0003403B">
        <w:rPr>
          <w:lang w:val="en-US"/>
        </w:rPr>
        <w:t xml:space="preserve">, </w:t>
      </w:r>
      <w:r>
        <w:rPr>
          <w:i/>
          <w:lang w:val="en-US" w:eastAsia="en-US"/>
        </w:rPr>
        <w:t>Puto dhe të T</w:t>
      </w:r>
      <w:r w:rsidR="006F4ACB">
        <w:rPr>
          <w:i/>
          <w:lang w:val="en-US" w:eastAsia="en-US"/>
        </w:rPr>
        <w:t>jerë k</w:t>
      </w:r>
      <w:r w:rsidR="006F4ACB" w:rsidRPr="0003403B">
        <w:rPr>
          <w:i/>
          <w:lang w:val="en-US" w:eastAsia="en-US"/>
        </w:rPr>
        <w:t xml:space="preserve">. </w:t>
      </w:r>
      <w:r w:rsidR="006F4ACB">
        <w:rPr>
          <w:i/>
          <w:lang w:val="en-US" w:eastAsia="en-US"/>
        </w:rPr>
        <w:t>Shqipërisë</w:t>
      </w:r>
      <w:r w:rsidR="006F4ACB">
        <w:rPr>
          <w:lang w:val="en-US" w:eastAsia="en-US"/>
        </w:rPr>
        <w:t>, nr</w:t>
      </w:r>
      <w:r w:rsidR="006F4ACB" w:rsidRPr="0003403B">
        <w:rPr>
          <w:lang w:val="en-US" w:eastAsia="en-US"/>
        </w:rPr>
        <w:t>. 609/07</w:t>
      </w:r>
      <w:r w:rsidR="006F4ACB" w:rsidRPr="0003403B">
        <w:rPr>
          <w:snapToGrid w:val="0"/>
          <w:lang w:val="en-US" w:eastAsia="en-US"/>
        </w:rPr>
        <w:t>, § 24</w:t>
      </w:r>
      <w:r w:rsidR="006F4ACB">
        <w:rPr>
          <w:snapToGrid w:val="0"/>
          <w:lang w:val="en-US" w:eastAsia="en-US"/>
        </w:rPr>
        <w:t>, 20 Korrik</w:t>
      </w:r>
      <w:r w:rsidR="006F4ACB" w:rsidRPr="0003403B">
        <w:rPr>
          <w:snapToGrid w:val="0"/>
          <w:lang w:val="en-US" w:eastAsia="en-US"/>
        </w:rPr>
        <w:t xml:space="preserve"> 2010</w:t>
      </w:r>
      <w:r w:rsidR="006F4ACB">
        <w:rPr>
          <w:lang w:val="en-US" w:eastAsia="en-US"/>
        </w:rPr>
        <w:t xml:space="preserve">). Kjo ndodh sepse, nëse ka një situatë me shkelje të vazhdueshme, në të vërtetë afati fillon përsëri çdo ditë dhe vetëm kur ndërpritet </w:t>
      </w:r>
      <w:r w:rsidR="00CB1F36">
        <w:rPr>
          <w:lang w:val="en-US" w:eastAsia="en-US"/>
        </w:rPr>
        <w:t>situata</w:t>
      </w:r>
      <w:r>
        <w:rPr>
          <w:lang w:val="en-US" w:eastAsia="en-US"/>
        </w:rPr>
        <w:t>,</w:t>
      </w:r>
      <w:r w:rsidR="006F4ACB">
        <w:rPr>
          <w:lang w:val="en-US" w:eastAsia="en-US"/>
        </w:rPr>
        <w:t xml:space="preserve"> atëherë përfundon periudha përfundimtare prej gjashtë muajsh (</w:t>
      </w:r>
      <w:r w:rsidR="006F4ACB" w:rsidRPr="0003403B">
        <w:rPr>
          <w:lang w:val="en-US"/>
        </w:rPr>
        <w:t xml:space="preserve">shih, </w:t>
      </w:r>
      <w:r w:rsidR="006F4ACB" w:rsidRPr="0003403B">
        <w:rPr>
          <w:i/>
          <w:lang w:val="en-US" w:eastAsia="en-US"/>
        </w:rPr>
        <w:t xml:space="preserve">Varnava </w:t>
      </w:r>
      <w:r>
        <w:rPr>
          <w:i/>
          <w:lang w:val="en-US" w:eastAsia="en-US"/>
        </w:rPr>
        <w:t>dhe të T</w:t>
      </w:r>
      <w:r w:rsidR="006F4ACB">
        <w:rPr>
          <w:i/>
          <w:lang w:val="en-US" w:eastAsia="en-US"/>
        </w:rPr>
        <w:t>jerë</w:t>
      </w:r>
      <w:r w:rsidR="006F4ACB" w:rsidRPr="0003403B">
        <w:rPr>
          <w:lang w:val="en-US" w:eastAsia="en-US"/>
        </w:rPr>
        <w:t xml:space="preserve">, </w:t>
      </w:r>
      <w:r w:rsidR="006F4ACB">
        <w:rPr>
          <w:lang w:val="en-US" w:eastAsia="en-US"/>
        </w:rPr>
        <w:t>cituar më lart</w:t>
      </w:r>
      <w:r w:rsidR="006F4ACB" w:rsidRPr="0003403B">
        <w:rPr>
          <w:lang w:val="en-US" w:eastAsia="en-US"/>
        </w:rPr>
        <w:t>, §§ 158-159</w:t>
      </w:r>
      <w:r w:rsidR="006F4ACB">
        <w:rPr>
          <w:lang w:val="en-US" w:eastAsia="en-US"/>
        </w:rPr>
        <w:t>).</w:t>
      </w:r>
    </w:p>
    <w:p w:rsidR="006F4ACB" w:rsidRPr="00041F0E" w:rsidRDefault="006F4ACB" w:rsidP="000409D4">
      <w:pPr>
        <w:pStyle w:val="paragrafi"/>
        <w:numPr>
          <w:ilvl w:val="0"/>
          <w:numId w:val="6"/>
        </w:numPr>
        <w:spacing w:before="0" w:beforeAutospacing="0"/>
        <w:ind w:left="-90" w:firstLine="270"/>
        <w:jc w:val="both"/>
        <w:rPr>
          <w:color w:val="000000" w:themeColor="text1"/>
          <w:lang w:val="en-US"/>
        </w:rPr>
      </w:pPr>
      <w:r>
        <w:rPr>
          <w:lang w:val="en-US" w:eastAsia="en-US"/>
        </w:rPr>
        <w:t xml:space="preserve">   Në praktikën e saj ligjore Gjykata ka vlerësuar se ka patur “situata të vazhdueshme” që e paraqisnin çështjen brenda kompetencës së saj në lidhje me Nenin 35 </w:t>
      </w:r>
      <w:r w:rsidRPr="000A7ADF">
        <w:rPr>
          <w:lang w:val="sq-AL"/>
        </w:rPr>
        <w:t>§</w:t>
      </w:r>
      <w:r>
        <w:rPr>
          <w:lang w:val="sq-AL"/>
        </w:rPr>
        <w:t xml:space="preserve"> 1 ku, </w:t>
      </w:r>
      <w:r w:rsidRPr="00041F0E">
        <w:rPr>
          <w:i/>
          <w:lang w:val="sq-AL"/>
        </w:rPr>
        <w:t>inter alia</w:t>
      </w:r>
      <w:r>
        <w:rPr>
          <w:lang w:val="sq-AL"/>
        </w:rPr>
        <w:t>, kishte raste të njëpasnjëshme përkatëse të cilat vazhdonin në kohën e paraqitjes së</w:t>
      </w:r>
      <w:r w:rsidR="007F0DE7">
        <w:rPr>
          <w:lang w:val="sq-AL"/>
        </w:rPr>
        <w:t xml:space="preserve"> ankimit ose përfundonin më her</w:t>
      </w:r>
      <w:r w:rsidR="007F0DE7" w:rsidRPr="006C6EB5">
        <w:rPr>
          <w:lang w:val="en-US" w:eastAsia="en-US"/>
        </w:rPr>
        <w:t>ë</w:t>
      </w:r>
      <w:r>
        <w:rPr>
          <w:lang w:val="sq-AL"/>
        </w:rPr>
        <w:t>t se gjashtë muaj para saj (</w:t>
      </w:r>
      <w:r>
        <w:rPr>
          <w:lang w:val="en-US"/>
        </w:rPr>
        <w:t>shih, për shembull</w:t>
      </w:r>
      <w:r w:rsidRPr="0003403B">
        <w:rPr>
          <w:lang w:val="en-US"/>
        </w:rPr>
        <w:t xml:space="preserve">, </w:t>
      </w:r>
      <w:r w:rsidRPr="0003403B">
        <w:rPr>
          <w:i/>
          <w:lang w:val="en-US" w:eastAsia="en-US"/>
        </w:rPr>
        <w:t xml:space="preserve">Vladimirova </w:t>
      </w:r>
      <w:r w:rsidR="007F0DE7">
        <w:rPr>
          <w:i/>
          <w:lang w:val="en-US" w:eastAsia="en-US"/>
        </w:rPr>
        <w:t>dhe të T</w:t>
      </w:r>
      <w:r>
        <w:rPr>
          <w:i/>
          <w:lang w:val="en-US" w:eastAsia="en-US"/>
        </w:rPr>
        <w:t>jerë k</w:t>
      </w:r>
      <w:r w:rsidRPr="0003403B">
        <w:rPr>
          <w:i/>
          <w:lang w:val="en-US" w:eastAsia="en-US"/>
        </w:rPr>
        <w:t>. Bul</w:t>
      </w:r>
      <w:r>
        <w:rPr>
          <w:i/>
          <w:lang w:val="en-US" w:eastAsia="en-US"/>
        </w:rPr>
        <w:t>lgarisë</w:t>
      </w:r>
      <w:r>
        <w:rPr>
          <w:lang w:val="en-US" w:eastAsia="en-US"/>
        </w:rPr>
        <w:t>, nr</w:t>
      </w:r>
      <w:r w:rsidRPr="0003403B">
        <w:rPr>
          <w:lang w:val="en-US" w:eastAsia="en-US"/>
        </w:rPr>
        <w:t xml:space="preserve">. 42617/02, §§ 29-30, </w:t>
      </w:r>
      <w:r>
        <w:rPr>
          <w:snapToGrid w:val="0"/>
          <w:lang w:val="en-US" w:eastAsia="en-US"/>
        </w:rPr>
        <w:t>26 Shkurt</w:t>
      </w:r>
      <w:r w:rsidRPr="0003403B">
        <w:rPr>
          <w:snapToGrid w:val="0"/>
          <w:lang w:val="en-US" w:eastAsia="en-US"/>
        </w:rPr>
        <w:t xml:space="preserve"> 2009</w:t>
      </w:r>
      <w:r>
        <w:rPr>
          <w:lang w:val="sq-AL"/>
        </w:rPr>
        <w:t xml:space="preserve">) ose ku një </w:t>
      </w:r>
      <w:r w:rsidR="008B7076">
        <w:rPr>
          <w:lang w:val="sq-AL"/>
        </w:rPr>
        <w:t>dispozitë ligjore shkaktonte gje</w:t>
      </w:r>
      <w:r>
        <w:rPr>
          <w:lang w:val="sq-AL"/>
        </w:rPr>
        <w:t xml:space="preserve">ndje të pandryshueshme të çështjeve në formën e një kufizimi të qëndrueshëm mbi të drejtën individuale të mbrojtur nga Konventa, siç është e drejta për të votuar ose </w:t>
      </w:r>
      <w:r w:rsidRPr="00CB1F36">
        <w:rPr>
          <w:lang w:val="sq-AL"/>
        </w:rPr>
        <w:t>kandiduar</w:t>
      </w:r>
      <w:r w:rsidR="00CB1F36">
        <w:rPr>
          <w:lang w:val="sq-AL"/>
        </w:rPr>
        <w:t xml:space="preserve"> për</w:t>
      </w:r>
      <w:r>
        <w:rPr>
          <w:lang w:val="sq-AL"/>
        </w:rPr>
        <w:t xml:space="preserve"> zgjedhje (</w:t>
      </w:r>
      <w:r>
        <w:rPr>
          <w:snapToGrid w:val="0"/>
          <w:lang w:val="en-US" w:eastAsia="en-US"/>
        </w:rPr>
        <w:t>shih</w:t>
      </w:r>
      <w:r w:rsidRPr="0003403B">
        <w:rPr>
          <w:snapToGrid w:val="0"/>
          <w:lang w:val="en-US" w:eastAsia="en-US"/>
        </w:rPr>
        <w:t xml:space="preserve"> </w:t>
      </w:r>
      <w:r>
        <w:rPr>
          <w:i/>
          <w:lang w:val="en-US" w:eastAsia="en-US"/>
        </w:rPr>
        <w:t>Paksas k. Lithuanisë</w:t>
      </w:r>
      <w:r w:rsidRPr="0003403B">
        <w:rPr>
          <w:i/>
          <w:lang w:val="en-US" w:eastAsia="en-US"/>
        </w:rPr>
        <w:t xml:space="preserve"> </w:t>
      </w:r>
      <w:r>
        <w:rPr>
          <w:lang w:val="en-US" w:eastAsia="en-US"/>
        </w:rPr>
        <w:t>[GC], nr</w:t>
      </w:r>
      <w:r w:rsidRPr="0003403B">
        <w:rPr>
          <w:lang w:val="en-US" w:eastAsia="en-US"/>
        </w:rPr>
        <w:t>. 34932/04</w:t>
      </w:r>
      <w:r w:rsidRPr="0078554B">
        <w:rPr>
          <w:snapToGrid w:val="0"/>
          <w:lang w:val="pt-BR" w:eastAsia="en-US"/>
        </w:rPr>
        <w:t xml:space="preserve">, § </w:t>
      </w:r>
      <w:r>
        <w:rPr>
          <w:snapToGrid w:val="0"/>
          <w:lang w:val="pt-BR" w:eastAsia="en-US"/>
        </w:rPr>
        <w:t>83</w:t>
      </w:r>
      <w:r w:rsidRPr="0078554B">
        <w:rPr>
          <w:snapToGrid w:val="0"/>
          <w:lang w:val="pt-BR" w:eastAsia="en-US"/>
        </w:rPr>
        <w:t>, 6</w:t>
      </w:r>
      <w:r>
        <w:rPr>
          <w:snapToGrid w:val="0"/>
          <w:lang w:val="pt-BR" w:eastAsia="en-US"/>
        </w:rPr>
        <w:t> Janar</w:t>
      </w:r>
      <w:r w:rsidRPr="0078554B">
        <w:rPr>
          <w:snapToGrid w:val="0"/>
          <w:lang w:val="pt-BR" w:eastAsia="en-US"/>
        </w:rPr>
        <w:t xml:space="preserve"> 2011</w:t>
      </w:r>
      <w:r>
        <w:rPr>
          <w:snapToGrid w:val="0"/>
          <w:lang w:val="pt-BR" w:eastAsia="en-US"/>
        </w:rPr>
        <w:t>, me referenca të mëtejshme</w:t>
      </w:r>
      <w:r>
        <w:rPr>
          <w:lang w:val="sq-AL"/>
        </w:rPr>
        <w:t>).</w:t>
      </w:r>
    </w:p>
    <w:p w:rsidR="006F4ACB" w:rsidRPr="00A06BF4" w:rsidRDefault="006F4ACB" w:rsidP="000409D4">
      <w:pPr>
        <w:pStyle w:val="paragrafi"/>
        <w:numPr>
          <w:ilvl w:val="0"/>
          <w:numId w:val="6"/>
        </w:numPr>
        <w:spacing w:before="0" w:beforeAutospacing="0"/>
        <w:ind w:left="-90" w:firstLine="270"/>
        <w:jc w:val="both"/>
        <w:rPr>
          <w:color w:val="000000" w:themeColor="text1"/>
          <w:lang w:val="en-US"/>
        </w:rPr>
      </w:pPr>
      <w:r>
        <w:rPr>
          <w:lang w:val="en-US"/>
        </w:rPr>
        <w:t xml:space="preserve">  Gjykata nuk përcakton nëse ankimi i ankuesve ka të bëjë me shkelje të vazhdueshme të Konventës nga Shteti dhe për rrjedhojë është parashtruar në kohën e duhur ose nëse ka të bëjë me një ligj apo situatë që ka mbaruar më vonë se gjashtë muaj para datës së paraqitjes së ankimit të tyre.</w:t>
      </w:r>
    </w:p>
    <w:p w:rsidR="006F4ACB" w:rsidRPr="00E82DC0" w:rsidRDefault="006F4ACB" w:rsidP="000409D4">
      <w:pPr>
        <w:pStyle w:val="paragrafi"/>
        <w:numPr>
          <w:ilvl w:val="0"/>
          <w:numId w:val="6"/>
        </w:numPr>
        <w:spacing w:before="0" w:beforeAutospacing="0"/>
        <w:ind w:left="-90" w:firstLine="270"/>
        <w:jc w:val="both"/>
        <w:rPr>
          <w:color w:val="000000" w:themeColor="text1"/>
          <w:lang w:val="en-US"/>
        </w:rPr>
      </w:pPr>
      <w:r w:rsidRPr="00E82DC0">
        <w:rPr>
          <w:lang w:val="en-US"/>
        </w:rPr>
        <w:t xml:space="preserve">  Ankuesit ankohen sipas Nenit 1 të Protokollit Nr. 1 se legjislacioni në fuqi dhe veprimet e autoriteteve në lidhje me caktimin e administrimit të detyruar, kryerja e </w:t>
      </w:r>
      <w:r w:rsidRPr="00E82DC0">
        <w:rPr>
          <w:lang w:val="en-US"/>
        </w:rPr>
        <w:lastRenderedPageBreak/>
        <w:t>administrimit të detyruar si dhe shitja dhe likuidimi i pasurive të tyre</w:t>
      </w:r>
      <w:r w:rsidR="008B7076">
        <w:rPr>
          <w:lang w:val="en-US"/>
        </w:rPr>
        <w:t>,</w:t>
      </w:r>
      <w:r w:rsidRPr="00E82DC0">
        <w:rPr>
          <w:lang w:val="en-US"/>
        </w:rPr>
        <w:t xml:space="preserve"> </w:t>
      </w:r>
      <w:r w:rsidR="00B929F5">
        <w:rPr>
          <w:lang w:val="en-US"/>
        </w:rPr>
        <w:t>rez</w:t>
      </w:r>
      <w:r w:rsidR="008B7076">
        <w:rPr>
          <w:lang w:val="en-US"/>
        </w:rPr>
        <w:t>ultonte në privimin e s</w:t>
      </w:r>
      <w:r w:rsidRPr="00E82DC0">
        <w:rPr>
          <w:lang w:val="en-US"/>
        </w:rPr>
        <w:t xml:space="preserve">ë drejtës së pronës dhe </w:t>
      </w:r>
      <w:r w:rsidR="002416E2">
        <w:rPr>
          <w:lang w:val="en-US"/>
        </w:rPr>
        <w:t>n</w:t>
      </w:r>
      <w:r w:rsidR="002416E2" w:rsidRPr="006C6EB5">
        <w:rPr>
          <w:lang w:val="en-US" w:eastAsia="en-US"/>
        </w:rPr>
        <w:t>ë</w:t>
      </w:r>
      <w:r w:rsidR="002416E2">
        <w:rPr>
          <w:lang w:val="en-US"/>
        </w:rPr>
        <w:t xml:space="preserve"> </w:t>
      </w:r>
      <w:r w:rsidRPr="00E82DC0">
        <w:rPr>
          <w:lang w:val="en-US"/>
        </w:rPr>
        <w:t xml:space="preserve">mohimin </w:t>
      </w:r>
      <w:r w:rsidR="00B929F5">
        <w:rPr>
          <w:lang w:val="en-US"/>
        </w:rPr>
        <w:t>e s</w:t>
      </w:r>
      <w:r w:rsidR="00B929F5" w:rsidRPr="00E82DC0">
        <w:rPr>
          <w:lang w:val="en-US"/>
        </w:rPr>
        <w:t xml:space="preserve">ë drejtës </w:t>
      </w:r>
      <w:r w:rsidRPr="00E82DC0">
        <w:rPr>
          <w:lang w:val="en-US"/>
        </w:rPr>
        <w:t xml:space="preserve">për </w:t>
      </w:r>
      <w:r w:rsidR="00B929F5">
        <w:rPr>
          <w:lang w:val="en-US"/>
        </w:rPr>
        <w:t>akses</w:t>
      </w:r>
      <w:r w:rsidRPr="00E82DC0">
        <w:rPr>
          <w:lang w:val="en-US"/>
        </w:rPr>
        <w:t xml:space="preserve"> </w:t>
      </w:r>
      <w:r w:rsidR="00B929F5">
        <w:rPr>
          <w:lang w:val="en-US"/>
        </w:rPr>
        <w:t>n</w:t>
      </w:r>
      <w:r w:rsidR="00B929F5" w:rsidRPr="00E82DC0">
        <w:rPr>
          <w:lang w:val="en-US"/>
        </w:rPr>
        <w:t>ë</w:t>
      </w:r>
      <w:r w:rsidR="00B929F5">
        <w:rPr>
          <w:lang w:val="en-US"/>
        </w:rPr>
        <w:t xml:space="preserve"> </w:t>
      </w:r>
      <w:r w:rsidRPr="00E82DC0">
        <w:rPr>
          <w:lang w:val="en-US"/>
        </w:rPr>
        <w:t>drejtësi.</w:t>
      </w:r>
    </w:p>
    <w:p w:rsidR="006F4ACB" w:rsidRPr="00E82DC0" w:rsidRDefault="006F4ACB" w:rsidP="000409D4">
      <w:pPr>
        <w:pStyle w:val="paragrafi"/>
        <w:numPr>
          <w:ilvl w:val="0"/>
          <w:numId w:val="6"/>
        </w:numPr>
        <w:spacing w:before="0" w:beforeAutospacing="0"/>
        <w:ind w:left="-90" w:firstLine="270"/>
        <w:jc w:val="both"/>
        <w:rPr>
          <w:color w:val="000000" w:themeColor="text1"/>
          <w:lang w:val="en-US"/>
        </w:rPr>
      </w:pPr>
      <w:r w:rsidRPr="00E82DC0">
        <w:rPr>
          <w:lang w:val="en-US"/>
        </w:rPr>
        <w:t xml:space="preserve">  Është e qartë nga faktet e </w:t>
      </w:r>
      <w:r>
        <w:rPr>
          <w:lang w:val="en-US"/>
        </w:rPr>
        <w:t>ç</w:t>
      </w:r>
      <w:r w:rsidRPr="00E82DC0">
        <w:rPr>
          <w:lang w:val="en-US"/>
        </w:rPr>
        <w:t>ështjes se ndërhyrja e Shtetit dhe ndërhyrja në gëzimin paqësor të ankuesve të pronës së tyre filloi pas miratimit të Ligjit për Kontrollin Financiar të Personave Juridikë Jo-bankarë më 9 Maj 1997. Masa legjislative të njëpasnjëshme hynë në fuqi, ve</w:t>
      </w:r>
      <w:r>
        <w:rPr>
          <w:lang w:val="en-US"/>
        </w:rPr>
        <w:t>ç</w:t>
      </w:r>
      <w:r w:rsidRPr="00E82DC0">
        <w:rPr>
          <w:lang w:val="en-US"/>
        </w:rPr>
        <w:t xml:space="preserve">anërisht Ligji për Shitjen e Pasurive të </w:t>
      </w:r>
      <w:r w:rsidR="008E2ECC">
        <w:rPr>
          <w:lang w:val="en-US"/>
        </w:rPr>
        <w:t>Personave Juridikë Jo-bankarë i vitit</w:t>
      </w:r>
      <w:r w:rsidRPr="00E82DC0">
        <w:rPr>
          <w:lang w:val="en-US"/>
        </w:rPr>
        <w:t xml:space="preserve"> 1998, Ligji për Rishpërndarjen e Pasurive të Personave Juridikë Jo-bankarë i vitit 1998 si dhe Ligji për Detyrimet Debitore i vitit 1999.</w:t>
      </w:r>
    </w:p>
    <w:p w:rsidR="006F4ACB" w:rsidRPr="00E82DC0" w:rsidRDefault="006F4ACB" w:rsidP="000409D4">
      <w:pPr>
        <w:pStyle w:val="paragrafi"/>
        <w:numPr>
          <w:ilvl w:val="0"/>
          <w:numId w:val="6"/>
        </w:numPr>
        <w:spacing w:before="0" w:beforeAutospacing="0"/>
        <w:ind w:left="-90" w:firstLine="270"/>
        <w:jc w:val="both"/>
        <w:rPr>
          <w:color w:val="000000" w:themeColor="text1"/>
          <w:lang w:val="en-US"/>
        </w:rPr>
      </w:pPr>
      <w:r w:rsidRPr="00E82DC0">
        <w:rPr>
          <w:lang w:val="en-US"/>
        </w:rPr>
        <w:t>Gjykata vëren se miratimi i ligjeve të mësipërme, i cili arriti kulmin në vitin 1999 synonte ve</w:t>
      </w:r>
      <w:r>
        <w:rPr>
          <w:lang w:val="en-US"/>
        </w:rPr>
        <w:t>ç</w:t>
      </w:r>
      <w:r w:rsidRPr="00E82DC0">
        <w:rPr>
          <w:lang w:val="en-US"/>
        </w:rPr>
        <w:t>anërisht personat jo-bankarë si</w:t>
      </w:r>
      <w:r>
        <w:rPr>
          <w:lang w:val="en-US"/>
        </w:rPr>
        <w:t>ç</w:t>
      </w:r>
      <w:r w:rsidRPr="00E82DC0">
        <w:rPr>
          <w:lang w:val="en-US"/>
        </w:rPr>
        <w:t xml:space="preserve"> është rasti </w:t>
      </w:r>
      <w:r w:rsidR="00522CF0">
        <w:rPr>
          <w:lang w:val="en-US"/>
        </w:rPr>
        <w:t>konkret i shoqërisë ankuese</w:t>
      </w:r>
      <w:r w:rsidRPr="00E82DC0">
        <w:rPr>
          <w:lang w:val="en-US"/>
        </w:rPr>
        <w:t>. Ato përbënin ligje të menjëhers</w:t>
      </w:r>
      <w:r w:rsidR="00D55000">
        <w:rPr>
          <w:lang w:val="en-US"/>
        </w:rPr>
        <w:t xml:space="preserve">hme, </w:t>
      </w:r>
      <w:r w:rsidR="00D55000" w:rsidRPr="00F11056">
        <w:rPr>
          <w:lang w:val="en-US"/>
        </w:rPr>
        <w:t>të vetme</w:t>
      </w:r>
      <w:r w:rsidR="00D55000">
        <w:rPr>
          <w:lang w:val="en-US"/>
        </w:rPr>
        <w:t>, që ndodhnin në momente</w:t>
      </w:r>
      <w:r w:rsidRPr="00E82DC0">
        <w:rPr>
          <w:lang w:val="en-US"/>
        </w:rPr>
        <w:t xml:space="preserve"> të ve</w:t>
      </w:r>
      <w:r>
        <w:rPr>
          <w:lang w:val="en-US"/>
        </w:rPr>
        <w:t>ç</w:t>
      </w:r>
      <w:r w:rsidRPr="00E82DC0">
        <w:rPr>
          <w:lang w:val="en-US"/>
        </w:rPr>
        <w:t xml:space="preserve">anta kohore (shih </w:t>
      </w:r>
      <w:r w:rsidRPr="00E82DC0">
        <w:rPr>
          <w:i/>
          <w:lang w:val="en-US"/>
        </w:rPr>
        <w:t>Posti dhe Rahko k. Finlandës</w:t>
      </w:r>
      <w:r w:rsidRPr="00E82DC0">
        <w:rPr>
          <w:lang w:val="en-US"/>
        </w:rPr>
        <w:t xml:space="preserve">, nr. 27824/95, </w:t>
      </w:r>
      <w:r w:rsidRPr="0078554B">
        <w:rPr>
          <w:snapToGrid w:val="0"/>
          <w:lang w:val="pt-BR" w:eastAsia="en-US"/>
        </w:rPr>
        <w:t>§</w:t>
      </w:r>
      <w:r>
        <w:rPr>
          <w:snapToGrid w:val="0"/>
          <w:lang w:val="pt-BR" w:eastAsia="en-US"/>
        </w:rPr>
        <w:t xml:space="preserve"> 40, GJEDNJ 2002-VII;</w:t>
      </w:r>
      <w:r w:rsidR="00522CF0">
        <w:rPr>
          <w:i/>
          <w:snapToGrid w:val="0"/>
          <w:lang w:val="pt-BR" w:eastAsia="en-US"/>
        </w:rPr>
        <w:t>Petkov dhe t</w:t>
      </w:r>
      <w:r>
        <w:rPr>
          <w:i/>
          <w:snapToGrid w:val="0"/>
          <w:lang w:val="pt-BR" w:eastAsia="en-US"/>
        </w:rPr>
        <w:t>ë</w:t>
      </w:r>
      <w:r w:rsidR="00522CF0">
        <w:rPr>
          <w:i/>
          <w:snapToGrid w:val="0"/>
          <w:lang w:val="pt-BR" w:eastAsia="en-US"/>
        </w:rPr>
        <w:t xml:space="preserve"> T</w:t>
      </w:r>
      <w:r w:rsidRPr="009A7976">
        <w:rPr>
          <w:i/>
          <w:snapToGrid w:val="0"/>
          <w:lang w:val="pt-BR" w:eastAsia="en-US"/>
        </w:rPr>
        <w:t>jer</w:t>
      </w:r>
      <w:r>
        <w:rPr>
          <w:i/>
          <w:snapToGrid w:val="0"/>
          <w:lang w:val="pt-BR" w:eastAsia="en-US"/>
        </w:rPr>
        <w:t>ë</w:t>
      </w:r>
      <w:r w:rsidRPr="009A7976">
        <w:rPr>
          <w:i/>
          <w:snapToGrid w:val="0"/>
          <w:lang w:val="pt-BR" w:eastAsia="en-US"/>
        </w:rPr>
        <w:t xml:space="preserve"> k. Bullgaris</w:t>
      </w:r>
      <w:r>
        <w:rPr>
          <w:i/>
          <w:snapToGrid w:val="0"/>
          <w:lang w:val="pt-BR" w:eastAsia="en-US"/>
        </w:rPr>
        <w:t>ë</w:t>
      </w:r>
      <w:r>
        <w:rPr>
          <w:snapToGrid w:val="0"/>
          <w:lang w:val="pt-BR" w:eastAsia="en-US"/>
        </w:rPr>
        <w:t xml:space="preserve"> (dec.), nr. 77568/01, 178/02, dhe 505/02, 4 Dhjetor 2007;dhe </w:t>
      </w:r>
      <w:r w:rsidRPr="009A7976">
        <w:rPr>
          <w:i/>
          <w:snapToGrid w:val="0"/>
          <w:lang w:val="pt-BR" w:eastAsia="en-US"/>
        </w:rPr>
        <w:t>Meltex LTD k. Armenis</w:t>
      </w:r>
      <w:r>
        <w:rPr>
          <w:i/>
          <w:snapToGrid w:val="0"/>
          <w:lang w:val="pt-BR" w:eastAsia="en-US"/>
        </w:rPr>
        <w:t>ë</w:t>
      </w:r>
      <w:r>
        <w:rPr>
          <w:snapToGrid w:val="0"/>
          <w:lang w:val="pt-BR" w:eastAsia="en-US"/>
        </w:rPr>
        <w:t xml:space="preserve"> (dec.), nr. 37780/02, 28 May 2008</w:t>
      </w:r>
      <w:r w:rsidRPr="00E82DC0">
        <w:rPr>
          <w:lang w:val="en-US"/>
        </w:rPr>
        <w:t>). Ndryshimet e Ligjeve të mësipërme, duke përfshirë vendimet e administratorëve dhe vendimet e Këshillit të Ministrave, ishin pasojë e tyre. Fakti q</w:t>
      </w:r>
      <w:r w:rsidR="00522CF0">
        <w:rPr>
          <w:lang w:val="en-US"/>
        </w:rPr>
        <w:t>ë administrimi i detyruar vazhd</w:t>
      </w:r>
      <w:r w:rsidRPr="00E82DC0">
        <w:rPr>
          <w:lang w:val="en-US"/>
        </w:rPr>
        <w:t>on aktualisht</w:t>
      </w:r>
      <w:r w:rsidR="00522CF0">
        <w:rPr>
          <w:lang w:val="en-US"/>
        </w:rPr>
        <w:t>,</w:t>
      </w:r>
      <w:r w:rsidRPr="00E82DC0">
        <w:rPr>
          <w:lang w:val="en-US"/>
        </w:rPr>
        <w:t xml:space="preserve"> nuk shkakton gjendje të pandryshueshme të </w:t>
      </w:r>
      <w:r>
        <w:rPr>
          <w:lang w:val="en-US"/>
        </w:rPr>
        <w:t>ç</w:t>
      </w:r>
      <w:r w:rsidRPr="00E82DC0">
        <w:rPr>
          <w:lang w:val="en-US"/>
        </w:rPr>
        <w:t xml:space="preserve">ështjeve, por është tregues i efekteve të qëndrueshme të masave dhe ligjeve </w:t>
      </w:r>
      <w:r w:rsidR="00B668E3" w:rsidRPr="00E82DC0">
        <w:rPr>
          <w:lang w:val="en-US"/>
        </w:rPr>
        <w:t xml:space="preserve">të fundit </w:t>
      </w:r>
      <w:r w:rsidRPr="00E82DC0">
        <w:rPr>
          <w:lang w:val="en-US"/>
        </w:rPr>
        <w:t>legjislative.</w:t>
      </w:r>
    </w:p>
    <w:p w:rsidR="006F4ACB" w:rsidRPr="00E82DC0" w:rsidRDefault="006F4ACB" w:rsidP="000409D4">
      <w:pPr>
        <w:pStyle w:val="paragrafi"/>
        <w:numPr>
          <w:ilvl w:val="0"/>
          <w:numId w:val="6"/>
        </w:numPr>
        <w:spacing w:before="0" w:beforeAutospacing="0"/>
        <w:ind w:left="-90" w:firstLine="270"/>
        <w:jc w:val="both"/>
        <w:rPr>
          <w:color w:val="000000" w:themeColor="text1"/>
          <w:lang w:val="en-US"/>
        </w:rPr>
      </w:pPr>
      <w:r w:rsidRPr="00E82DC0">
        <w:rPr>
          <w:color w:val="000000" w:themeColor="text1"/>
          <w:lang w:val="en-US"/>
        </w:rPr>
        <w:t xml:space="preserve">  Në këto rrethana veprimet e autoriteteve nuk përbëjnë shkelje të vazhdueshme të së drejtës së ankuesve. Në qoftë se, si</w:t>
      </w:r>
      <w:r>
        <w:rPr>
          <w:color w:val="000000" w:themeColor="text1"/>
          <w:lang w:val="en-US"/>
        </w:rPr>
        <w:t>ç</w:t>
      </w:r>
      <w:r w:rsidRPr="00E82DC0">
        <w:rPr>
          <w:color w:val="000000" w:themeColor="text1"/>
          <w:lang w:val="en-US"/>
        </w:rPr>
        <w:t xml:space="preserve"> pretendojnë ankuesit, ato nuk </w:t>
      </w:r>
      <w:r w:rsidR="00176849" w:rsidRPr="00176849">
        <w:rPr>
          <w:lang w:val="en-US"/>
        </w:rPr>
        <w:t>janë bërë të nd</w:t>
      </w:r>
      <w:r w:rsidRPr="00176849">
        <w:rPr>
          <w:lang w:val="en-US"/>
        </w:rPr>
        <w:t>ë</w:t>
      </w:r>
      <w:r w:rsidR="00176849" w:rsidRPr="00176849">
        <w:rPr>
          <w:lang w:val="en-US"/>
        </w:rPr>
        <w:t>rgjegj</w:t>
      </w:r>
      <w:r w:rsidRPr="00176849">
        <w:rPr>
          <w:lang w:val="en-US"/>
        </w:rPr>
        <w:t>shëm</w:t>
      </w:r>
      <w:r w:rsidRPr="00E82DC0">
        <w:rPr>
          <w:color w:val="000000" w:themeColor="text1"/>
          <w:lang w:val="en-US"/>
        </w:rPr>
        <w:t xml:space="preserve"> për situatën deri në miratimin e raportit parlamentar të vitit 2003, gjithsesi ato nuk kanë vepruar në përputhje me afatin e përcaktuar në Nenin 35 </w:t>
      </w:r>
      <w:r w:rsidRPr="0078554B">
        <w:rPr>
          <w:snapToGrid w:val="0"/>
          <w:lang w:val="pt-BR" w:eastAsia="en-US"/>
        </w:rPr>
        <w:t>§</w:t>
      </w:r>
      <w:r>
        <w:rPr>
          <w:snapToGrid w:val="0"/>
          <w:lang w:val="pt-BR" w:eastAsia="en-US"/>
        </w:rPr>
        <w:t xml:space="preserve"> 1 të Konventës. </w:t>
      </w:r>
    </w:p>
    <w:p w:rsidR="006F4ACB" w:rsidRPr="00E7434B" w:rsidRDefault="00C77463" w:rsidP="000409D4">
      <w:pPr>
        <w:pStyle w:val="paragrafi"/>
        <w:numPr>
          <w:ilvl w:val="0"/>
          <w:numId w:val="6"/>
        </w:numPr>
        <w:spacing w:before="0" w:beforeAutospacing="0"/>
        <w:ind w:left="-90" w:firstLine="270"/>
        <w:jc w:val="both"/>
        <w:rPr>
          <w:color w:val="000000" w:themeColor="text1"/>
          <w:lang w:val="en-US"/>
        </w:rPr>
      </w:pPr>
      <w:r>
        <w:rPr>
          <w:color w:val="000000" w:themeColor="text1"/>
          <w:lang w:val="en-US"/>
        </w:rPr>
        <w:t xml:space="preserve">  Prandaj</w:t>
      </w:r>
      <w:r w:rsidR="00176849">
        <w:rPr>
          <w:color w:val="000000" w:themeColor="text1"/>
          <w:lang w:val="en-US"/>
        </w:rPr>
        <w:t xml:space="preserve"> Gjykata </w:t>
      </w:r>
      <w:r w:rsidR="00B33CD4">
        <w:rPr>
          <w:color w:val="000000" w:themeColor="text1"/>
          <w:lang w:val="en-US"/>
        </w:rPr>
        <w:t>përfundon</w:t>
      </w:r>
      <w:r w:rsidR="006F4ACB" w:rsidRPr="00E82DC0">
        <w:rPr>
          <w:color w:val="000000" w:themeColor="text1"/>
          <w:lang w:val="en-US"/>
        </w:rPr>
        <w:t xml:space="preserve"> se</w:t>
      </w:r>
      <w:r w:rsidR="00176849">
        <w:rPr>
          <w:color w:val="000000" w:themeColor="text1"/>
          <w:lang w:val="en-US"/>
        </w:rPr>
        <w:t xml:space="preserve"> ankimi duhet të rrëzohet meqe</w:t>
      </w:r>
      <w:r w:rsidR="00CB1F36">
        <w:rPr>
          <w:color w:val="000000" w:themeColor="text1"/>
          <w:lang w:val="en-US"/>
        </w:rPr>
        <w:t xml:space="preserve">nëse </w:t>
      </w:r>
      <w:r w:rsidR="00CB1F36" w:rsidRPr="00CB1F36">
        <w:rPr>
          <w:color w:val="000000" w:themeColor="text1"/>
          <w:lang w:val="en-US"/>
        </w:rPr>
        <w:t>ë</w:t>
      </w:r>
      <w:r w:rsidR="00CB1F36">
        <w:rPr>
          <w:color w:val="000000" w:themeColor="text1"/>
          <w:lang w:val="en-US"/>
        </w:rPr>
        <w:t>sht</w:t>
      </w:r>
      <w:r w:rsidR="00CB1F36" w:rsidRPr="00CB1F36">
        <w:rPr>
          <w:color w:val="000000" w:themeColor="text1"/>
          <w:lang w:val="en-US"/>
        </w:rPr>
        <w:t>ë</w:t>
      </w:r>
      <w:r w:rsidR="006F4ACB" w:rsidRPr="00E82DC0">
        <w:rPr>
          <w:color w:val="000000" w:themeColor="text1"/>
          <w:lang w:val="en-US"/>
        </w:rPr>
        <w:t xml:space="preserve"> </w:t>
      </w:r>
      <w:r w:rsidR="00CB1F36">
        <w:rPr>
          <w:color w:val="000000" w:themeColor="text1"/>
          <w:lang w:val="en-US"/>
        </w:rPr>
        <w:t>jasht</w:t>
      </w:r>
      <w:r w:rsidR="00CB1F36" w:rsidRPr="00CB1F36">
        <w:rPr>
          <w:color w:val="000000" w:themeColor="text1"/>
          <w:lang w:val="en-US"/>
        </w:rPr>
        <w:t>ë</w:t>
      </w:r>
      <w:r w:rsidR="00CB1F36">
        <w:rPr>
          <w:color w:val="000000" w:themeColor="text1"/>
          <w:lang w:val="en-US"/>
        </w:rPr>
        <w:t xml:space="preserve"> </w:t>
      </w:r>
      <w:r w:rsidR="006F4ACB" w:rsidRPr="00E82DC0">
        <w:rPr>
          <w:color w:val="000000" w:themeColor="text1"/>
          <w:lang w:val="en-US"/>
        </w:rPr>
        <w:t>afati</w:t>
      </w:r>
      <w:r w:rsidR="00CB1F36">
        <w:rPr>
          <w:color w:val="000000" w:themeColor="text1"/>
          <w:lang w:val="en-US"/>
        </w:rPr>
        <w:t>t</w:t>
      </w:r>
      <w:r w:rsidR="006F4ACB" w:rsidRPr="00E82DC0">
        <w:rPr>
          <w:color w:val="000000" w:themeColor="text1"/>
          <w:lang w:val="en-US"/>
        </w:rPr>
        <w:t xml:space="preserve"> në përputhje me Nenin 35 </w:t>
      </w:r>
      <w:r w:rsidR="006F4ACB" w:rsidRPr="0078554B">
        <w:rPr>
          <w:snapToGrid w:val="0"/>
          <w:lang w:val="pt-BR" w:eastAsia="en-US"/>
        </w:rPr>
        <w:t>§§</w:t>
      </w:r>
      <w:r w:rsidR="006F4ACB">
        <w:rPr>
          <w:snapToGrid w:val="0"/>
          <w:lang w:val="pt-BR" w:eastAsia="en-US"/>
        </w:rPr>
        <w:t xml:space="preserve"> 1 dhe 4 të Konventës. </w:t>
      </w:r>
    </w:p>
    <w:p w:rsidR="006F4ACB" w:rsidRDefault="006F4ACB" w:rsidP="006F4ACB">
      <w:pPr>
        <w:pStyle w:val="paragrafi"/>
        <w:spacing w:before="0" w:beforeAutospacing="0"/>
        <w:jc w:val="both"/>
        <w:rPr>
          <w:snapToGrid w:val="0"/>
          <w:lang w:val="pt-BR" w:eastAsia="en-US"/>
        </w:rPr>
      </w:pPr>
      <w:r>
        <w:rPr>
          <w:snapToGrid w:val="0"/>
          <w:lang w:val="pt-BR" w:eastAsia="en-US"/>
        </w:rPr>
        <w:t>Për këto arsye, Gjykata njëzëri</w:t>
      </w:r>
    </w:p>
    <w:p w:rsidR="006F4ACB" w:rsidRDefault="006F4ACB" w:rsidP="006F4ACB">
      <w:pPr>
        <w:pStyle w:val="paragrafi"/>
        <w:spacing w:before="0" w:beforeAutospacing="0"/>
        <w:jc w:val="both"/>
        <w:rPr>
          <w:snapToGrid w:val="0"/>
          <w:lang w:val="pt-BR" w:eastAsia="en-US"/>
        </w:rPr>
      </w:pPr>
      <w:r w:rsidRPr="00125AB1">
        <w:rPr>
          <w:i/>
          <w:snapToGrid w:val="0"/>
          <w:lang w:val="pt-BR" w:eastAsia="en-US"/>
        </w:rPr>
        <w:t>Deklaron</w:t>
      </w:r>
      <w:r>
        <w:rPr>
          <w:snapToGrid w:val="0"/>
          <w:lang w:val="pt-BR" w:eastAsia="en-US"/>
        </w:rPr>
        <w:t xml:space="preserve"> ankimin të papranueshëm.</w:t>
      </w:r>
    </w:p>
    <w:p w:rsidR="006F4ACB" w:rsidRDefault="006F4ACB" w:rsidP="006F4ACB">
      <w:pPr>
        <w:pStyle w:val="ListParagraph"/>
        <w:ind w:left="90" w:firstLine="618"/>
        <w:jc w:val="both"/>
        <w:rPr>
          <w:lang w:val="pt-BR"/>
        </w:rPr>
      </w:pPr>
      <w:r w:rsidRPr="00CE0952">
        <w:rPr>
          <w:lang w:val="pt-BR"/>
        </w:rPr>
        <w:t>Fatoş Aracı,</w:t>
      </w:r>
      <w:r w:rsidRPr="00CE0952">
        <w:rPr>
          <w:lang w:val="pt-BR"/>
        </w:rPr>
        <w:tab/>
      </w:r>
      <w:r>
        <w:rPr>
          <w:lang w:val="pt-BR"/>
        </w:rPr>
        <w:tab/>
      </w:r>
      <w:r>
        <w:rPr>
          <w:lang w:val="pt-BR"/>
        </w:rPr>
        <w:tab/>
      </w:r>
      <w:r>
        <w:rPr>
          <w:lang w:val="pt-BR"/>
        </w:rPr>
        <w:tab/>
      </w:r>
      <w:r>
        <w:rPr>
          <w:lang w:val="pt-BR"/>
        </w:rPr>
        <w:tab/>
      </w:r>
      <w:r>
        <w:rPr>
          <w:lang w:val="pt-BR"/>
        </w:rPr>
        <w:tab/>
      </w:r>
      <w:r w:rsidRPr="00CE0952">
        <w:rPr>
          <w:noProof/>
          <w:lang w:val="pt-BR"/>
        </w:rPr>
        <w:t>Nicolas Bratza</w:t>
      </w:r>
      <w:r>
        <w:rPr>
          <w:lang w:val="pt-BR"/>
        </w:rPr>
        <w:t xml:space="preserve"> </w:t>
      </w:r>
    </w:p>
    <w:p w:rsidR="006F4ACB" w:rsidRPr="00F469AC" w:rsidRDefault="006F4ACB" w:rsidP="007B4475">
      <w:pPr>
        <w:ind w:firstLine="90"/>
        <w:jc w:val="both"/>
        <w:rPr>
          <w:lang w:val="sq-AL"/>
        </w:rPr>
      </w:pPr>
      <w:r>
        <w:rPr>
          <w:lang w:val="pt-BR"/>
        </w:rPr>
        <w:t>Zëvendës Regjistrues</w:t>
      </w:r>
      <w:r w:rsidR="007B4475">
        <w:rPr>
          <w:lang w:val="pt-BR"/>
        </w:rPr>
        <w:tab/>
      </w:r>
      <w:r w:rsidRPr="00F469AC">
        <w:rPr>
          <w:lang w:val="pt-BR"/>
        </w:rPr>
        <w:tab/>
      </w:r>
      <w:r w:rsidR="007B4475">
        <w:rPr>
          <w:lang w:val="pt-BR"/>
        </w:rPr>
        <w:tab/>
      </w:r>
      <w:r w:rsidR="007B4475">
        <w:rPr>
          <w:lang w:val="pt-BR"/>
        </w:rPr>
        <w:tab/>
      </w:r>
      <w:r w:rsidR="007B4475">
        <w:rPr>
          <w:lang w:val="pt-BR"/>
        </w:rPr>
        <w:tab/>
      </w:r>
      <w:r>
        <w:rPr>
          <w:lang w:val="pt-BR"/>
        </w:rPr>
        <w:t>Kryetar</w:t>
      </w:r>
    </w:p>
    <w:p w:rsidR="006F4ACB" w:rsidRPr="00F469AC" w:rsidRDefault="006F4ACB" w:rsidP="007B4475">
      <w:pPr>
        <w:pStyle w:val="paragrafi"/>
        <w:spacing w:before="0" w:beforeAutospacing="0"/>
        <w:ind w:firstLine="708"/>
        <w:jc w:val="both"/>
        <w:rPr>
          <w:color w:val="000000" w:themeColor="text1"/>
          <w:lang w:val="sq-AL"/>
        </w:rPr>
      </w:pPr>
      <w:r>
        <w:rPr>
          <w:color w:val="000000" w:themeColor="text1"/>
          <w:lang w:val="sq-AL"/>
        </w:rPr>
        <w:t xml:space="preserve">(firma) </w:t>
      </w:r>
      <w:r>
        <w:rPr>
          <w:color w:val="000000" w:themeColor="text1"/>
          <w:lang w:val="sq-AL"/>
        </w:rPr>
        <w:tab/>
      </w:r>
      <w:r>
        <w:rPr>
          <w:color w:val="000000" w:themeColor="text1"/>
          <w:lang w:val="sq-AL"/>
        </w:rPr>
        <w:tab/>
      </w:r>
      <w:r>
        <w:rPr>
          <w:color w:val="000000" w:themeColor="text1"/>
          <w:lang w:val="sq-AL"/>
        </w:rPr>
        <w:tab/>
      </w:r>
      <w:r>
        <w:rPr>
          <w:color w:val="000000" w:themeColor="text1"/>
          <w:lang w:val="sq-AL"/>
        </w:rPr>
        <w:tab/>
      </w:r>
      <w:r>
        <w:rPr>
          <w:color w:val="000000" w:themeColor="text1"/>
          <w:lang w:val="sq-AL"/>
        </w:rPr>
        <w:tab/>
      </w:r>
      <w:r w:rsidR="007B4475">
        <w:rPr>
          <w:color w:val="000000" w:themeColor="text1"/>
          <w:lang w:val="sq-AL"/>
        </w:rPr>
        <w:tab/>
      </w:r>
      <w:r>
        <w:rPr>
          <w:color w:val="000000" w:themeColor="text1"/>
          <w:lang w:val="sq-AL"/>
        </w:rPr>
        <w:t>(firma)</w:t>
      </w:r>
    </w:p>
    <w:p w:rsidR="008C6449" w:rsidRPr="006F4ACB" w:rsidRDefault="008C6449" w:rsidP="006F4ACB">
      <w:pPr>
        <w:rPr>
          <w:szCs w:val="24"/>
        </w:rPr>
      </w:pPr>
    </w:p>
    <w:sectPr w:rsidR="008C6449" w:rsidRPr="006F4ACB" w:rsidSect="007B4475">
      <w:headerReference w:type="default" r:id="rId9"/>
      <w:footerReference w:type="default" r:id="rId10"/>
      <w:pgSz w:w="11906" w:h="16838"/>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EAA" w:rsidRDefault="00D01EAA" w:rsidP="001F214C">
      <w:r>
        <w:separator/>
      </w:r>
    </w:p>
  </w:endnote>
  <w:endnote w:type="continuationSeparator" w:id="0">
    <w:p w:rsidR="00D01EAA" w:rsidRDefault="00D01EAA" w:rsidP="001F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CB" w:rsidRPr="00552F4E" w:rsidRDefault="00FA6ACB" w:rsidP="001F214C">
    <w:pPr>
      <w:pStyle w:val="Footer"/>
      <w:pBdr>
        <w:top w:val="single" w:sz="4" w:space="1" w:color="auto"/>
      </w:pBdr>
      <w:jc w:val="center"/>
      <w:rPr>
        <w:rFonts w:ascii="Calibri" w:eastAsia="Calibri" w:hAnsi="Calibri"/>
        <w:b/>
        <w:i/>
        <w:color w:val="000080"/>
        <w:lang w:val="it-IT"/>
      </w:rPr>
    </w:pPr>
    <w:r w:rsidRPr="00552F4E">
      <w:rPr>
        <w:rFonts w:ascii="Calibri" w:eastAsia="Calibri" w:hAnsi="Calibri"/>
        <w:b/>
        <w:i/>
        <w:color w:val="000080"/>
        <w:lang w:val="it-IT"/>
      </w:rPr>
      <w:t>Shërbimi i Përkthimit Zyrtar, Ministria e Drejtësisë, Republika e Shqipërisë</w:t>
    </w:r>
  </w:p>
  <w:p w:rsidR="00FA6ACB" w:rsidRPr="00552F4E" w:rsidRDefault="00FA6ACB" w:rsidP="001F214C">
    <w:pPr>
      <w:pStyle w:val="Footer"/>
      <w:jc w:val="center"/>
      <w:rPr>
        <w:rFonts w:ascii="Calibri" w:eastAsia="Calibri" w:hAnsi="Calibri"/>
        <w:b/>
        <w:i/>
        <w:color w:val="000080"/>
        <w:lang w:val="fr-FR"/>
      </w:rPr>
    </w:pPr>
    <w:r w:rsidRPr="00552F4E">
      <w:rPr>
        <w:rFonts w:ascii="Calibri" w:eastAsia="Calibri" w:hAnsi="Calibri"/>
        <w:b/>
        <w:i/>
        <w:color w:val="000080"/>
        <w:lang w:val="fr-FR"/>
      </w:rPr>
      <w:t>Service des Traductions Officielles du Ministére de la Justice de la République d’Albanie</w:t>
    </w:r>
  </w:p>
  <w:p w:rsidR="00FA6ACB" w:rsidRPr="001F214C" w:rsidRDefault="00FA6ACB" w:rsidP="001F214C">
    <w:pPr>
      <w:pStyle w:val="Footer"/>
      <w:jc w:val="center"/>
      <w:rPr>
        <w:lang w:val="en-US"/>
      </w:rPr>
    </w:pPr>
    <w:r w:rsidRPr="001F214C">
      <w:rPr>
        <w:rFonts w:ascii="Calibri" w:eastAsia="Calibri" w:hAnsi="Calibri"/>
        <w:b/>
        <w:i/>
        <w:color w:val="000080"/>
        <w:lang w:val="en-US"/>
      </w:rPr>
      <w:t>Republic of Albania, Ministry of Justice, Official Translations Service</w:t>
    </w:r>
  </w:p>
  <w:p w:rsidR="00FA6ACB" w:rsidRPr="001F214C" w:rsidRDefault="00FA6ACB">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EAA" w:rsidRDefault="00D01EAA" w:rsidP="001F214C">
      <w:r>
        <w:separator/>
      </w:r>
    </w:p>
  </w:footnote>
  <w:footnote w:type="continuationSeparator" w:id="0">
    <w:p w:rsidR="00D01EAA" w:rsidRDefault="00D01EAA" w:rsidP="001F214C">
      <w:r>
        <w:continuationSeparator/>
      </w:r>
    </w:p>
  </w:footnote>
  <w:footnote w:id="1">
    <w:p w:rsidR="00FA6ACB" w:rsidRDefault="00FA6ACB" w:rsidP="006F4ACB">
      <w:pPr>
        <w:pStyle w:val="FootnoteText"/>
      </w:pPr>
      <w:r>
        <w:rPr>
          <w:rStyle w:val="FootnoteReference"/>
        </w:rPr>
        <w:footnoteRef/>
      </w:r>
      <w:r w:rsidR="0018146B">
        <w:t xml:space="preserve"> Vendimi i Gjykatës së Rrethit</w:t>
      </w:r>
      <w:r>
        <w:t xml:space="preserve"> i datës 27 Qershor 1997 vendosi të pranonte kërkesën e bërë nga shoqëria ankuese për rritjen e kapitalin të saj në shumën 797,816,311,000 lekë (</w:t>
      </w:r>
      <w:r w:rsidR="003828F8">
        <w:t>p</w:t>
      </w:r>
      <w:r w:rsidR="003828F8">
        <w:rPr>
          <w:lang w:val="sq-AL"/>
        </w:rPr>
        <w:t>ë</w:t>
      </w:r>
      <w:r w:rsidR="003828F8">
        <w:t>r</w:t>
      </w:r>
      <w:r>
        <w:t xml:space="preserve">afërsisht të barabartë me 5,147,202,006 dollarë Amerikanë sipas kursit të këmbimit në kohën përkatëse).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CB" w:rsidRPr="006C023B" w:rsidRDefault="00FA6ACB" w:rsidP="006C023B">
    <w:pPr>
      <w:pStyle w:val="Header"/>
      <w:pBdr>
        <w:bottom w:val="single" w:sz="4" w:space="1" w:color="auto"/>
      </w:pBdr>
      <w:jc w:val="center"/>
      <w:rPr>
        <w:rFonts w:ascii="Calibri" w:eastAsia="Calibri" w:hAnsi="Calibri"/>
        <w:b/>
        <w:color w:val="000080"/>
        <w:sz w:val="18"/>
        <w:lang w:val="en-US"/>
      </w:rPr>
    </w:pPr>
    <w:r w:rsidRPr="006C023B">
      <w:rPr>
        <w:rFonts w:ascii="Calibri" w:eastAsia="Calibri" w:hAnsi="Calibri"/>
        <w:b/>
        <w:color w:val="000080"/>
        <w:sz w:val="18"/>
        <w:lang w:val="en-US"/>
      </w:rPr>
      <w:t xml:space="preserve">PERKTHIM ZYRTAR                       </w:t>
    </w:r>
    <w:r>
      <w:rPr>
        <w:b/>
        <w:color w:val="000080"/>
        <w:sz w:val="18"/>
        <w:lang w:val="en-US"/>
      </w:rPr>
      <w:tab/>
    </w:r>
    <w:r w:rsidRPr="006C023B">
      <w:rPr>
        <w:rFonts w:ascii="Calibri" w:eastAsia="Calibri" w:hAnsi="Calibri"/>
        <w:b/>
        <w:color w:val="000080"/>
        <w:sz w:val="18"/>
        <w:lang w:val="en-US"/>
      </w:rPr>
      <w:t>TRADUCTION OFFICIELLE</w:t>
    </w:r>
    <w:r w:rsidRPr="006C023B">
      <w:rPr>
        <w:rFonts w:ascii="Calibri" w:eastAsia="Calibri" w:hAnsi="Calibri"/>
        <w:b/>
        <w:color w:val="000080"/>
        <w:sz w:val="18"/>
        <w:lang w:val="en-US"/>
      </w:rPr>
      <w:tab/>
      <w:t xml:space="preserve">     OFFICIAL TRANSLATION</w:t>
    </w:r>
  </w:p>
  <w:p w:rsidR="00FA6ACB" w:rsidRPr="001F214C" w:rsidRDefault="00FA6ACB" w:rsidP="006C023B">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0F96"/>
    <w:multiLevelType w:val="hybridMultilevel"/>
    <w:tmpl w:val="93C8082E"/>
    <w:lvl w:ilvl="0" w:tplc="DA3A7AC4">
      <w:start w:val="3"/>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1">
    <w:nsid w:val="0C7D531F"/>
    <w:multiLevelType w:val="hybridMultilevel"/>
    <w:tmpl w:val="9EE0A120"/>
    <w:lvl w:ilvl="0" w:tplc="27065C40">
      <w:start w:val="1"/>
      <w:numFmt w:val="upperLetter"/>
      <w:lvlText w:val="%1."/>
      <w:lvlJc w:val="left"/>
      <w:pPr>
        <w:ind w:left="630" w:hanging="360"/>
      </w:pPr>
      <w:rPr>
        <w:rFonts w:hint="default"/>
      </w:rPr>
    </w:lvl>
    <w:lvl w:ilvl="1" w:tplc="0C070019" w:tentative="1">
      <w:start w:val="1"/>
      <w:numFmt w:val="lowerLetter"/>
      <w:lvlText w:val="%2."/>
      <w:lvlJc w:val="left"/>
      <w:pPr>
        <w:ind w:left="1350" w:hanging="360"/>
      </w:pPr>
    </w:lvl>
    <w:lvl w:ilvl="2" w:tplc="0C07001B" w:tentative="1">
      <w:start w:val="1"/>
      <w:numFmt w:val="lowerRoman"/>
      <w:lvlText w:val="%3."/>
      <w:lvlJc w:val="right"/>
      <w:pPr>
        <w:ind w:left="2070" w:hanging="180"/>
      </w:pPr>
    </w:lvl>
    <w:lvl w:ilvl="3" w:tplc="0C07000F" w:tentative="1">
      <w:start w:val="1"/>
      <w:numFmt w:val="decimal"/>
      <w:lvlText w:val="%4."/>
      <w:lvlJc w:val="left"/>
      <w:pPr>
        <w:ind w:left="2790" w:hanging="360"/>
      </w:pPr>
    </w:lvl>
    <w:lvl w:ilvl="4" w:tplc="0C070019" w:tentative="1">
      <w:start w:val="1"/>
      <w:numFmt w:val="lowerLetter"/>
      <w:lvlText w:val="%5."/>
      <w:lvlJc w:val="left"/>
      <w:pPr>
        <w:ind w:left="3510" w:hanging="360"/>
      </w:pPr>
    </w:lvl>
    <w:lvl w:ilvl="5" w:tplc="0C07001B" w:tentative="1">
      <w:start w:val="1"/>
      <w:numFmt w:val="lowerRoman"/>
      <w:lvlText w:val="%6."/>
      <w:lvlJc w:val="right"/>
      <w:pPr>
        <w:ind w:left="4230" w:hanging="180"/>
      </w:pPr>
    </w:lvl>
    <w:lvl w:ilvl="6" w:tplc="0C07000F" w:tentative="1">
      <w:start w:val="1"/>
      <w:numFmt w:val="decimal"/>
      <w:lvlText w:val="%7."/>
      <w:lvlJc w:val="left"/>
      <w:pPr>
        <w:ind w:left="4950" w:hanging="360"/>
      </w:pPr>
    </w:lvl>
    <w:lvl w:ilvl="7" w:tplc="0C070019" w:tentative="1">
      <w:start w:val="1"/>
      <w:numFmt w:val="lowerLetter"/>
      <w:lvlText w:val="%8."/>
      <w:lvlJc w:val="left"/>
      <w:pPr>
        <w:ind w:left="5670" w:hanging="360"/>
      </w:pPr>
    </w:lvl>
    <w:lvl w:ilvl="8" w:tplc="0C07001B" w:tentative="1">
      <w:start w:val="1"/>
      <w:numFmt w:val="lowerRoman"/>
      <w:lvlText w:val="%9."/>
      <w:lvlJc w:val="right"/>
      <w:pPr>
        <w:ind w:left="6390" w:hanging="180"/>
      </w:pPr>
    </w:lvl>
  </w:abstractNum>
  <w:abstractNum w:abstractNumId="2">
    <w:nsid w:val="1838549F"/>
    <w:multiLevelType w:val="hybridMultilevel"/>
    <w:tmpl w:val="A55C6790"/>
    <w:lvl w:ilvl="0" w:tplc="5C8CC3CA">
      <w:start w:val="100"/>
      <w:numFmt w:val="decimal"/>
      <w:lvlText w:val="%1."/>
      <w:lvlJc w:val="left"/>
      <w:pPr>
        <w:ind w:left="150" w:hanging="420"/>
      </w:pPr>
      <w:rPr>
        <w:rFonts w:hint="default"/>
      </w:rPr>
    </w:lvl>
    <w:lvl w:ilvl="1" w:tplc="0C070019" w:tentative="1">
      <w:start w:val="1"/>
      <w:numFmt w:val="lowerLetter"/>
      <w:lvlText w:val="%2."/>
      <w:lvlJc w:val="left"/>
      <w:pPr>
        <w:ind w:left="810" w:hanging="360"/>
      </w:pPr>
    </w:lvl>
    <w:lvl w:ilvl="2" w:tplc="0C07001B" w:tentative="1">
      <w:start w:val="1"/>
      <w:numFmt w:val="lowerRoman"/>
      <w:lvlText w:val="%3."/>
      <w:lvlJc w:val="right"/>
      <w:pPr>
        <w:ind w:left="1530" w:hanging="180"/>
      </w:pPr>
    </w:lvl>
    <w:lvl w:ilvl="3" w:tplc="0C07000F" w:tentative="1">
      <w:start w:val="1"/>
      <w:numFmt w:val="decimal"/>
      <w:lvlText w:val="%4."/>
      <w:lvlJc w:val="left"/>
      <w:pPr>
        <w:ind w:left="2250" w:hanging="360"/>
      </w:pPr>
    </w:lvl>
    <w:lvl w:ilvl="4" w:tplc="0C070019" w:tentative="1">
      <w:start w:val="1"/>
      <w:numFmt w:val="lowerLetter"/>
      <w:lvlText w:val="%5."/>
      <w:lvlJc w:val="left"/>
      <w:pPr>
        <w:ind w:left="2970" w:hanging="360"/>
      </w:pPr>
    </w:lvl>
    <w:lvl w:ilvl="5" w:tplc="0C07001B" w:tentative="1">
      <w:start w:val="1"/>
      <w:numFmt w:val="lowerRoman"/>
      <w:lvlText w:val="%6."/>
      <w:lvlJc w:val="right"/>
      <w:pPr>
        <w:ind w:left="3690" w:hanging="180"/>
      </w:pPr>
    </w:lvl>
    <w:lvl w:ilvl="6" w:tplc="0C07000F" w:tentative="1">
      <w:start w:val="1"/>
      <w:numFmt w:val="decimal"/>
      <w:lvlText w:val="%7."/>
      <w:lvlJc w:val="left"/>
      <w:pPr>
        <w:ind w:left="4410" w:hanging="360"/>
      </w:pPr>
    </w:lvl>
    <w:lvl w:ilvl="7" w:tplc="0C070019" w:tentative="1">
      <w:start w:val="1"/>
      <w:numFmt w:val="lowerLetter"/>
      <w:lvlText w:val="%8."/>
      <w:lvlJc w:val="left"/>
      <w:pPr>
        <w:ind w:left="5130" w:hanging="360"/>
      </w:pPr>
    </w:lvl>
    <w:lvl w:ilvl="8" w:tplc="0C07001B" w:tentative="1">
      <w:start w:val="1"/>
      <w:numFmt w:val="lowerRoman"/>
      <w:lvlText w:val="%9."/>
      <w:lvlJc w:val="right"/>
      <w:pPr>
        <w:ind w:left="5850" w:hanging="180"/>
      </w:pPr>
    </w:lvl>
  </w:abstractNum>
  <w:abstractNum w:abstractNumId="3">
    <w:nsid w:val="18AE1217"/>
    <w:multiLevelType w:val="hybridMultilevel"/>
    <w:tmpl w:val="BD52657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35182652"/>
    <w:multiLevelType w:val="hybridMultilevel"/>
    <w:tmpl w:val="003ECB42"/>
    <w:lvl w:ilvl="0" w:tplc="1B32D3D0">
      <w:start w:val="1"/>
      <w:numFmt w:val="decimal"/>
      <w:lvlText w:val="%1."/>
      <w:lvlJc w:val="left"/>
      <w:pPr>
        <w:ind w:left="720" w:hanging="360"/>
      </w:pPr>
      <w:rPr>
        <w:rFonts w:ascii="Times New Roman" w:eastAsia="Times New Roman" w:hAnsi="Times New Roman" w:cs="Times New Roman"/>
        <w:color w:val="000000" w:themeColor="text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6C6A6383"/>
    <w:multiLevelType w:val="hybridMultilevel"/>
    <w:tmpl w:val="C6F43AEA"/>
    <w:lvl w:ilvl="0" w:tplc="0D0CFB0C">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6">
    <w:nsid w:val="7F326B6B"/>
    <w:multiLevelType w:val="hybridMultilevel"/>
    <w:tmpl w:val="7B36306A"/>
    <w:lvl w:ilvl="0" w:tplc="5F54A27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EA"/>
    <w:rsid w:val="00002493"/>
    <w:rsid w:val="00002F2D"/>
    <w:rsid w:val="00005C54"/>
    <w:rsid w:val="0000784A"/>
    <w:rsid w:val="00014EA0"/>
    <w:rsid w:val="00017828"/>
    <w:rsid w:val="0002789B"/>
    <w:rsid w:val="00030445"/>
    <w:rsid w:val="0003470D"/>
    <w:rsid w:val="00035E39"/>
    <w:rsid w:val="000409D4"/>
    <w:rsid w:val="00043C35"/>
    <w:rsid w:val="0004473C"/>
    <w:rsid w:val="00044E9C"/>
    <w:rsid w:val="00051040"/>
    <w:rsid w:val="00052098"/>
    <w:rsid w:val="00053E2A"/>
    <w:rsid w:val="0005705F"/>
    <w:rsid w:val="00060B56"/>
    <w:rsid w:val="00060CCB"/>
    <w:rsid w:val="00061F67"/>
    <w:rsid w:val="00065322"/>
    <w:rsid w:val="000761D3"/>
    <w:rsid w:val="000811AF"/>
    <w:rsid w:val="00082362"/>
    <w:rsid w:val="0008375E"/>
    <w:rsid w:val="000A2C1C"/>
    <w:rsid w:val="000B0C14"/>
    <w:rsid w:val="000B0F36"/>
    <w:rsid w:val="000B1572"/>
    <w:rsid w:val="000B21C3"/>
    <w:rsid w:val="000C3344"/>
    <w:rsid w:val="000C5BA2"/>
    <w:rsid w:val="000D18D5"/>
    <w:rsid w:val="000F6668"/>
    <w:rsid w:val="0010397A"/>
    <w:rsid w:val="0010619E"/>
    <w:rsid w:val="00131BAB"/>
    <w:rsid w:val="00133F27"/>
    <w:rsid w:val="0014554A"/>
    <w:rsid w:val="00176849"/>
    <w:rsid w:val="00176D53"/>
    <w:rsid w:val="00177B16"/>
    <w:rsid w:val="00177FF7"/>
    <w:rsid w:val="0018146B"/>
    <w:rsid w:val="0018719C"/>
    <w:rsid w:val="001909AD"/>
    <w:rsid w:val="0019133F"/>
    <w:rsid w:val="0019542C"/>
    <w:rsid w:val="00197BFC"/>
    <w:rsid w:val="001A1DB4"/>
    <w:rsid w:val="001A1F3B"/>
    <w:rsid w:val="001A4C70"/>
    <w:rsid w:val="001A6243"/>
    <w:rsid w:val="001B0F9B"/>
    <w:rsid w:val="001B1302"/>
    <w:rsid w:val="001B240C"/>
    <w:rsid w:val="001B6B7E"/>
    <w:rsid w:val="001B75B5"/>
    <w:rsid w:val="001C1377"/>
    <w:rsid w:val="001C517D"/>
    <w:rsid w:val="001D5656"/>
    <w:rsid w:val="001D58E4"/>
    <w:rsid w:val="001E09CA"/>
    <w:rsid w:val="001E3B2C"/>
    <w:rsid w:val="001F214C"/>
    <w:rsid w:val="001F3544"/>
    <w:rsid w:val="001F607E"/>
    <w:rsid w:val="00214667"/>
    <w:rsid w:val="00215F7D"/>
    <w:rsid w:val="00217BDC"/>
    <w:rsid w:val="00226CC9"/>
    <w:rsid w:val="00232A52"/>
    <w:rsid w:val="002358C5"/>
    <w:rsid w:val="00237D31"/>
    <w:rsid w:val="00240CAF"/>
    <w:rsid w:val="002416E2"/>
    <w:rsid w:val="0024336F"/>
    <w:rsid w:val="00243F5E"/>
    <w:rsid w:val="00244BDE"/>
    <w:rsid w:val="00252AF1"/>
    <w:rsid w:val="00257E43"/>
    <w:rsid w:val="00265D2D"/>
    <w:rsid w:val="002662B7"/>
    <w:rsid w:val="00266F8E"/>
    <w:rsid w:val="00267BDB"/>
    <w:rsid w:val="002720D4"/>
    <w:rsid w:val="00273D6E"/>
    <w:rsid w:val="00273F44"/>
    <w:rsid w:val="00275B0A"/>
    <w:rsid w:val="00281CDB"/>
    <w:rsid w:val="00282575"/>
    <w:rsid w:val="00292D17"/>
    <w:rsid w:val="002A39E0"/>
    <w:rsid w:val="002A4029"/>
    <w:rsid w:val="002A43BD"/>
    <w:rsid w:val="002A4BBF"/>
    <w:rsid w:val="002B6DC5"/>
    <w:rsid w:val="002B73DF"/>
    <w:rsid w:val="002C1006"/>
    <w:rsid w:val="002C2E35"/>
    <w:rsid w:val="002D2C2A"/>
    <w:rsid w:val="002D4263"/>
    <w:rsid w:val="002D596B"/>
    <w:rsid w:val="002F1216"/>
    <w:rsid w:val="002F33E9"/>
    <w:rsid w:val="0031004B"/>
    <w:rsid w:val="003117C5"/>
    <w:rsid w:val="00311CD7"/>
    <w:rsid w:val="0031457C"/>
    <w:rsid w:val="00322240"/>
    <w:rsid w:val="003241C1"/>
    <w:rsid w:val="003275B7"/>
    <w:rsid w:val="00337564"/>
    <w:rsid w:val="00342979"/>
    <w:rsid w:val="00342B2C"/>
    <w:rsid w:val="00342E25"/>
    <w:rsid w:val="0034593A"/>
    <w:rsid w:val="00346008"/>
    <w:rsid w:val="00346552"/>
    <w:rsid w:val="00350D3C"/>
    <w:rsid w:val="003554DC"/>
    <w:rsid w:val="00357970"/>
    <w:rsid w:val="00367742"/>
    <w:rsid w:val="00372A98"/>
    <w:rsid w:val="00374EB2"/>
    <w:rsid w:val="00380DED"/>
    <w:rsid w:val="003828F8"/>
    <w:rsid w:val="0038476E"/>
    <w:rsid w:val="003953D3"/>
    <w:rsid w:val="003A7A55"/>
    <w:rsid w:val="003B4CEA"/>
    <w:rsid w:val="003B5204"/>
    <w:rsid w:val="003B57EC"/>
    <w:rsid w:val="003C6767"/>
    <w:rsid w:val="003D2115"/>
    <w:rsid w:val="003D57DC"/>
    <w:rsid w:val="003E4226"/>
    <w:rsid w:val="003E53C0"/>
    <w:rsid w:val="003E7492"/>
    <w:rsid w:val="003F5EE4"/>
    <w:rsid w:val="003F6DD8"/>
    <w:rsid w:val="00410F40"/>
    <w:rsid w:val="00412504"/>
    <w:rsid w:val="00415222"/>
    <w:rsid w:val="004152A6"/>
    <w:rsid w:val="00434741"/>
    <w:rsid w:val="00436BC1"/>
    <w:rsid w:val="00437A17"/>
    <w:rsid w:val="004403B1"/>
    <w:rsid w:val="00443CAE"/>
    <w:rsid w:val="00444D27"/>
    <w:rsid w:val="00453D3F"/>
    <w:rsid w:val="0045451A"/>
    <w:rsid w:val="0045591B"/>
    <w:rsid w:val="00461529"/>
    <w:rsid w:val="00462BE9"/>
    <w:rsid w:val="00462C66"/>
    <w:rsid w:val="0047017A"/>
    <w:rsid w:val="004706B5"/>
    <w:rsid w:val="00472829"/>
    <w:rsid w:val="00481B33"/>
    <w:rsid w:val="0048255C"/>
    <w:rsid w:val="00485076"/>
    <w:rsid w:val="00491FEE"/>
    <w:rsid w:val="004A0C8E"/>
    <w:rsid w:val="004A171F"/>
    <w:rsid w:val="004A238B"/>
    <w:rsid w:val="004A4EC2"/>
    <w:rsid w:val="004B21A9"/>
    <w:rsid w:val="004B23DE"/>
    <w:rsid w:val="004B454B"/>
    <w:rsid w:val="004B6230"/>
    <w:rsid w:val="004D1F5D"/>
    <w:rsid w:val="004D54B9"/>
    <w:rsid w:val="004E0477"/>
    <w:rsid w:val="004E28CB"/>
    <w:rsid w:val="004E3254"/>
    <w:rsid w:val="004E376C"/>
    <w:rsid w:val="004E49F1"/>
    <w:rsid w:val="004F0087"/>
    <w:rsid w:val="004F2051"/>
    <w:rsid w:val="004F512A"/>
    <w:rsid w:val="004F7274"/>
    <w:rsid w:val="004F79B1"/>
    <w:rsid w:val="004F7B62"/>
    <w:rsid w:val="005025A7"/>
    <w:rsid w:val="00502842"/>
    <w:rsid w:val="00504855"/>
    <w:rsid w:val="00505C3A"/>
    <w:rsid w:val="005068B0"/>
    <w:rsid w:val="0051310A"/>
    <w:rsid w:val="0051355C"/>
    <w:rsid w:val="0051422F"/>
    <w:rsid w:val="00514E8D"/>
    <w:rsid w:val="00522CF0"/>
    <w:rsid w:val="00526311"/>
    <w:rsid w:val="00527EFC"/>
    <w:rsid w:val="005303ED"/>
    <w:rsid w:val="00531A8E"/>
    <w:rsid w:val="00534B05"/>
    <w:rsid w:val="00535EFA"/>
    <w:rsid w:val="00543091"/>
    <w:rsid w:val="005431F4"/>
    <w:rsid w:val="00544DFE"/>
    <w:rsid w:val="00552F27"/>
    <w:rsid w:val="00555A77"/>
    <w:rsid w:val="0056337D"/>
    <w:rsid w:val="00565E16"/>
    <w:rsid w:val="00566279"/>
    <w:rsid w:val="00572E54"/>
    <w:rsid w:val="00581E18"/>
    <w:rsid w:val="005835BC"/>
    <w:rsid w:val="00584668"/>
    <w:rsid w:val="00585697"/>
    <w:rsid w:val="00592B3A"/>
    <w:rsid w:val="005A2155"/>
    <w:rsid w:val="005A36AA"/>
    <w:rsid w:val="005A5D83"/>
    <w:rsid w:val="005C0A81"/>
    <w:rsid w:val="005C6B64"/>
    <w:rsid w:val="005E08BD"/>
    <w:rsid w:val="005E393F"/>
    <w:rsid w:val="005F1316"/>
    <w:rsid w:val="005F5CD4"/>
    <w:rsid w:val="00605D13"/>
    <w:rsid w:val="006103F2"/>
    <w:rsid w:val="00611489"/>
    <w:rsid w:val="00612433"/>
    <w:rsid w:val="00614652"/>
    <w:rsid w:val="00615287"/>
    <w:rsid w:val="00625FE0"/>
    <w:rsid w:val="006266B9"/>
    <w:rsid w:val="0063008E"/>
    <w:rsid w:val="00634B24"/>
    <w:rsid w:val="006451F4"/>
    <w:rsid w:val="00645A2C"/>
    <w:rsid w:val="006512D6"/>
    <w:rsid w:val="00655EB7"/>
    <w:rsid w:val="00657E45"/>
    <w:rsid w:val="00663F11"/>
    <w:rsid w:val="00667182"/>
    <w:rsid w:val="00676EF7"/>
    <w:rsid w:val="0067708F"/>
    <w:rsid w:val="00683CFE"/>
    <w:rsid w:val="00685D5E"/>
    <w:rsid w:val="00694C4E"/>
    <w:rsid w:val="0069659D"/>
    <w:rsid w:val="006A0413"/>
    <w:rsid w:val="006A7784"/>
    <w:rsid w:val="006C023B"/>
    <w:rsid w:val="006C1CC9"/>
    <w:rsid w:val="006C25CF"/>
    <w:rsid w:val="006C6EB5"/>
    <w:rsid w:val="006C6F0D"/>
    <w:rsid w:val="006D177C"/>
    <w:rsid w:val="006F0326"/>
    <w:rsid w:val="006F3222"/>
    <w:rsid w:val="006F4ACB"/>
    <w:rsid w:val="006F50E3"/>
    <w:rsid w:val="006F6BF8"/>
    <w:rsid w:val="00702077"/>
    <w:rsid w:val="00703432"/>
    <w:rsid w:val="0070550E"/>
    <w:rsid w:val="007056F7"/>
    <w:rsid w:val="00711840"/>
    <w:rsid w:val="007156C9"/>
    <w:rsid w:val="00720E67"/>
    <w:rsid w:val="00734040"/>
    <w:rsid w:val="0073522B"/>
    <w:rsid w:val="00735629"/>
    <w:rsid w:val="00751E44"/>
    <w:rsid w:val="00764184"/>
    <w:rsid w:val="00775AF8"/>
    <w:rsid w:val="007768C4"/>
    <w:rsid w:val="00777097"/>
    <w:rsid w:val="00777175"/>
    <w:rsid w:val="00780483"/>
    <w:rsid w:val="00783162"/>
    <w:rsid w:val="00785366"/>
    <w:rsid w:val="007871C3"/>
    <w:rsid w:val="00793E64"/>
    <w:rsid w:val="007A2A2B"/>
    <w:rsid w:val="007B4475"/>
    <w:rsid w:val="007B6F86"/>
    <w:rsid w:val="007C3BE0"/>
    <w:rsid w:val="007C4766"/>
    <w:rsid w:val="007C551E"/>
    <w:rsid w:val="007C66AC"/>
    <w:rsid w:val="007D0730"/>
    <w:rsid w:val="007D24FE"/>
    <w:rsid w:val="007E0373"/>
    <w:rsid w:val="007E17D5"/>
    <w:rsid w:val="007E390D"/>
    <w:rsid w:val="007E67C4"/>
    <w:rsid w:val="007F0DE7"/>
    <w:rsid w:val="007F1BC2"/>
    <w:rsid w:val="007F2459"/>
    <w:rsid w:val="007F3874"/>
    <w:rsid w:val="007F4D5A"/>
    <w:rsid w:val="007F6A48"/>
    <w:rsid w:val="007F7EFA"/>
    <w:rsid w:val="008029CE"/>
    <w:rsid w:val="00805017"/>
    <w:rsid w:val="008060C7"/>
    <w:rsid w:val="00810AB3"/>
    <w:rsid w:val="008162AF"/>
    <w:rsid w:val="008412D2"/>
    <w:rsid w:val="00847D59"/>
    <w:rsid w:val="00850F94"/>
    <w:rsid w:val="00855F1F"/>
    <w:rsid w:val="008817AD"/>
    <w:rsid w:val="00882B18"/>
    <w:rsid w:val="0088300A"/>
    <w:rsid w:val="00883F4C"/>
    <w:rsid w:val="008852D1"/>
    <w:rsid w:val="00890DAC"/>
    <w:rsid w:val="00890F26"/>
    <w:rsid w:val="0089250D"/>
    <w:rsid w:val="00893E1B"/>
    <w:rsid w:val="00895017"/>
    <w:rsid w:val="00897477"/>
    <w:rsid w:val="008B2D81"/>
    <w:rsid w:val="008B7076"/>
    <w:rsid w:val="008B7205"/>
    <w:rsid w:val="008C4283"/>
    <w:rsid w:val="008C4EAC"/>
    <w:rsid w:val="008C5B6B"/>
    <w:rsid w:val="008C6449"/>
    <w:rsid w:val="008D4084"/>
    <w:rsid w:val="008D4D39"/>
    <w:rsid w:val="008E1A39"/>
    <w:rsid w:val="008E2ECC"/>
    <w:rsid w:val="009005FF"/>
    <w:rsid w:val="00903C61"/>
    <w:rsid w:val="009062BA"/>
    <w:rsid w:val="00923FFE"/>
    <w:rsid w:val="00927595"/>
    <w:rsid w:val="00930D47"/>
    <w:rsid w:val="00953591"/>
    <w:rsid w:val="00954E1F"/>
    <w:rsid w:val="00955523"/>
    <w:rsid w:val="009568F9"/>
    <w:rsid w:val="00956F32"/>
    <w:rsid w:val="00957911"/>
    <w:rsid w:val="00962C75"/>
    <w:rsid w:val="00964A8F"/>
    <w:rsid w:val="00970745"/>
    <w:rsid w:val="00971F04"/>
    <w:rsid w:val="00974B1D"/>
    <w:rsid w:val="0098065D"/>
    <w:rsid w:val="009841CF"/>
    <w:rsid w:val="00985603"/>
    <w:rsid w:val="00990123"/>
    <w:rsid w:val="0099553D"/>
    <w:rsid w:val="009B4624"/>
    <w:rsid w:val="009B5BC3"/>
    <w:rsid w:val="009B673A"/>
    <w:rsid w:val="009C612B"/>
    <w:rsid w:val="009C7D11"/>
    <w:rsid w:val="009D2A0D"/>
    <w:rsid w:val="009E057E"/>
    <w:rsid w:val="009E0ACE"/>
    <w:rsid w:val="009F1906"/>
    <w:rsid w:val="009F2FC9"/>
    <w:rsid w:val="00A0219B"/>
    <w:rsid w:val="00A100EA"/>
    <w:rsid w:val="00A10D0F"/>
    <w:rsid w:val="00A11D55"/>
    <w:rsid w:val="00A13689"/>
    <w:rsid w:val="00A155F9"/>
    <w:rsid w:val="00A163A4"/>
    <w:rsid w:val="00A16EEA"/>
    <w:rsid w:val="00A20EEC"/>
    <w:rsid w:val="00A2203B"/>
    <w:rsid w:val="00A25589"/>
    <w:rsid w:val="00A279A7"/>
    <w:rsid w:val="00A27EAC"/>
    <w:rsid w:val="00A30AC2"/>
    <w:rsid w:val="00A315C2"/>
    <w:rsid w:val="00A31CC6"/>
    <w:rsid w:val="00A31D9A"/>
    <w:rsid w:val="00A3454E"/>
    <w:rsid w:val="00A40BD4"/>
    <w:rsid w:val="00A42EAF"/>
    <w:rsid w:val="00A46B37"/>
    <w:rsid w:val="00A50BA6"/>
    <w:rsid w:val="00A624F4"/>
    <w:rsid w:val="00A63BF4"/>
    <w:rsid w:val="00A70B11"/>
    <w:rsid w:val="00A70FEB"/>
    <w:rsid w:val="00A72FF5"/>
    <w:rsid w:val="00A74989"/>
    <w:rsid w:val="00A76B38"/>
    <w:rsid w:val="00A863FC"/>
    <w:rsid w:val="00A8677C"/>
    <w:rsid w:val="00A929F0"/>
    <w:rsid w:val="00AB453D"/>
    <w:rsid w:val="00AB5449"/>
    <w:rsid w:val="00AC394A"/>
    <w:rsid w:val="00AD6B5B"/>
    <w:rsid w:val="00AD6F2F"/>
    <w:rsid w:val="00AD7D77"/>
    <w:rsid w:val="00AE0B03"/>
    <w:rsid w:val="00AE4769"/>
    <w:rsid w:val="00AE47D2"/>
    <w:rsid w:val="00AE77B5"/>
    <w:rsid w:val="00AF0F2A"/>
    <w:rsid w:val="00AF4947"/>
    <w:rsid w:val="00AF7661"/>
    <w:rsid w:val="00B002F2"/>
    <w:rsid w:val="00B05B3F"/>
    <w:rsid w:val="00B16098"/>
    <w:rsid w:val="00B162BF"/>
    <w:rsid w:val="00B2273F"/>
    <w:rsid w:val="00B23273"/>
    <w:rsid w:val="00B232F1"/>
    <w:rsid w:val="00B2588A"/>
    <w:rsid w:val="00B25EBA"/>
    <w:rsid w:val="00B31A21"/>
    <w:rsid w:val="00B3329F"/>
    <w:rsid w:val="00B33CD4"/>
    <w:rsid w:val="00B34675"/>
    <w:rsid w:val="00B42FD2"/>
    <w:rsid w:val="00B46EA3"/>
    <w:rsid w:val="00B50CDD"/>
    <w:rsid w:val="00B57E51"/>
    <w:rsid w:val="00B606E1"/>
    <w:rsid w:val="00B62639"/>
    <w:rsid w:val="00B64C88"/>
    <w:rsid w:val="00B668E3"/>
    <w:rsid w:val="00B704C6"/>
    <w:rsid w:val="00B70BDB"/>
    <w:rsid w:val="00B769A5"/>
    <w:rsid w:val="00B84A10"/>
    <w:rsid w:val="00B929F5"/>
    <w:rsid w:val="00B953F2"/>
    <w:rsid w:val="00B96D95"/>
    <w:rsid w:val="00BA1BA8"/>
    <w:rsid w:val="00BA47BA"/>
    <w:rsid w:val="00BB17B8"/>
    <w:rsid w:val="00BC2BD4"/>
    <w:rsid w:val="00BD7643"/>
    <w:rsid w:val="00BE0568"/>
    <w:rsid w:val="00BE07AA"/>
    <w:rsid w:val="00BE403B"/>
    <w:rsid w:val="00BE6ED1"/>
    <w:rsid w:val="00BF1F82"/>
    <w:rsid w:val="00BF4195"/>
    <w:rsid w:val="00BF748C"/>
    <w:rsid w:val="00C067AE"/>
    <w:rsid w:val="00C1553B"/>
    <w:rsid w:val="00C303BB"/>
    <w:rsid w:val="00C41FF8"/>
    <w:rsid w:val="00C42AD6"/>
    <w:rsid w:val="00C43D66"/>
    <w:rsid w:val="00C474DB"/>
    <w:rsid w:val="00C50491"/>
    <w:rsid w:val="00C562C1"/>
    <w:rsid w:val="00C5663D"/>
    <w:rsid w:val="00C60EA1"/>
    <w:rsid w:val="00C70652"/>
    <w:rsid w:val="00C740DB"/>
    <w:rsid w:val="00C75590"/>
    <w:rsid w:val="00C77463"/>
    <w:rsid w:val="00C80767"/>
    <w:rsid w:val="00C80A55"/>
    <w:rsid w:val="00C94F44"/>
    <w:rsid w:val="00C95C07"/>
    <w:rsid w:val="00CA4AE0"/>
    <w:rsid w:val="00CA5F21"/>
    <w:rsid w:val="00CB0822"/>
    <w:rsid w:val="00CB1F36"/>
    <w:rsid w:val="00CC04E5"/>
    <w:rsid w:val="00CC4829"/>
    <w:rsid w:val="00CD734A"/>
    <w:rsid w:val="00CE0727"/>
    <w:rsid w:val="00CE0DA2"/>
    <w:rsid w:val="00CE3018"/>
    <w:rsid w:val="00CE491A"/>
    <w:rsid w:val="00D01EAA"/>
    <w:rsid w:val="00D02B1D"/>
    <w:rsid w:val="00D03233"/>
    <w:rsid w:val="00D04F3F"/>
    <w:rsid w:val="00D151B5"/>
    <w:rsid w:val="00D15667"/>
    <w:rsid w:val="00D21ADF"/>
    <w:rsid w:val="00D26B76"/>
    <w:rsid w:val="00D3047C"/>
    <w:rsid w:val="00D31D94"/>
    <w:rsid w:val="00D53784"/>
    <w:rsid w:val="00D54029"/>
    <w:rsid w:val="00D55000"/>
    <w:rsid w:val="00D55C64"/>
    <w:rsid w:val="00D56398"/>
    <w:rsid w:val="00D84766"/>
    <w:rsid w:val="00D93209"/>
    <w:rsid w:val="00DA212D"/>
    <w:rsid w:val="00DA2769"/>
    <w:rsid w:val="00DA310B"/>
    <w:rsid w:val="00DA3BCE"/>
    <w:rsid w:val="00DB0DFC"/>
    <w:rsid w:val="00DB1CEF"/>
    <w:rsid w:val="00DB2170"/>
    <w:rsid w:val="00DB361E"/>
    <w:rsid w:val="00DB5B4A"/>
    <w:rsid w:val="00DB69BF"/>
    <w:rsid w:val="00DC060D"/>
    <w:rsid w:val="00DC2325"/>
    <w:rsid w:val="00DC40C9"/>
    <w:rsid w:val="00DC44AE"/>
    <w:rsid w:val="00DC6E83"/>
    <w:rsid w:val="00DD3978"/>
    <w:rsid w:val="00DE4A4C"/>
    <w:rsid w:val="00DE4AA1"/>
    <w:rsid w:val="00DE7966"/>
    <w:rsid w:val="00DF2EF5"/>
    <w:rsid w:val="00DF53A2"/>
    <w:rsid w:val="00DF55C8"/>
    <w:rsid w:val="00E00151"/>
    <w:rsid w:val="00E04D83"/>
    <w:rsid w:val="00E05124"/>
    <w:rsid w:val="00E057D0"/>
    <w:rsid w:val="00E06488"/>
    <w:rsid w:val="00E261DF"/>
    <w:rsid w:val="00E307BD"/>
    <w:rsid w:val="00E36A22"/>
    <w:rsid w:val="00E44218"/>
    <w:rsid w:val="00E64C7D"/>
    <w:rsid w:val="00E64EC8"/>
    <w:rsid w:val="00E65182"/>
    <w:rsid w:val="00E67AEF"/>
    <w:rsid w:val="00E7434B"/>
    <w:rsid w:val="00E77206"/>
    <w:rsid w:val="00E82545"/>
    <w:rsid w:val="00E83A1E"/>
    <w:rsid w:val="00E8634E"/>
    <w:rsid w:val="00E926FE"/>
    <w:rsid w:val="00EA1923"/>
    <w:rsid w:val="00EB3C56"/>
    <w:rsid w:val="00EB476B"/>
    <w:rsid w:val="00EC37AF"/>
    <w:rsid w:val="00ED6F9E"/>
    <w:rsid w:val="00EE1A1E"/>
    <w:rsid w:val="00EE5CAC"/>
    <w:rsid w:val="00EE6314"/>
    <w:rsid w:val="00EE6653"/>
    <w:rsid w:val="00EE69DF"/>
    <w:rsid w:val="00EF0848"/>
    <w:rsid w:val="00EF2ACE"/>
    <w:rsid w:val="00EF5C71"/>
    <w:rsid w:val="00F00CFB"/>
    <w:rsid w:val="00F02AC6"/>
    <w:rsid w:val="00F04804"/>
    <w:rsid w:val="00F11056"/>
    <w:rsid w:val="00F16B3B"/>
    <w:rsid w:val="00F17BB6"/>
    <w:rsid w:val="00F23956"/>
    <w:rsid w:val="00F24D97"/>
    <w:rsid w:val="00F26A86"/>
    <w:rsid w:val="00F274F8"/>
    <w:rsid w:val="00F337DD"/>
    <w:rsid w:val="00F34B53"/>
    <w:rsid w:val="00F35829"/>
    <w:rsid w:val="00F36992"/>
    <w:rsid w:val="00F414EB"/>
    <w:rsid w:val="00F4174F"/>
    <w:rsid w:val="00F51A74"/>
    <w:rsid w:val="00F6125F"/>
    <w:rsid w:val="00F6341D"/>
    <w:rsid w:val="00F70B47"/>
    <w:rsid w:val="00F72083"/>
    <w:rsid w:val="00F733FE"/>
    <w:rsid w:val="00F828BD"/>
    <w:rsid w:val="00F83BB7"/>
    <w:rsid w:val="00F845DA"/>
    <w:rsid w:val="00F854D9"/>
    <w:rsid w:val="00F9147A"/>
    <w:rsid w:val="00FA6ACB"/>
    <w:rsid w:val="00FB06EA"/>
    <w:rsid w:val="00FB0CF3"/>
    <w:rsid w:val="00FB19B8"/>
    <w:rsid w:val="00FB2D62"/>
    <w:rsid w:val="00FB3290"/>
    <w:rsid w:val="00FB5CF8"/>
    <w:rsid w:val="00FC0B0C"/>
    <w:rsid w:val="00FC117B"/>
    <w:rsid w:val="00FC7378"/>
    <w:rsid w:val="00FD24F4"/>
    <w:rsid w:val="00FD6BDC"/>
    <w:rsid w:val="00FD7CE9"/>
    <w:rsid w:val="00FE044B"/>
    <w:rsid w:val="00FE14FA"/>
    <w:rsid w:val="00FE18B7"/>
    <w:rsid w:val="00FF0557"/>
    <w:rsid w:val="00FF13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ACB"/>
    <w:pPr>
      <w:suppressAutoHyphens/>
      <w:spacing w:after="0" w:line="240" w:lineRule="auto"/>
    </w:pPr>
    <w:rPr>
      <w:rFonts w:ascii="Times New Roman" w:eastAsia="Times New Roman" w:hAnsi="Times New Roman" w:cs="Times New Roman"/>
      <w:sz w:val="24"/>
      <w:szCs w:val="20"/>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7BA"/>
    <w:pPr>
      <w:ind w:left="720"/>
      <w:contextualSpacing/>
    </w:pPr>
  </w:style>
  <w:style w:type="table" w:styleId="TableGrid">
    <w:name w:val="Table Grid"/>
    <w:basedOn w:val="TableNormal"/>
    <w:uiPriority w:val="59"/>
    <w:rsid w:val="00566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20D4"/>
    <w:rPr>
      <w:color w:val="0000FF" w:themeColor="hyperlink"/>
      <w:u w:val="single"/>
    </w:rPr>
  </w:style>
  <w:style w:type="paragraph" w:styleId="Header">
    <w:name w:val="header"/>
    <w:basedOn w:val="Normal"/>
    <w:link w:val="HeaderChar"/>
    <w:uiPriority w:val="99"/>
    <w:unhideWhenUsed/>
    <w:rsid w:val="001F214C"/>
    <w:pPr>
      <w:tabs>
        <w:tab w:val="center" w:pos="4513"/>
        <w:tab w:val="right" w:pos="9026"/>
      </w:tabs>
    </w:pPr>
  </w:style>
  <w:style w:type="character" w:customStyle="1" w:styleId="HeaderChar">
    <w:name w:val="Header Char"/>
    <w:basedOn w:val="DefaultParagraphFont"/>
    <w:link w:val="Header"/>
    <w:uiPriority w:val="99"/>
    <w:rsid w:val="001F214C"/>
  </w:style>
  <w:style w:type="paragraph" w:styleId="Footer">
    <w:name w:val="footer"/>
    <w:basedOn w:val="Normal"/>
    <w:link w:val="FooterChar"/>
    <w:uiPriority w:val="99"/>
    <w:unhideWhenUsed/>
    <w:rsid w:val="001F214C"/>
    <w:pPr>
      <w:tabs>
        <w:tab w:val="center" w:pos="4513"/>
        <w:tab w:val="right" w:pos="9026"/>
      </w:tabs>
    </w:pPr>
  </w:style>
  <w:style w:type="character" w:customStyle="1" w:styleId="FooterChar">
    <w:name w:val="Footer Char"/>
    <w:basedOn w:val="DefaultParagraphFont"/>
    <w:link w:val="Footer"/>
    <w:uiPriority w:val="99"/>
    <w:rsid w:val="001F214C"/>
  </w:style>
  <w:style w:type="paragraph" w:styleId="BalloonText">
    <w:name w:val="Balloon Text"/>
    <w:basedOn w:val="Normal"/>
    <w:link w:val="BalloonTextChar"/>
    <w:uiPriority w:val="99"/>
    <w:semiHidden/>
    <w:unhideWhenUsed/>
    <w:rsid w:val="001F214C"/>
    <w:rPr>
      <w:rFonts w:ascii="Tahoma" w:hAnsi="Tahoma" w:cs="Tahoma"/>
      <w:sz w:val="16"/>
      <w:szCs w:val="16"/>
    </w:rPr>
  </w:style>
  <w:style w:type="character" w:customStyle="1" w:styleId="BalloonTextChar">
    <w:name w:val="Balloon Text Char"/>
    <w:basedOn w:val="DefaultParagraphFont"/>
    <w:link w:val="BalloonText"/>
    <w:uiPriority w:val="99"/>
    <w:semiHidden/>
    <w:rsid w:val="001F214C"/>
    <w:rPr>
      <w:rFonts w:ascii="Tahoma" w:hAnsi="Tahoma" w:cs="Tahoma"/>
      <w:sz w:val="16"/>
      <w:szCs w:val="16"/>
    </w:rPr>
  </w:style>
  <w:style w:type="character" w:customStyle="1" w:styleId="apple-style-span">
    <w:name w:val="apple-style-span"/>
    <w:basedOn w:val="DefaultParagraphFont"/>
    <w:rsid w:val="00E00151"/>
  </w:style>
  <w:style w:type="paragraph" w:customStyle="1" w:styleId="JuPara">
    <w:name w:val="Ju_Para"/>
    <w:aliases w:val="Left,First line:  0 cm"/>
    <w:basedOn w:val="Normal"/>
    <w:link w:val="JuParaChar"/>
    <w:rsid w:val="006F4ACB"/>
    <w:pPr>
      <w:ind w:firstLine="284"/>
      <w:jc w:val="both"/>
    </w:pPr>
  </w:style>
  <w:style w:type="character" w:customStyle="1" w:styleId="JuParaChar">
    <w:name w:val="Ju_Para Char"/>
    <w:basedOn w:val="DefaultParagraphFont"/>
    <w:link w:val="JuPara"/>
    <w:rsid w:val="006F4ACB"/>
    <w:rPr>
      <w:rFonts w:ascii="Times New Roman" w:eastAsia="Times New Roman" w:hAnsi="Times New Roman" w:cs="Times New Roman"/>
      <w:sz w:val="24"/>
      <w:szCs w:val="20"/>
      <w:lang w:val="en-GB" w:eastAsia="fr-FR"/>
    </w:rPr>
  </w:style>
  <w:style w:type="paragraph" w:customStyle="1" w:styleId="JuHHead">
    <w:name w:val="Ju_H_Head"/>
    <w:basedOn w:val="Normal"/>
    <w:next w:val="JuPara"/>
    <w:rsid w:val="006F4ACB"/>
    <w:pPr>
      <w:keepNext/>
      <w:keepLines/>
      <w:spacing w:before="720" w:after="240"/>
      <w:jc w:val="both"/>
    </w:pPr>
    <w:rPr>
      <w:sz w:val="28"/>
    </w:rPr>
  </w:style>
  <w:style w:type="character" w:styleId="PlaceholderText">
    <w:name w:val="Placeholder Text"/>
    <w:basedOn w:val="DefaultParagraphFont"/>
    <w:uiPriority w:val="99"/>
    <w:semiHidden/>
    <w:rsid w:val="006F4ACB"/>
    <w:rPr>
      <w:color w:val="808080"/>
    </w:rPr>
  </w:style>
  <w:style w:type="paragraph" w:customStyle="1" w:styleId="JuJudges">
    <w:name w:val="Ju_Judges"/>
    <w:basedOn w:val="Normal"/>
    <w:link w:val="JuJudgesChar"/>
    <w:rsid w:val="006F4ACB"/>
    <w:pPr>
      <w:tabs>
        <w:tab w:val="left" w:pos="567"/>
        <w:tab w:val="left" w:pos="1134"/>
      </w:tabs>
    </w:pPr>
    <w:rPr>
      <w:szCs w:val="24"/>
    </w:rPr>
  </w:style>
  <w:style w:type="character" w:customStyle="1" w:styleId="JuJudgesChar">
    <w:name w:val="Ju_Judges Char"/>
    <w:basedOn w:val="DefaultParagraphFont"/>
    <w:link w:val="JuJudges"/>
    <w:locked/>
    <w:rsid w:val="006F4ACB"/>
    <w:rPr>
      <w:rFonts w:ascii="Times New Roman" w:eastAsia="Times New Roman" w:hAnsi="Times New Roman" w:cs="Times New Roman"/>
      <w:sz w:val="24"/>
      <w:szCs w:val="24"/>
      <w:lang w:val="en-GB" w:eastAsia="fr-FR"/>
    </w:rPr>
  </w:style>
  <w:style w:type="character" w:styleId="Strong">
    <w:name w:val="Strong"/>
    <w:basedOn w:val="DefaultParagraphFont"/>
    <w:uiPriority w:val="99"/>
    <w:qFormat/>
    <w:rsid w:val="006F4ACB"/>
    <w:rPr>
      <w:b/>
      <w:bCs/>
    </w:rPr>
  </w:style>
  <w:style w:type="paragraph" w:customStyle="1" w:styleId="JuQuot">
    <w:name w:val="Ju_Quot"/>
    <w:basedOn w:val="JuPara"/>
    <w:rsid w:val="006F4ACB"/>
    <w:pPr>
      <w:spacing w:before="120" w:after="120"/>
      <w:ind w:left="425" w:firstLine="142"/>
    </w:pPr>
    <w:rPr>
      <w:sz w:val="20"/>
    </w:rPr>
  </w:style>
  <w:style w:type="character" w:customStyle="1" w:styleId="JuParaCar">
    <w:name w:val="Ju_Para Car"/>
    <w:basedOn w:val="DefaultParagraphFont"/>
    <w:rsid w:val="006F4ACB"/>
    <w:rPr>
      <w:sz w:val="24"/>
      <w:lang w:val="en-GB" w:eastAsia="fr-FR" w:bidi="ar-SA"/>
    </w:rPr>
  </w:style>
  <w:style w:type="paragraph" w:customStyle="1" w:styleId="JuHA">
    <w:name w:val="Ju_H_A"/>
    <w:basedOn w:val="Normal"/>
    <w:next w:val="JuPara"/>
    <w:rsid w:val="006F4ACB"/>
    <w:pPr>
      <w:keepNext/>
      <w:keepLines/>
      <w:tabs>
        <w:tab w:val="left" w:pos="584"/>
      </w:tabs>
      <w:spacing w:before="360" w:after="240"/>
      <w:ind w:left="584" w:hanging="352"/>
      <w:jc w:val="both"/>
    </w:pPr>
    <w:rPr>
      <w:b/>
    </w:rPr>
  </w:style>
  <w:style w:type="character" w:customStyle="1" w:styleId="ju-005fpara--char">
    <w:name w:val="ju-005fpara--char"/>
    <w:basedOn w:val="DefaultParagraphFont"/>
    <w:rsid w:val="006F4ACB"/>
  </w:style>
  <w:style w:type="character" w:customStyle="1" w:styleId="ju--005fpara----char--char">
    <w:name w:val="ju--005fpara----char--char"/>
    <w:basedOn w:val="DefaultParagraphFont"/>
    <w:rsid w:val="006F4ACB"/>
  </w:style>
  <w:style w:type="paragraph" w:customStyle="1" w:styleId="JuLista">
    <w:name w:val="Ju_List_a"/>
    <w:basedOn w:val="Normal"/>
    <w:rsid w:val="006F4ACB"/>
    <w:pPr>
      <w:ind w:left="346"/>
      <w:jc w:val="both"/>
    </w:pPr>
  </w:style>
  <w:style w:type="paragraph" w:customStyle="1" w:styleId="JuList">
    <w:name w:val="Ju_List"/>
    <w:basedOn w:val="JuPara"/>
    <w:rsid w:val="006F4ACB"/>
    <w:pPr>
      <w:ind w:left="340" w:hanging="340"/>
    </w:pPr>
  </w:style>
  <w:style w:type="character" w:styleId="FootnoteReference">
    <w:name w:val="footnote reference"/>
    <w:basedOn w:val="DefaultParagraphFont"/>
    <w:semiHidden/>
    <w:rsid w:val="006F4ACB"/>
    <w:rPr>
      <w:vertAlign w:val="superscript"/>
    </w:rPr>
  </w:style>
  <w:style w:type="paragraph" w:styleId="FootnoteText">
    <w:name w:val="footnote text"/>
    <w:basedOn w:val="Normal"/>
    <w:link w:val="FootnoteTextChar"/>
    <w:semiHidden/>
    <w:rsid w:val="006F4ACB"/>
    <w:pPr>
      <w:jc w:val="both"/>
    </w:pPr>
    <w:rPr>
      <w:sz w:val="20"/>
    </w:rPr>
  </w:style>
  <w:style w:type="character" w:customStyle="1" w:styleId="FootnoteTextChar">
    <w:name w:val="Footnote Text Char"/>
    <w:basedOn w:val="DefaultParagraphFont"/>
    <w:link w:val="FootnoteText"/>
    <w:semiHidden/>
    <w:rsid w:val="006F4ACB"/>
    <w:rPr>
      <w:rFonts w:ascii="Times New Roman" w:eastAsia="Times New Roman" w:hAnsi="Times New Roman" w:cs="Times New Roman"/>
      <w:sz w:val="20"/>
      <w:szCs w:val="20"/>
      <w:lang w:val="en-GB" w:eastAsia="fr-FR"/>
    </w:rPr>
  </w:style>
  <w:style w:type="paragraph" w:customStyle="1" w:styleId="JuH1">
    <w:name w:val="Ju_H_1."/>
    <w:basedOn w:val="JuHA"/>
    <w:next w:val="JuPara"/>
    <w:rsid w:val="006F4ACB"/>
    <w:pPr>
      <w:tabs>
        <w:tab w:val="clear" w:pos="584"/>
        <w:tab w:val="left" w:pos="731"/>
      </w:tabs>
      <w:spacing w:before="240" w:after="120"/>
      <w:ind w:left="732" w:hanging="301"/>
    </w:pPr>
    <w:rPr>
      <w:b w:val="0"/>
      <w:i/>
    </w:rPr>
  </w:style>
  <w:style w:type="paragraph" w:customStyle="1" w:styleId="paragrafi">
    <w:name w:val="paragrafi"/>
    <w:basedOn w:val="Normal"/>
    <w:rsid w:val="006F4ACB"/>
    <w:pPr>
      <w:suppressAutoHyphens w:val="0"/>
      <w:spacing w:before="100" w:beforeAutospacing="1" w:after="100" w:afterAutospacing="1"/>
    </w:pPr>
    <w:rPr>
      <w:szCs w:val="24"/>
      <w:lang w:val="de-AT" w:eastAsia="de-AT"/>
    </w:rPr>
  </w:style>
  <w:style w:type="character" w:customStyle="1" w:styleId="ju-005fpara-002cleft-002cfirst-0020line-003a-0020-00200-0020cm--char">
    <w:name w:val="ju-005fpara-002cleft-002cfirst-0020line-003a-0020-00200-0020cm--char"/>
    <w:basedOn w:val="DefaultParagraphFont"/>
    <w:rsid w:val="006F4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ACB"/>
    <w:pPr>
      <w:suppressAutoHyphens/>
      <w:spacing w:after="0" w:line="240" w:lineRule="auto"/>
    </w:pPr>
    <w:rPr>
      <w:rFonts w:ascii="Times New Roman" w:eastAsia="Times New Roman" w:hAnsi="Times New Roman" w:cs="Times New Roman"/>
      <w:sz w:val="24"/>
      <w:szCs w:val="20"/>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7BA"/>
    <w:pPr>
      <w:ind w:left="720"/>
      <w:contextualSpacing/>
    </w:pPr>
  </w:style>
  <w:style w:type="table" w:styleId="TableGrid">
    <w:name w:val="Table Grid"/>
    <w:basedOn w:val="TableNormal"/>
    <w:uiPriority w:val="59"/>
    <w:rsid w:val="00566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20D4"/>
    <w:rPr>
      <w:color w:val="0000FF" w:themeColor="hyperlink"/>
      <w:u w:val="single"/>
    </w:rPr>
  </w:style>
  <w:style w:type="paragraph" w:styleId="Header">
    <w:name w:val="header"/>
    <w:basedOn w:val="Normal"/>
    <w:link w:val="HeaderChar"/>
    <w:uiPriority w:val="99"/>
    <w:unhideWhenUsed/>
    <w:rsid w:val="001F214C"/>
    <w:pPr>
      <w:tabs>
        <w:tab w:val="center" w:pos="4513"/>
        <w:tab w:val="right" w:pos="9026"/>
      </w:tabs>
    </w:pPr>
  </w:style>
  <w:style w:type="character" w:customStyle="1" w:styleId="HeaderChar">
    <w:name w:val="Header Char"/>
    <w:basedOn w:val="DefaultParagraphFont"/>
    <w:link w:val="Header"/>
    <w:uiPriority w:val="99"/>
    <w:rsid w:val="001F214C"/>
  </w:style>
  <w:style w:type="paragraph" w:styleId="Footer">
    <w:name w:val="footer"/>
    <w:basedOn w:val="Normal"/>
    <w:link w:val="FooterChar"/>
    <w:uiPriority w:val="99"/>
    <w:unhideWhenUsed/>
    <w:rsid w:val="001F214C"/>
    <w:pPr>
      <w:tabs>
        <w:tab w:val="center" w:pos="4513"/>
        <w:tab w:val="right" w:pos="9026"/>
      </w:tabs>
    </w:pPr>
  </w:style>
  <w:style w:type="character" w:customStyle="1" w:styleId="FooterChar">
    <w:name w:val="Footer Char"/>
    <w:basedOn w:val="DefaultParagraphFont"/>
    <w:link w:val="Footer"/>
    <w:uiPriority w:val="99"/>
    <w:rsid w:val="001F214C"/>
  </w:style>
  <w:style w:type="paragraph" w:styleId="BalloonText">
    <w:name w:val="Balloon Text"/>
    <w:basedOn w:val="Normal"/>
    <w:link w:val="BalloonTextChar"/>
    <w:uiPriority w:val="99"/>
    <w:semiHidden/>
    <w:unhideWhenUsed/>
    <w:rsid w:val="001F214C"/>
    <w:rPr>
      <w:rFonts w:ascii="Tahoma" w:hAnsi="Tahoma" w:cs="Tahoma"/>
      <w:sz w:val="16"/>
      <w:szCs w:val="16"/>
    </w:rPr>
  </w:style>
  <w:style w:type="character" w:customStyle="1" w:styleId="BalloonTextChar">
    <w:name w:val="Balloon Text Char"/>
    <w:basedOn w:val="DefaultParagraphFont"/>
    <w:link w:val="BalloonText"/>
    <w:uiPriority w:val="99"/>
    <w:semiHidden/>
    <w:rsid w:val="001F214C"/>
    <w:rPr>
      <w:rFonts w:ascii="Tahoma" w:hAnsi="Tahoma" w:cs="Tahoma"/>
      <w:sz w:val="16"/>
      <w:szCs w:val="16"/>
    </w:rPr>
  </w:style>
  <w:style w:type="character" w:customStyle="1" w:styleId="apple-style-span">
    <w:name w:val="apple-style-span"/>
    <w:basedOn w:val="DefaultParagraphFont"/>
    <w:rsid w:val="00E00151"/>
  </w:style>
  <w:style w:type="paragraph" w:customStyle="1" w:styleId="JuPara">
    <w:name w:val="Ju_Para"/>
    <w:aliases w:val="Left,First line:  0 cm"/>
    <w:basedOn w:val="Normal"/>
    <w:link w:val="JuParaChar"/>
    <w:rsid w:val="006F4ACB"/>
    <w:pPr>
      <w:ind w:firstLine="284"/>
      <w:jc w:val="both"/>
    </w:pPr>
  </w:style>
  <w:style w:type="character" w:customStyle="1" w:styleId="JuParaChar">
    <w:name w:val="Ju_Para Char"/>
    <w:basedOn w:val="DefaultParagraphFont"/>
    <w:link w:val="JuPara"/>
    <w:rsid w:val="006F4ACB"/>
    <w:rPr>
      <w:rFonts w:ascii="Times New Roman" w:eastAsia="Times New Roman" w:hAnsi="Times New Roman" w:cs="Times New Roman"/>
      <w:sz w:val="24"/>
      <w:szCs w:val="20"/>
      <w:lang w:val="en-GB" w:eastAsia="fr-FR"/>
    </w:rPr>
  </w:style>
  <w:style w:type="paragraph" w:customStyle="1" w:styleId="JuHHead">
    <w:name w:val="Ju_H_Head"/>
    <w:basedOn w:val="Normal"/>
    <w:next w:val="JuPara"/>
    <w:rsid w:val="006F4ACB"/>
    <w:pPr>
      <w:keepNext/>
      <w:keepLines/>
      <w:spacing w:before="720" w:after="240"/>
      <w:jc w:val="both"/>
    </w:pPr>
    <w:rPr>
      <w:sz w:val="28"/>
    </w:rPr>
  </w:style>
  <w:style w:type="character" w:styleId="PlaceholderText">
    <w:name w:val="Placeholder Text"/>
    <w:basedOn w:val="DefaultParagraphFont"/>
    <w:uiPriority w:val="99"/>
    <w:semiHidden/>
    <w:rsid w:val="006F4ACB"/>
    <w:rPr>
      <w:color w:val="808080"/>
    </w:rPr>
  </w:style>
  <w:style w:type="paragraph" w:customStyle="1" w:styleId="JuJudges">
    <w:name w:val="Ju_Judges"/>
    <w:basedOn w:val="Normal"/>
    <w:link w:val="JuJudgesChar"/>
    <w:rsid w:val="006F4ACB"/>
    <w:pPr>
      <w:tabs>
        <w:tab w:val="left" w:pos="567"/>
        <w:tab w:val="left" w:pos="1134"/>
      </w:tabs>
    </w:pPr>
    <w:rPr>
      <w:szCs w:val="24"/>
    </w:rPr>
  </w:style>
  <w:style w:type="character" w:customStyle="1" w:styleId="JuJudgesChar">
    <w:name w:val="Ju_Judges Char"/>
    <w:basedOn w:val="DefaultParagraphFont"/>
    <w:link w:val="JuJudges"/>
    <w:locked/>
    <w:rsid w:val="006F4ACB"/>
    <w:rPr>
      <w:rFonts w:ascii="Times New Roman" w:eastAsia="Times New Roman" w:hAnsi="Times New Roman" w:cs="Times New Roman"/>
      <w:sz w:val="24"/>
      <w:szCs w:val="24"/>
      <w:lang w:val="en-GB" w:eastAsia="fr-FR"/>
    </w:rPr>
  </w:style>
  <w:style w:type="character" w:styleId="Strong">
    <w:name w:val="Strong"/>
    <w:basedOn w:val="DefaultParagraphFont"/>
    <w:uiPriority w:val="99"/>
    <w:qFormat/>
    <w:rsid w:val="006F4ACB"/>
    <w:rPr>
      <w:b/>
      <w:bCs/>
    </w:rPr>
  </w:style>
  <w:style w:type="paragraph" w:customStyle="1" w:styleId="JuQuot">
    <w:name w:val="Ju_Quot"/>
    <w:basedOn w:val="JuPara"/>
    <w:rsid w:val="006F4ACB"/>
    <w:pPr>
      <w:spacing w:before="120" w:after="120"/>
      <w:ind w:left="425" w:firstLine="142"/>
    </w:pPr>
    <w:rPr>
      <w:sz w:val="20"/>
    </w:rPr>
  </w:style>
  <w:style w:type="character" w:customStyle="1" w:styleId="JuParaCar">
    <w:name w:val="Ju_Para Car"/>
    <w:basedOn w:val="DefaultParagraphFont"/>
    <w:rsid w:val="006F4ACB"/>
    <w:rPr>
      <w:sz w:val="24"/>
      <w:lang w:val="en-GB" w:eastAsia="fr-FR" w:bidi="ar-SA"/>
    </w:rPr>
  </w:style>
  <w:style w:type="paragraph" w:customStyle="1" w:styleId="JuHA">
    <w:name w:val="Ju_H_A"/>
    <w:basedOn w:val="Normal"/>
    <w:next w:val="JuPara"/>
    <w:rsid w:val="006F4ACB"/>
    <w:pPr>
      <w:keepNext/>
      <w:keepLines/>
      <w:tabs>
        <w:tab w:val="left" w:pos="584"/>
      </w:tabs>
      <w:spacing w:before="360" w:after="240"/>
      <w:ind w:left="584" w:hanging="352"/>
      <w:jc w:val="both"/>
    </w:pPr>
    <w:rPr>
      <w:b/>
    </w:rPr>
  </w:style>
  <w:style w:type="character" w:customStyle="1" w:styleId="ju-005fpara--char">
    <w:name w:val="ju-005fpara--char"/>
    <w:basedOn w:val="DefaultParagraphFont"/>
    <w:rsid w:val="006F4ACB"/>
  </w:style>
  <w:style w:type="character" w:customStyle="1" w:styleId="ju--005fpara----char--char">
    <w:name w:val="ju--005fpara----char--char"/>
    <w:basedOn w:val="DefaultParagraphFont"/>
    <w:rsid w:val="006F4ACB"/>
  </w:style>
  <w:style w:type="paragraph" w:customStyle="1" w:styleId="JuLista">
    <w:name w:val="Ju_List_a"/>
    <w:basedOn w:val="Normal"/>
    <w:rsid w:val="006F4ACB"/>
    <w:pPr>
      <w:ind w:left="346"/>
      <w:jc w:val="both"/>
    </w:pPr>
  </w:style>
  <w:style w:type="paragraph" w:customStyle="1" w:styleId="JuList">
    <w:name w:val="Ju_List"/>
    <w:basedOn w:val="JuPara"/>
    <w:rsid w:val="006F4ACB"/>
    <w:pPr>
      <w:ind w:left="340" w:hanging="340"/>
    </w:pPr>
  </w:style>
  <w:style w:type="character" w:styleId="FootnoteReference">
    <w:name w:val="footnote reference"/>
    <w:basedOn w:val="DefaultParagraphFont"/>
    <w:semiHidden/>
    <w:rsid w:val="006F4ACB"/>
    <w:rPr>
      <w:vertAlign w:val="superscript"/>
    </w:rPr>
  </w:style>
  <w:style w:type="paragraph" w:styleId="FootnoteText">
    <w:name w:val="footnote text"/>
    <w:basedOn w:val="Normal"/>
    <w:link w:val="FootnoteTextChar"/>
    <w:semiHidden/>
    <w:rsid w:val="006F4ACB"/>
    <w:pPr>
      <w:jc w:val="both"/>
    </w:pPr>
    <w:rPr>
      <w:sz w:val="20"/>
    </w:rPr>
  </w:style>
  <w:style w:type="character" w:customStyle="1" w:styleId="FootnoteTextChar">
    <w:name w:val="Footnote Text Char"/>
    <w:basedOn w:val="DefaultParagraphFont"/>
    <w:link w:val="FootnoteText"/>
    <w:semiHidden/>
    <w:rsid w:val="006F4ACB"/>
    <w:rPr>
      <w:rFonts w:ascii="Times New Roman" w:eastAsia="Times New Roman" w:hAnsi="Times New Roman" w:cs="Times New Roman"/>
      <w:sz w:val="20"/>
      <w:szCs w:val="20"/>
      <w:lang w:val="en-GB" w:eastAsia="fr-FR"/>
    </w:rPr>
  </w:style>
  <w:style w:type="paragraph" w:customStyle="1" w:styleId="JuH1">
    <w:name w:val="Ju_H_1."/>
    <w:basedOn w:val="JuHA"/>
    <w:next w:val="JuPara"/>
    <w:rsid w:val="006F4ACB"/>
    <w:pPr>
      <w:tabs>
        <w:tab w:val="clear" w:pos="584"/>
        <w:tab w:val="left" w:pos="731"/>
      </w:tabs>
      <w:spacing w:before="240" w:after="120"/>
      <w:ind w:left="732" w:hanging="301"/>
    </w:pPr>
    <w:rPr>
      <w:b w:val="0"/>
      <w:i/>
    </w:rPr>
  </w:style>
  <w:style w:type="paragraph" w:customStyle="1" w:styleId="paragrafi">
    <w:name w:val="paragrafi"/>
    <w:basedOn w:val="Normal"/>
    <w:rsid w:val="006F4ACB"/>
    <w:pPr>
      <w:suppressAutoHyphens w:val="0"/>
      <w:spacing w:before="100" w:beforeAutospacing="1" w:after="100" w:afterAutospacing="1"/>
    </w:pPr>
    <w:rPr>
      <w:szCs w:val="24"/>
      <w:lang w:val="de-AT" w:eastAsia="de-AT"/>
    </w:rPr>
  </w:style>
  <w:style w:type="character" w:customStyle="1" w:styleId="ju-005fpara-002cleft-002cfirst-0020line-003a-0020-00200-0020cm--char">
    <w:name w:val="ju-005fpara-002cleft-002cfirst-0020line-003a-0020-00200-0020cm--char"/>
    <w:basedOn w:val="DefaultParagraphFont"/>
    <w:rsid w:val="006F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8560</Words>
  <Characters>46230</Characters>
  <Application>Microsoft Office Word</Application>
  <DocSecurity>0</DocSecurity>
  <Lines>385</Lines>
  <Paragraphs>109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PERKTHIM ZYRTAR                       TRADUCTION OFFICIELLE	     OFFICIAL TRANSLATION</vt:lpstr>
      <vt:lpstr/>
    </vt:vector>
  </TitlesOfParts>
  <Company>Personal Laptop</Company>
  <LinksUpToDate>false</LinksUpToDate>
  <CharactersWithSpaces>54681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PERKTHIM ZYRTAR                       TRADUCTION OFFICIELLE	     OFFICIAL TRANSLATION</dc:title>
  <dc:creator>Genci</dc:creator>
  <cp:lastModifiedBy>Vilma Xhullima</cp:lastModifiedBy>
  <cp:revision>2</cp:revision>
  <cp:lastPrinted>2011-07-11T07:10:00Z</cp:lastPrinted>
  <dcterms:created xsi:type="dcterms:W3CDTF">2012-04-04T11:53:00Z</dcterms:created>
  <dcterms:modified xsi:type="dcterms:W3CDTF">2012-04-04T11:53:00Z</dcterms:modified>
</cp:coreProperties>
</file>