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33" w:rsidRPr="003542C9" w:rsidRDefault="000F7A4C" w:rsidP="00BC0CD3">
      <w:pPr>
        <w:tabs>
          <w:tab w:val="left" w:pos="5529"/>
        </w:tabs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  <w:r w:rsidRPr="003542C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93210" cy="2085340"/>
            <wp:effectExtent l="0" t="0" r="0" b="0"/>
            <wp:docPr id="1" name="Picture 1" descr="TranspDocHeaderBig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DocHeaderBig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33" w:rsidRPr="003542C9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SEKSIONI I KATËRT</w:t>
      </w:r>
      <w:r w:rsidR="00C81DD4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81D33" w:rsidRPr="003542C9" w:rsidRDefault="00681D33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681D33" w:rsidRPr="003542C9" w:rsidRDefault="00681D33" w:rsidP="00BC0CD3">
      <w:pPr>
        <w:jc w:val="center"/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370DC6" w:rsidRPr="003542C9">
        <w:rPr>
          <w:rFonts w:ascii="Times New Roman" w:hAnsi="Times New Roman"/>
          <w:b/>
          <w:sz w:val="24"/>
          <w:szCs w:val="24"/>
          <w:lang w:val="sq-AL"/>
        </w:rPr>
        <w:t>DELIJORGJI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  <w:r w:rsidR="003F669C" w:rsidRPr="003542C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681D33" w:rsidRPr="003542C9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81D33" w:rsidRPr="003542C9" w:rsidRDefault="00681D33" w:rsidP="00BC0CD3">
      <w:pPr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(Ankim</w:t>
      </w:r>
      <w:r w:rsidR="00C81DD4" w:rsidRPr="003542C9">
        <w:rPr>
          <w:rFonts w:ascii="Times New Roman" w:hAnsi="Times New Roman"/>
          <w:i/>
          <w:sz w:val="24"/>
          <w:szCs w:val="24"/>
          <w:lang w:val="sq-AL"/>
        </w:rPr>
        <w:t>i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nr. </w:t>
      </w:r>
      <w:r w:rsidR="00370DC6" w:rsidRPr="003542C9">
        <w:rPr>
          <w:rFonts w:ascii="Times New Roman" w:hAnsi="Times New Roman"/>
          <w:i/>
          <w:sz w:val="24"/>
          <w:szCs w:val="24"/>
          <w:lang w:val="sq-AL"/>
        </w:rPr>
        <w:t>6858/11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681D33" w:rsidRPr="003542C9" w:rsidRDefault="00681D33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681D33" w:rsidRPr="003542C9" w:rsidRDefault="00681D33" w:rsidP="00BC0CD3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VENDIM</w:t>
      </w:r>
    </w:p>
    <w:p w:rsidR="00681D33" w:rsidRPr="003542C9" w:rsidRDefault="00681D33" w:rsidP="00BC0CD3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</w:p>
    <w:p w:rsidR="00681D33" w:rsidRPr="003542C9" w:rsidRDefault="00681D33" w:rsidP="00BC0CD3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STRASBURG</w:t>
      </w:r>
    </w:p>
    <w:p w:rsidR="00681D33" w:rsidRPr="003542C9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81D33" w:rsidRPr="003542C9" w:rsidRDefault="00370DC6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28 Prill</w:t>
      </w:r>
      <w:r w:rsidR="00FD675C" w:rsidRPr="003542C9">
        <w:rPr>
          <w:rFonts w:ascii="Times New Roman" w:hAnsi="Times New Roman"/>
          <w:sz w:val="24"/>
          <w:szCs w:val="24"/>
          <w:lang w:val="sq-AL"/>
        </w:rPr>
        <w:t xml:space="preserve"> 2015 </w:t>
      </w:r>
    </w:p>
    <w:p w:rsidR="00370DC6" w:rsidRPr="003542C9" w:rsidRDefault="00370DC6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70DC6" w:rsidRPr="003542C9" w:rsidRDefault="00370DC6" w:rsidP="00BC0CD3">
      <w:pPr>
        <w:jc w:val="center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>I FORM</w:t>
      </w:r>
      <w:r w:rsidR="007B39A8"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 xml:space="preserve"> PRER</w:t>
      </w:r>
      <w:r w:rsidR="007B39A8"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>Ë</w:t>
      </w:r>
    </w:p>
    <w:p w:rsidR="00370DC6" w:rsidRPr="003542C9" w:rsidRDefault="00370DC6" w:rsidP="00BC0CD3">
      <w:pPr>
        <w:jc w:val="center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color w:val="C00000"/>
          <w:sz w:val="24"/>
          <w:szCs w:val="24"/>
          <w:lang w:val="sq-AL"/>
        </w:rPr>
        <w:t>14/09/2015</w:t>
      </w:r>
    </w:p>
    <w:p w:rsidR="00681D33" w:rsidRPr="003542C9" w:rsidRDefault="00681D33" w:rsidP="00370DC6">
      <w:pPr>
        <w:pStyle w:val="JuPara"/>
        <w:spacing w:line="276" w:lineRule="auto"/>
        <w:ind w:firstLine="0"/>
        <w:jc w:val="center"/>
        <w:rPr>
          <w:i/>
          <w:szCs w:val="24"/>
          <w:lang w:val="sq-AL"/>
        </w:rPr>
      </w:pPr>
      <w:r w:rsidRPr="003542C9">
        <w:rPr>
          <w:i/>
          <w:szCs w:val="24"/>
          <w:lang w:val="sq-AL"/>
        </w:rPr>
        <w:t xml:space="preserve">Ky vendim </w:t>
      </w:r>
      <w:r w:rsidR="00011DEC" w:rsidRPr="003542C9">
        <w:rPr>
          <w:i/>
          <w:szCs w:val="24"/>
          <w:lang w:val="sq-AL"/>
        </w:rPr>
        <w:t>ë</w:t>
      </w:r>
      <w:r w:rsidR="00FD675C" w:rsidRPr="003542C9">
        <w:rPr>
          <w:i/>
          <w:szCs w:val="24"/>
          <w:lang w:val="sq-AL"/>
        </w:rPr>
        <w:t>sht</w:t>
      </w:r>
      <w:r w:rsidR="007B39A8" w:rsidRPr="003542C9">
        <w:rPr>
          <w:i/>
          <w:szCs w:val="24"/>
          <w:lang w:val="sq-AL"/>
        </w:rPr>
        <w:t>ë</w:t>
      </w:r>
      <w:r w:rsidR="00370DC6" w:rsidRPr="003542C9">
        <w:rPr>
          <w:i/>
          <w:szCs w:val="24"/>
          <w:lang w:val="sq-AL"/>
        </w:rPr>
        <w:t xml:space="preserve"> b</w:t>
      </w:r>
      <w:r w:rsidR="007B39A8" w:rsidRPr="003542C9">
        <w:rPr>
          <w:i/>
          <w:szCs w:val="24"/>
          <w:lang w:val="sq-AL"/>
        </w:rPr>
        <w:t>ë</w:t>
      </w:r>
      <w:r w:rsidR="00370DC6" w:rsidRPr="003542C9">
        <w:rPr>
          <w:i/>
          <w:szCs w:val="24"/>
          <w:lang w:val="sq-AL"/>
        </w:rPr>
        <w:t>r</w:t>
      </w:r>
      <w:r w:rsidR="007B39A8" w:rsidRPr="003542C9">
        <w:rPr>
          <w:i/>
          <w:szCs w:val="24"/>
          <w:lang w:val="sq-AL"/>
        </w:rPr>
        <w:t>ë</w:t>
      </w:r>
      <w:r w:rsidR="00FD675C" w:rsidRPr="003542C9">
        <w:rPr>
          <w:i/>
          <w:szCs w:val="24"/>
          <w:lang w:val="sq-AL"/>
        </w:rPr>
        <w:t xml:space="preserve"> i form</w:t>
      </w:r>
      <w:r w:rsidR="00011DEC" w:rsidRPr="003542C9">
        <w:rPr>
          <w:i/>
          <w:szCs w:val="24"/>
          <w:lang w:val="sq-AL"/>
        </w:rPr>
        <w:t>ë</w:t>
      </w:r>
      <w:r w:rsidR="00FD675C" w:rsidRPr="003542C9">
        <w:rPr>
          <w:i/>
          <w:szCs w:val="24"/>
          <w:lang w:val="sq-AL"/>
        </w:rPr>
        <w:t>s s</w:t>
      </w:r>
      <w:r w:rsidR="00011DEC" w:rsidRPr="003542C9">
        <w:rPr>
          <w:i/>
          <w:szCs w:val="24"/>
          <w:lang w:val="sq-AL"/>
        </w:rPr>
        <w:t>ë</w:t>
      </w:r>
      <w:r w:rsidR="00FD675C" w:rsidRPr="003542C9">
        <w:rPr>
          <w:i/>
          <w:szCs w:val="24"/>
          <w:lang w:val="sq-AL"/>
        </w:rPr>
        <w:t xml:space="preserve"> prer</w:t>
      </w:r>
      <w:r w:rsidR="007B39A8" w:rsidRPr="003542C9">
        <w:rPr>
          <w:i/>
          <w:szCs w:val="24"/>
          <w:lang w:val="sq-AL"/>
        </w:rPr>
        <w:t>ë</w:t>
      </w:r>
      <w:r w:rsidR="00370DC6" w:rsidRPr="003542C9">
        <w:rPr>
          <w:i/>
          <w:szCs w:val="24"/>
          <w:lang w:val="sq-AL"/>
        </w:rPr>
        <w:t xml:space="preserve"> sipas Nenit 44 § 2 t</w:t>
      </w:r>
      <w:r w:rsidR="007B39A8" w:rsidRPr="003542C9">
        <w:rPr>
          <w:i/>
          <w:szCs w:val="24"/>
          <w:lang w:val="sq-AL"/>
        </w:rPr>
        <w:t>ë</w:t>
      </w:r>
      <w:r w:rsidR="00370DC6" w:rsidRPr="003542C9">
        <w:rPr>
          <w:i/>
          <w:szCs w:val="24"/>
          <w:lang w:val="sq-AL"/>
        </w:rPr>
        <w:t xml:space="preserve"> Konvent</w:t>
      </w:r>
      <w:r w:rsidR="007B39A8" w:rsidRPr="003542C9">
        <w:rPr>
          <w:i/>
          <w:szCs w:val="24"/>
          <w:lang w:val="sq-AL"/>
        </w:rPr>
        <w:t>ë</w:t>
      </w:r>
      <w:r w:rsidR="00370DC6" w:rsidRPr="003542C9">
        <w:rPr>
          <w:i/>
          <w:szCs w:val="24"/>
          <w:lang w:val="sq-AL"/>
        </w:rPr>
        <w:t>s. Ai</w:t>
      </w:r>
      <w:r w:rsidR="00FD675C" w:rsidRPr="003542C9">
        <w:rPr>
          <w:i/>
          <w:szCs w:val="24"/>
          <w:lang w:val="sq-AL"/>
        </w:rPr>
        <w:t xml:space="preserve"> </w:t>
      </w:r>
      <w:r w:rsidRPr="003542C9">
        <w:rPr>
          <w:i/>
          <w:szCs w:val="24"/>
          <w:lang w:val="sq-AL"/>
        </w:rPr>
        <w:t>mund t’i nënshtrohet rishikimit redaktues.</w:t>
      </w:r>
    </w:p>
    <w:p w:rsidR="00596618" w:rsidRPr="003542C9" w:rsidRDefault="00596618" w:rsidP="00BC0CD3">
      <w:pPr>
        <w:pStyle w:val="JuPara"/>
        <w:spacing w:line="276" w:lineRule="auto"/>
        <w:ind w:firstLine="0"/>
        <w:jc w:val="center"/>
        <w:rPr>
          <w:i/>
          <w:szCs w:val="24"/>
          <w:lang w:val="sq-AL"/>
        </w:rPr>
      </w:pPr>
    </w:p>
    <w:p w:rsidR="00596618" w:rsidRPr="003542C9" w:rsidRDefault="00370DC6" w:rsidP="00BC0CD3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</w:t>
      </w:r>
      <w:r w:rsidR="00596618" w:rsidRPr="003542C9">
        <w:rPr>
          <w:sz w:val="16"/>
          <w:szCs w:val="16"/>
          <w:lang w:val="sq-AL"/>
        </w:rPr>
        <w:t>I KUNDËR</w:t>
      </w:r>
      <w:r w:rsidR="001F294B" w:rsidRPr="003542C9">
        <w:rPr>
          <w:sz w:val="16"/>
          <w:szCs w:val="16"/>
          <w:lang w:val="sq-AL"/>
        </w:rPr>
        <w:t xml:space="preserve"> </w:t>
      </w:r>
      <w:r w:rsidR="00596618" w:rsidRPr="003542C9">
        <w:rPr>
          <w:sz w:val="16"/>
          <w:szCs w:val="16"/>
          <w:lang w:val="sq-AL"/>
        </w:rPr>
        <w:t>SHQIPËRISË</w:t>
      </w:r>
    </w:p>
    <w:p w:rsidR="00681D33" w:rsidRPr="003542C9" w:rsidRDefault="00681D33" w:rsidP="00BC0CD3">
      <w:pPr>
        <w:pStyle w:val="JuPara"/>
        <w:spacing w:line="276" w:lineRule="auto"/>
        <w:ind w:firstLine="0"/>
        <w:rPr>
          <w:i/>
          <w:szCs w:val="24"/>
          <w:lang w:val="sq-AL"/>
        </w:rPr>
      </w:pPr>
    </w:p>
    <w:p w:rsidR="00681D33" w:rsidRPr="003542C9" w:rsidRDefault="00681D33" w:rsidP="00BC0CD3">
      <w:pPr>
        <w:pStyle w:val="JuPara"/>
        <w:spacing w:line="276" w:lineRule="auto"/>
        <w:ind w:firstLine="0"/>
        <w:rPr>
          <w:i/>
          <w:szCs w:val="24"/>
          <w:lang w:val="sq-AL"/>
        </w:rPr>
      </w:pPr>
    </w:p>
    <w:p w:rsidR="00681D33" w:rsidRPr="003542C9" w:rsidRDefault="00681D33" w:rsidP="00BC0CD3">
      <w:pPr>
        <w:pStyle w:val="JuCase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 xml:space="preserve">Në çështjen </w:t>
      </w:r>
      <w:r w:rsidR="00370DC6" w:rsidRPr="003542C9">
        <w:rPr>
          <w:szCs w:val="24"/>
          <w:lang w:val="sq-AL"/>
        </w:rPr>
        <w:t>Delijorgji</w:t>
      </w:r>
      <w:r w:rsidR="006121D5" w:rsidRPr="003542C9">
        <w:rPr>
          <w:szCs w:val="24"/>
          <w:lang w:val="sq-AL"/>
        </w:rPr>
        <w:t xml:space="preserve"> kundër </w:t>
      </w:r>
      <w:r w:rsidRPr="003542C9">
        <w:rPr>
          <w:szCs w:val="24"/>
          <w:lang w:val="sq-AL"/>
        </w:rPr>
        <w:t>Shqipërisë,</w:t>
      </w:r>
      <w:r w:rsidR="006121D5" w:rsidRPr="003542C9">
        <w:rPr>
          <w:szCs w:val="24"/>
          <w:lang w:val="sq-AL"/>
        </w:rPr>
        <w:t xml:space="preserve"> </w:t>
      </w:r>
    </w:p>
    <w:p w:rsidR="00681D33" w:rsidRPr="003542C9" w:rsidRDefault="00681D33" w:rsidP="00BC0CD3">
      <w:pPr>
        <w:pStyle w:val="JuPara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 xml:space="preserve">Gjykata Europiane e të Drejtave të Njeriut (Seksioni i Katërt), </w:t>
      </w:r>
      <w:r w:rsidR="007B39A8" w:rsidRPr="003542C9">
        <w:rPr>
          <w:szCs w:val="24"/>
          <w:lang w:val="sq-AL"/>
        </w:rPr>
        <w:t>në gjykimin</w:t>
      </w:r>
      <w:r w:rsidRPr="003542C9">
        <w:rPr>
          <w:szCs w:val="24"/>
          <w:lang w:val="sq-AL"/>
        </w:rPr>
        <w:t xml:space="preserve"> si </w:t>
      </w:r>
      <w:r w:rsidR="001F294B" w:rsidRPr="003542C9">
        <w:rPr>
          <w:szCs w:val="24"/>
          <w:lang w:val="sq-AL"/>
        </w:rPr>
        <w:t>Dhomë</w:t>
      </w:r>
      <w:r w:rsidR="00FD675C" w:rsidRPr="003542C9">
        <w:rPr>
          <w:szCs w:val="24"/>
          <w:lang w:val="sq-AL"/>
        </w:rPr>
        <w:t xml:space="preserve"> </w:t>
      </w:r>
      <w:r w:rsidR="001F294B" w:rsidRPr="003542C9">
        <w:rPr>
          <w:szCs w:val="24"/>
          <w:lang w:val="sq-AL"/>
        </w:rPr>
        <w:t>e</w:t>
      </w:r>
      <w:r w:rsidRPr="003542C9">
        <w:rPr>
          <w:szCs w:val="24"/>
          <w:lang w:val="sq-AL"/>
        </w:rPr>
        <w:t xml:space="preserve"> përbërë nga:</w:t>
      </w:r>
    </w:p>
    <w:p w:rsidR="00486BB3" w:rsidRPr="003542C9" w:rsidRDefault="00681D33" w:rsidP="00BC0CD3">
      <w:pPr>
        <w:pStyle w:val="JuJudges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ab/>
      </w:r>
      <w:r w:rsidR="00486BB3" w:rsidRPr="003542C9">
        <w:rPr>
          <w:szCs w:val="24"/>
          <w:lang w:val="sq-AL"/>
        </w:rPr>
        <w:t>Päivi Hirvelä</w:t>
      </w:r>
      <w:r w:rsidRPr="003542C9">
        <w:rPr>
          <w:szCs w:val="24"/>
          <w:lang w:val="sq-AL"/>
        </w:rPr>
        <w:t>,</w:t>
      </w:r>
      <w:r w:rsidRPr="003542C9">
        <w:rPr>
          <w:i/>
          <w:szCs w:val="24"/>
          <w:lang w:val="sq-AL"/>
        </w:rPr>
        <w:t xml:space="preserve"> President,</w:t>
      </w:r>
      <w:r w:rsidRPr="003542C9">
        <w:rPr>
          <w:i/>
          <w:szCs w:val="24"/>
          <w:lang w:val="sq-AL"/>
        </w:rPr>
        <w:br/>
      </w:r>
      <w:r w:rsidRPr="003542C9">
        <w:rPr>
          <w:szCs w:val="24"/>
          <w:lang w:val="sq-AL"/>
        </w:rPr>
        <w:tab/>
      </w:r>
      <w:r w:rsidR="00486BB3" w:rsidRPr="003542C9">
        <w:rPr>
          <w:szCs w:val="24"/>
          <w:lang w:val="sq-AL"/>
        </w:rPr>
        <w:t>George Nicolaou</w:t>
      </w:r>
      <w:r w:rsidRPr="003542C9">
        <w:rPr>
          <w:szCs w:val="24"/>
          <w:lang w:val="sq-AL"/>
        </w:rPr>
        <w:t>,</w:t>
      </w:r>
    </w:p>
    <w:p w:rsidR="00486BB3" w:rsidRPr="003542C9" w:rsidRDefault="00486BB3" w:rsidP="00BC0CD3">
      <w:pPr>
        <w:pStyle w:val="JuJudges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ab/>
        <w:t>Ledi Bianku,</w:t>
      </w:r>
    </w:p>
    <w:p w:rsidR="00486BB3" w:rsidRPr="003542C9" w:rsidRDefault="00486BB3" w:rsidP="00BC0CD3">
      <w:pPr>
        <w:pStyle w:val="JuJudges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ab/>
        <w:t>Nona Tsotsoria,</w:t>
      </w:r>
    </w:p>
    <w:p w:rsidR="00486BB3" w:rsidRPr="003542C9" w:rsidRDefault="00486BB3" w:rsidP="00BC0CD3">
      <w:pPr>
        <w:pStyle w:val="JuJudges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ab/>
        <w:t>Paul Mahoney,</w:t>
      </w:r>
      <w:r w:rsidR="00681D33" w:rsidRPr="003542C9">
        <w:rPr>
          <w:i/>
          <w:szCs w:val="24"/>
          <w:lang w:val="sq-AL"/>
        </w:rPr>
        <w:br/>
      </w:r>
      <w:r w:rsidR="006121D5" w:rsidRPr="003542C9">
        <w:rPr>
          <w:szCs w:val="24"/>
          <w:lang w:val="sq-AL"/>
        </w:rPr>
        <w:t xml:space="preserve">          </w:t>
      </w:r>
      <w:r w:rsidR="00FD675C" w:rsidRPr="003542C9">
        <w:rPr>
          <w:szCs w:val="24"/>
          <w:lang w:val="sq-AL"/>
        </w:rPr>
        <w:t xml:space="preserve">Krzysztof </w:t>
      </w:r>
      <w:r w:rsidR="001F294B" w:rsidRPr="003542C9">
        <w:rPr>
          <w:szCs w:val="24"/>
          <w:lang w:val="sq-AL"/>
        </w:rPr>
        <w:t>W</w:t>
      </w:r>
      <w:r w:rsidR="00FD675C" w:rsidRPr="003542C9">
        <w:rPr>
          <w:szCs w:val="24"/>
          <w:lang w:val="sq-AL"/>
        </w:rPr>
        <w:t>oktyczek,</w:t>
      </w:r>
    </w:p>
    <w:p w:rsidR="007A595D" w:rsidRPr="003542C9" w:rsidRDefault="00486BB3" w:rsidP="00BC0CD3">
      <w:pPr>
        <w:pStyle w:val="JuJudges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ab/>
        <w:t>Faris Vehabović,</w:t>
      </w:r>
      <w:r w:rsidR="00FD675C" w:rsidRPr="003542C9">
        <w:rPr>
          <w:szCs w:val="24"/>
          <w:lang w:val="sq-AL"/>
        </w:rPr>
        <w:t xml:space="preserve"> </w:t>
      </w:r>
      <w:r w:rsidR="00681D33" w:rsidRPr="003542C9">
        <w:rPr>
          <w:i/>
          <w:szCs w:val="24"/>
          <w:lang w:val="sq-AL"/>
        </w:rPr>
        <w:t>gjykatës,</w:t>
      </w:r>
      <w:r w:rsidR="00681D33" w:rsidRPr="003542C9">
        <w:rPr>
          <w:szCs w:val="24"/>
          <w:lang w:val="sq-AL"/>
        </w:rPr>
        <w:br/>
        <w:t xml:space="preserve">dhe </w:t>
      </w:r>
      <w:r w:rsidR="00E9358A" w:rsidRPr="003542C9">
        <w:rPr>
          <w:szCs w:val="24"/>
          <w:lang w:val="sq-AL"/>
        </w:rPr>
        <w:t>Fatoş Aracı</w:t>
      </w:r>
      <w:r w:rsidR="00681D33" w:rsidRPr="003542C9">
        <w:rPr>
          <w:rStyle w:val="JuJudgesChar"/>
          <w:szCs w:val="24"/>
          <w:lang w:val="sq-AL"/>
        </w:rPr>
        <w:t xml:space="preserve">, </w:t>
      </w:r>
      <w:r w:rsidR="00555F41" w:rsidRPr="003542C9">
        <w:rPr>
          <w:rStyle w:val="JuJudgesChar"/>
          <w:i/>
          <w:szCs w:val="24"/>
          <w:lang w:val="sq-AL"/>
        </w:rPr>
        <w:t>Z</w:t>
      </w:r>
      <w:r w:rsidR="00011DEC" w:rsidRPr="003542C9">
        <w:rPr>
          <w:rStyle w:val="JuJudgesChar"/>
          <w:i/>
          <w:szCs w:val="24"/>
          <w:lang w:val="sq-AL"/>
        </w:rPr>
        <w:t>ë</w:t>
      </w:r>
      <w:r w:rsidR="00555F41" w:rsidRPr="003542C9">
        <w:rPr>
          <w:rStyle w:val="JuJudgesChar"/>
          <w:i/>
          <w:szCs w:val="24"/>
          <w:lang w:val="sq-AL"/>
        </w:rPr>
        <w:t>vend</w:t>
      </w:r>
      <w:r w:rsidR="00011DEC" w:rsidRPr="003542C9">
        <w:rPr>
          <w:rStyle w:val="JuJudgesChar"/>
          <w:i/>
          <w:szCs w:val="24"/>
          <w:lang w:val="sq-AL"/>
        </w:rPr>
        <w:t>ë</w:t>
      </w:r>
      <w:r w:rsidR="00555F41" w:rsidRPr="003542C9">
        <w:rPr>
          <w:rStyle w:val="JuJudgesChar"/>
          <w:i/>
          <w:szCs w:val="24"/>
          <w:lang w:val="sq-AL"/>
        </w:rPr>
        <w:t>s</w:t>
      </w:r>
      <w:r w:rsidR="00555F41" w:rsidRPr="003542C9">
        <w:rPr>
          <w:rStyle w:val="JuJudgesChar"/>
          <w:szCs w:val="24"/>
          <w:lang w:val="sq-AL"/>
        </w:rPr>
        <w:t xml:space="preserve"> </w:t>
      </w:r>
      <w:r w:rsidR="00681D33" w:rsidRPr="003542C9">
        <w:rPr>
          <w:i/>
          <w:szCs w:val="24"/>
          <w:lang w:val="sq-AL"/>
        </w:rPr>
        <w:t>Regjistrues i Seksionit,</w:t>
      </w:r>
    </w:p>
    <w:p w:rsidR="00681D33" w:rsidRPr="003542C9" w:rsidRDefault="00681D33" w:rsidP="00BC0CD3">
      <w:pPr>
        <w:pStyle w:val="JuPara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 xml:space="preserve">Pas shqyrtimit me dyer të mbyllura më </w:t>
      </w:r>
      <w:r w:rsidR="00486BB3" w:rsidRPr="003542C9">
        <w:rPr>
          <w:szCs w:val="24"/>
          <w:lang w:val="sq-AL"/>
        </w:rPr>
        <w:t>31 Mars</w:t>
      </w:r>
      <w:r w:rsidR="00FD675C" w:rsidRPr="003542C9">
        <w:rPr>
          <w:szCs w:val="24"/>
          <w:lang w:val="sq-AL"/>
        </w:rPr>
        <w:t xml:space="preserve"> 2015</w:t>
      </w:r>
      <w:r w:rsidRPr="003542C9">
        <w:rPr>
          <w:szCs w:val="24"/>
          <w:lang w:val="sq-AL"/>
        </w:rPr>
        <w:t>,</w:t>
      </w:r>
    </w:p>
    <w:p w:rsidR="00681D33" w:rsidRPr="003542C9" w:rsidRDefault="00681D33" w:rsidP="00BC0CD3">
      <w:pPr>
        <w:pStyle w:val="JuPara"/>
        <w:spacing w:line="276" w:lineRule="auto"/>
        <w:rPr>
          <w:szCs w:val="24"/>
          <w:lang w:val="sq-AL"/>
        </w:rPr>
      </w:pPr>
      <w:r w:rsidRPr="003542C9">
        <w:rPr>
          <w:szCs w:val="24"/>
          <w:lang w:val="sq-AL"/>
        </w:rPr>
        <w:t>Shpall vendimin e mëposhtëm të miratuar në atë datë:</w:t>
      </w:r>
    </w:p>
    <w:p w:rsidR="00681D33" w:rsidRPr="003542C9" w:rsidRDefault="00681D33" w:rsidP="00BC0CD3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9604FA" w:rsidRPr="003542C9" w:rsidRDefault="00316AC2" w:rsidP="00BC0CD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PROCEDURA</w:t>
      </w:r>
    </w:p>
    <w:p w:rsidR="002045F8" w:rsidRPr="003542C9" w:rsidRDefault="00316AC2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681D33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shtja e ka zanafill</w:t>
      </w:r>
      <w:r w:rsidR="00681D33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n</w:t>
      </w:r>
      <w:r w:rsidR="00681D33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37FAA" w:rsidRPr="003542C9">
        <w:rPr>
          <w:rFonts w:ascii="Times New Roman" w:hAnsi="Times New Roman"/>
          <w:sz w:val="24"/>
          <w:szCs w:val="24"/>
          <w:lang w:val="sq-AL"/>
        </w:rPr>
        <w:t>ankimin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(nr.</w:t>
      </w:r>
      <w:r w:rsidR="00486BB3" w:rsidRPr="003542C9">
        <w:rPr>
          <w:rFonts w:ascii="Times New Roman" w:hAnsi="Times New Roman"/>
          <w:sz w:val="24"/>
          <w:szCs w:val="24"/>
          <w:lang w:val="sq-AL"/>
        </w:rPr>
        <w:t>6858/11</w:t>
      </w:r>
      <w:r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>r Republik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depozituar n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sipas Nenit 34 t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>s p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>r Mbrojtjen e t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Njeriut dhe Lirive Themelore (“Konventa”), nga nj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shtetas shqiptar, Z. </w:t>
      </w:r>
      <w:r w:rsidR="00486BB3" w:rsidRPr="003542C9">
        <w:rPr>
          <w:rFonts w:ascii="Times New Roman" w:hAnsi="Times New Roman"/>
          <w:sz w:val="24"/>
          <w:szCs w:val="24"/>
          <w:lang w:val="sq-AL"/>
        </w:rPr>
        <w:t>Mihal Delijorgji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(“ankuesi”), m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86BB3" w:rsidRPr="003542C9">
        <w:rPr>
          <w:rFonts w:ascii="Times New Roman" w:hAnsi="Times New Roman"/>
          <w:sz w:val="24"/>
          <w:szCs w:val="24"/>
          <w:lang w:val="sq-AL"/>
        </w:rPr>
        <w:t>4 Janar 2011</w:t>
      </w:r>
      <w:r w:rsidR="002045F8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426DF6" w:rsidRPr="003542C9" w:rsidRDefault="00706844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u p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rfaq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sua nga Z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>nj. E. Kokona dhe Z. M. Haxhia</w:t>
      </w:r>
      <w:r w:rsidRPr="003542C9">
        <w:rPr>
          <w:rFonts w:ascii="Times New Roman" w:hAnsi="Times New Roman"/>
          <w:sz w:val="24"/>
          <w:szCs w:val="24"/>
          <w:lang w:val="sq-AL"/>
        </w:rPr>
        <w:t>, avokat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>t e ushtrojn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 aktivitetin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Qeveria shqiptare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(“Qeveria”) u p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rfaq</w:t>
      </w:r>
      <w:r w:rsidR="00011DEC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sua nga Agjent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>ja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saj 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>Znj. A</w:t>
      </w:r>
      <w:r w:rsidRPr="003542C9">
        <w:rPr>
          <w:rFonts w:ascii="Times New Roman" w:hAnsi="Times New Roman"/>
          <w:sz w:val="24"/>
          <w:szCs w:val="24"/>
          <w:lang w:val="sq-AL"/>
        </w:rPr>
        <w:t>.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 Hicka, Avokatja 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sz w:val="24"/>
          <w:szCs w:val="24"/>
          <w:lang w:val="sq-AL"/>
        </w:rPr>
        <w:t xml:space="preserve">rgjithshme e Shtetit. </w:t>
      </w:r>
    </w:p>
    <w:p w:rsidR="00426DF6" w:rsidRPr="003542C9" w:rsidRDefault="00426DF6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pretendonte se kishte patur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sipas Nenit 5 § 1 (c) dhe Nenit 5 § 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26DF6" w:rsidRPr="003542C9" w:rsidRDefault="00426DF6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3 Shtator 2013, ankimi iu komunikua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426DF6" w:rsidRPr="003542C9" w:rsidRDefault="00426DF6" w:rsidP="00426DF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26DF6" w:rsidRPr="003542C9" w:rsidRDefault="00426DF6" w:rsidP="00426DF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FAKTET</w:t>
      </w:r>
    </w:p>
    <w:p w:rsidR="00426DF6" w:rsidRPr="003542C9" w:rsidRDefault="00426DF6" w:rsidP="00426DF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26DF6" w:rsidRPr="003542C9" w:rsidRDefault="00426DF6" w:rsidP="00940E9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RRETHANAT E Ç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SHTJES </w:t>
      </w:r>
    </w:p>
    <w:p w:rsidR="00426DF6" w:rsidRPr="003542C9" w:rsidRDefault="00426DF6" w:rsidP="00426DF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26DF6" w:rsidRPr="003542C9" w:rsidRDefault="00426DF6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ka lindur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vitin 1966 dhe banon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426DF6" w:rsidRPr="003542C9" w:rsidRDefault="00426DF6" w:rsidP="00426DF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26DF6" w:rsidRPr="00E33375" w:rsidRDefault="001F294B" w:rsidP="00940E9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Ndalimi</w:t>
      </w:r>
      <w:r w:rsidR="00426DF6" w:rsidRPr="003542C9">
        <w:rPr>
          <w:rFonts w:ascii="Times New Roman" w:hAnsi="Times New Roman"/>
          <w:b/>
          <w:sz w:val="24"/>
          <w:szCs w:val="24"/>
          <w:lang w:val="sq-AL"/>
        </w:rPr>
        <w:t xml:space="preserve"> i ankuesit dhe k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b/>
          <w:sz w:val="24"/>
          <w:szCs w:val="24"/>
          <w:lang w:val="sq-AL"/>
        </w:rPr>
        <w:t>rkesat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426DF6" w:rsidRPr="003542C9">
        <w:rPr>
          <w:rFonts w:ascii="Times New Roman" w:hAnsi="Times New Roman"/>
          <w:b/>
          <w:sz w:val="24"/>
          <w:szCs w:val="24"/>
          <w:lang w:val="sq-AL"/>
        </w:rPr>
        <w:t>r lirim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E3337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26DF6" w:rsidRPr="003542C9" w:rsidRDefault="00426DF6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15 Mars 20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08,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objekt demontimi ndod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hi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rthim masiv.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rthimi mori 26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. Dyqind e gjasht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e pes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persona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u plagos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n 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ose leht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dhe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rtesash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gjendeshin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rreth u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mtuan 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. Procesi i demontimit re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a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lizohej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 xml:space="preserve"> kompani tregtare private, admi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ni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>trator i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72C30" w:rsidRPr="003542C9">
        <w:rPr>
          <w:rFonts w:ascii="Times New Roman" w:hAnsi="Times New Roman"/>
          <w:sz w:val="24"/>
          <w:szCs w:val="24"/>
          <w:lang w:val="sq-AL"/>
        </w:rPr>
        <w:t xml:space="preserve">s ishte ankuesi. </w:t>
      </w:r>
    </w:p>
    <w:p w:rsidR="00D72C30" w:rsidRPr="003542C9" w:rsidRDefault="00D72C30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Pas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rthimit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, prokurori nis</w:t>
      </w:r>
      <w:r w:rsidR="00DD0754" w:rsidRPr="003542C9">
        <w:rPr>
          <w:rFonts w:ascii="Times New Roman" w:hAnsi="Times New Roman"/>
          <w:sz w:val="24"/>
          <w:szCs w:val="24"/>
          <w:lang w:val="sq-AL"/>
        </w:rPr>
        <w:t>i procedimet penale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D0754" w:rsidRPr="003542C9">
        <w:rPr>
          <w:rFonts w:ascii="Times New Roman" w:hAnsi="Times New Roman"/>
          <w:sz w:val="24"/>
          <w:szCs w:val="24"/>
          <w:lang w:val="sq-AL"/>
        </w:rPr>
        <w:t>r ankuesit dhe 28 personave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D0754"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D0754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DD0754" w:rsidRPr="003542C9" w:rsidRDefault="00DD0754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17 Mars 2008, ankuesi mbeti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arr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est. Gjykata e Rrethit nuk vend</w:t>
      </w:r>
      <w:r w:rsidRPr="003542C9">
        <w:rPr>
          <w:rFonts w:ascii="Times New Roman" w:hAnsi="Times New Roman"/>
          <w:sz w:val="24"/>
          <w:szCs w:val="24"/>
          <w:lang w:val="sq-AL"/>
        </w:rPr>
        <w:t>o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s</w:t>
      </w:r>
      <w:r w:rsidRPr="003542C9">
        <w:rPr>
          <w:rFonts w:ascii="Times New Roman" w:hAnsi="Times New Roman"/>
          <w:sz w:val="24"/>
          <w:szCs w:val="24"/>
          <w:lang w:val="sq-AL"/>
        </w:rPr>
        <w:t>i asnj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limit kohor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tij. Dukej se ai ishte i dyshuar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kryerjen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vepr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penale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vrasjes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rrethana 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nduese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dy personave, shkat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rrimin e pron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me 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rthyese dhe shkeljen e rregullave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eksploziv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t, substancat nd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e</w:t>
      </w:r>
      <w:r w:rsidRPr="003542C9">
        <w:rPr>
          <w:rFonts w:ascii="Times New Roman" w:hAnsi="Times New Roman"/>
          <w:sz w:val="24"/>
          <w:szCs w:val="24"/>
          <w:lang w:val="sq-AL"/>
        </w:rPr>
        <w:t>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dhe ato radioaktive”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rshtim me Nenet 79 (dh) dhe (ë), 152 dhe 282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Kodit Penal. </w:t>
      </w:r>
    </w:p>
    <w:p w:rsidR="00A93595" w:rsidRPr="003542C9" w:rsidRDefault="00DD0754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13 Mars 2009, prokurori 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rgoi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ank</w:t>
      </w:r>
      <w:r w:rsidR="00A93595" w:rsidRPr="003542C9">
        <w:rPr>
          <w:rFonts w:ascii="Times New Roman" w:hAnsi="Times New Roman"/>
          <w:sz w:val="24"/>
          <w:szCs w:val="24"/>
          <w:lang w:val="sq-AL"/>
        </w:rPr>
        <w:t>uesit dhe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93595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pandehurve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shqyrtim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pandehurit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ishte 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Deputet</w:t>
      </w:r>
      <w:r w:rsidR="00A93595" w:rsidRPr="003542C9">
        <w:rPr>
          <w:rFonts w:ascii="Times New Roman" w:hAnsi="Times New Roman"/>
          <w:sz w:val="24"/>
          <w:szCs w:val="24"/>
          <w:lang w:val="sq-AL"/>
        </w:rPr>
        <w:t xml:space="preserve"> si edhe Minist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93595" w:rsidRPr="003542C9">
        <w:rPr>
          <w:rFonts w:ascii="Times New Roman" w:hAnsi="Times New Roman"/>
          <w:sz w:val="24"/>
          <w:szCs w:val="24"/>
          <w:lang w:val="sq-AL"/>
        </w:rPr>
        <w:t xml:space="preserve">r Kabineti. </w:t>
      </w:r>
    </w:p>
    <w:p w:rsidR="00DD0754" w:rsidRPr="003542C9" w:rsidRDefault="00A9359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22 Maj 2009,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vendosi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rpriste procedurat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Deputetit</w:t>
      </w:r>
      <w:r w:rsidRPr="003542C9">
        <w:rPr>
          <w:rFonts w:ascii="Times New Roman" w:hAnsi="Times New Roman"/>
          <w:sz w:val="24"/>
          <w:szCs w:val="24"/>
          <w:lang w:val="sq-AL"/>
        </w:rPr>
        <w:t>, i cili ishte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edhe Minist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Kabineti, nga ato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ankuesit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pandehurve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DD0754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A93595" w:rsidRPr="003542C9" w:rsidRDefault="00A9359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11 Qershor 2009, dosja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pandehur</w:t>
      </w:r>
      <w:r w:rsidRPr="003542C9">
        <w:rPr>
          <w:rFonts w:ascii="Times New Roman" w:hAnsi="Times New Roman"/>
          <w:sz w:val="24"/>
          <w:szCs w:val="24"/>
          <w:lang w:val="sq-AL"/>
        </w:rPr>
        <w:t>ve, duke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rfshir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edhe ankuesin, u re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gjistrua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n e Rrethit T</w:t>
      </w:r>
      <w:r w:rsidRPr="003542C9">
        <w:rPr>
          <w:rFonts w:ascii="Times New Roman" w:hAnsi="Times New Roman"/>
          <w:sz w:val="24"/>
          <w:szCs w:val="24"/>
          <w:lang w:val="sq-AL"/>
        </w:rPr>
        <w:t>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(“Gjykata e Rrethit”)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shqyrtim. </w:t>
      </w:r>
    </w:p>
    <w:p w:rsidR="00A93595" w:rsidRPr="003542C9" w:rsidRDefault="00A93595" w:rsidP="00A9359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93595" w:rsidRPr="003542C9" w:rsidRDefault="00A93595" w:rsidP="00940E9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K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rkesa e par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r lirim </w:t>
      </w:r>
    </w:p>
    <w:p w:rsidR="00A93595" w:rsidRPr="003542C9" w:rsidRDefault="00A93595" w:rsidP="00A93595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A93595" w:rsidRPr="003542C9" w:rsidRDefault="00A9359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19 Korrik 2010, ankuesi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rkoi lirimin e tij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limitet kohor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Nenet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262 dhe 263 § 2 (c)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Kodit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Penale (“KPP”) kishin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rfunduar. Ai argumentoi se afati kohor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rcaktuar kishte nisur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13 Mars 2009,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shtja ishte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shqyrtim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A93595" w:rsidRPr="003542C9" w:rsidRDefault="00A9359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23 Korrik 2010, Gjykata e Rrethit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 bisedor e 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>k</w:t>
      </w:r>
      <w:r w:rsidRPr="003542C9">
        <w:rPr>
          <w:rFonts w:ascii="Times New Roman" w:hAnsi="Times New Roman"/>
          <w:sz w:val="24"/>
          <w:szCs w:val="24"/>
          <w:lang w:val="sq-AL"/>
        </w:rPr>
        <w:t>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n. Ajo argumentoi se 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>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se afati kohor kishte filluar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prej 11 Qershorit 2009,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n dosja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>shtjes ishte regjistruar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regjistrin e saj, dhe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294B" w:rsidRPr="003542C9">
        <w:rPr>
          <w:rFonts w:ascii="Times New Roman" w:hAnsi="Times New Roman"/>
          <w:sz w:val="24"/>
          <w:szCs w:val="24"/>
          <w:lang w:val="sq-AL"/>
        </w:rPr>
        <w:t xml:space="preserve"> se ajo kishte që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>ndruar  ose zgjatur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tej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vendimeve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 tjera interlokutore, afati kohor nuk kishte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34E0" w:rsidRPr="003542C9">
        <w:rPr>
          <w:rFonts w:ascii="Times New Roman" w:hAnsi="Times New Roman"/>
          <w:sz w:val="24"/>
          <w:szCs w:val="24"/>
          <w:lang w:val="sq-AL"/>
        </w:rPr>
        <w:t xml:space="preserve">rfunduar ende. </w:t>
      </w:r>
    </w:p>
    <w:p w:rsidR="001F34E0" w:rsidRDefault="001F34E0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6 Gusht 2010, Gjykata e Apelit e la vendimin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fuqi. </w:t>
      </w:r>
    </w:p>
    <w:p w:rsidR="00E33375" w:rsidRDefault="00E33375" w:rsidP="00E3337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</w:p>
    <w:p w:rsidR="00C8445E" w:rsidRPr="003542C9" w:rsidRDefault="001F34E0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anuloi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 vendimet. Ajo arsyetoi 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 xml:space="preserve">se Neni 263 i KPP parashikonte </w:t>
      </w:r>
      <w:r w:rsidRPr="003542C9">
        <w:rPr>
          <w:rFonts w:ascii="Times New Roman" w:hAnsi="Times New Roman"/>
          <w:sz w:val="24"/>
          <w:szCs w:val="24"/>
          <w:lang w:val="sq-AL"/>
        </w:rPr>
        <w:t>tre afate: i pari i cili nis nga data e arrestimit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pandehurit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kur dosja transferohet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(Neni 263 § 1 i KPP); i dyti fillon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ky moment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nies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vendimit nga gjykata (Neni 263 § 2 i KPP); dhe i treti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ky moment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nies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vendimit nga gjykata e apelit (Neni 263 § 3 i KPP). Sipas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e ankuesit, afati i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kohor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13 Mars 2009, kur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shtja u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rgua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(Neni 263 § 1 i KPP).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nisi afati i dyt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kohor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rpara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(Neni 263 § 2 i KPP),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 xml:space="preserve"> se Gjy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k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a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po 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gjonte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shtjen si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,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rsa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nga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pandehurit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ishte Deputet dhe Minist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 Kabineti. Edhe pse procedimet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 Deputetit u 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put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n nga ato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 ankuesit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pandehu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, periudha midis 13 Marsit 2009 dhe 11 Qershorit 2009,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n dosja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shtjes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 ankuesit u regjistrua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n e Rrethit,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merret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afatit kohor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parashikuar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Nenin 263 §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KPP.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hodhi mendimin se afati kohor i parashikuar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Nenin 265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KPP duhej zbritur nga afati kohor i parashikuar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Nenin 263,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qëndrimi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i ishte atribuar </w:t>
      </w:r>
      <w:r w:rsidR="00C8445E" w:rsidRPr="003542C9">
        <w:rPr>
          <w:rFonts w:ascii="Times New Roman" w:hAnsi="Times New Roman"/>
          <w:i/>
          <w:sz w:val="24"/>
          <w:szCs w:val="24"/>
          <w:lang w:val="sq-AL"/>
        </w:rPr>
        <w:t>inter alia,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rit prej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pandehu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rve ose avokatit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tij.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 arsyet 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rmendura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e rid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rgoi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shtjen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r t’u ridëgjuar nga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 xml:space="preserve"> trup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 xml:space="preserve"> gjykues</w:t>
      </w:r>
      <w:r w:rsidR="00C8445E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C8445E" w:rsidRPr="003542C9" w:rsidRDefault="00C8445E" w:rsidP="00C8445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7C75" w:rsidRPr="003542C9" w:rsidRDefault="00F87C75" w:rsidP="00F87C7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Procedimet e rid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gjimit</w:t>
      </w:r>
    </w:p>
    <w:p w:rsidR="00F87C75" w:rsidRPr="003542C9" w:rsidRDefault="00F87C75" w:rsidP="00F87C75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F87C75" w:rsidRPr="003542C9" w:rsidRDefault="00F87C7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25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avokati i ankuesit,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shtetur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rkoi, me shkrim, lirimin e ankuesit. Ai argumentoi se periudha e tij e 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rpara 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procesit gjyqësor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ishte zgjatur me 81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F87C75" w:rsidRPr="003542C9" w:rsidRDefault="00F87C7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26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Gjykata e Rrethit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rshtoi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duke argumentuar se nuk ishte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rguar me shkrim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rputhje me ligjin. Ankuesi apeloi. </w:t>
      </w:r>
    </w:p>
    <w:p w:rsidR="00B74E5E" w:rsidRPr="003542C9" w:rsidRDefault="00F87C7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17 Dhjetor 2010, Gjykata e Apelit 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zoi vendimin dhe e rid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rgoi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rid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gjim tek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trup gjykues tjet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r. 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Ajo konstatoi se Gjykata e Rrethit nuk kishte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rmbushur detyrat e deleguara nga vendimi 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,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i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ntor 2010. </w:t>
      </w:r>
    </w:p>
    <w:p w:rsidR="00B74E5E" w:rsidRPr="003542C9" w:rsidRDefault="00FD0575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apeloi me argumen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tin se Gjykata e Apelit duhej ta kishte shqyrtuar vet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vend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vononte procedimet. </w:t>
      </w:r>
    </w:p>
    <w:p w:rsidR="00B74E5E" w:rsidRPr="003542C9" w:rsidRDefault="00B74E5E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27 Janar 2011,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rshtoi apelimin. </w:t>
      </w:r>
    </w:p>
    <w:p w:rsidR="001F34E0" w:rsidRDefault="00C8445E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16 Shkurt 2011, Gjykata e Rrethit e pushoi gjykimin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saj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>s 7 Shkurt 2011 (shiko paragrafin 25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:rsidR="00E33375" w:rsidRDefault="00E33375" w:rsidP="00E3337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</w:p>
    <w:p w:rsidR="00E33375" w:rsidRP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B74E5E" w:rsidRPr="003542C9" w:rsidRDefault="00B74E5E" w:rsidP="00B74E5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74E5E" w:rsidRPr="003542C9" w:rsidRDefault="00B74E5E" w:rsidP="00940E9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K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rkesa e dyt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lirim</w:t>
      </w:r>
    </w:p>
    <w:p w:rsidR="00B74E5E" w:rsidRPr="003542C9" w:rsidRDefault="00B74E5E" w:rsidP="00B74E5E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B74E5E" w:rsidRPr="003542C9" w:rsidRDefault="00B74E5E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6 Dhjetor 2010, avokati i ankuesit paraqiti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dyt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lirimin e ankuesit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argumentin se afatet kohore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parashikuara nga Nenet 262 dhe 263 § 2 (c)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 kishin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rfunduar. </w:t>
      </w:r>
    </w:p>
    <w:p w:rsidR="00ED42BB" w:rsidRPr="003542C9" w:rsidRDefault="00B74E5E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e Rrethit,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 interlokutor,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rshtoi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n. Ajo vendosi se afati kohor kishte filluar nga 11 Qershori 2009,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kjo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regjistruar dosjen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shtjes. Ajo ishte mbajtur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periudhe prej 8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muajsh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12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pasoj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e Rrethit pohoi se kishin mbetur 2 muaj dhe 18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paraburgim</w:t>
      </w:r>
      <w:r w:rsidRPr="003542C9">
        <w:rPr>
          <w:rFonts w:ascii="Times New Roman" w:hAnsi="Times New Roman"/>
          <w:sz w:val="24"/>
          <w:szCs w:val="24"/>
          <w:lang w:val="sq-AL"/>
        </w:rPr>
        <w:t>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rpara gjy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>kimit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>rfundim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 xml:space="preserve"> afatit kohor prej dymb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>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muajsh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>, sipas parashikimit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665B" w:rsidRPr="003542C9">
        <w:rPr>
          <w:rFonts w:ascii="Times New Roman" w:hAnsi="Times New Roman"/>
          <w:sz w:val="24"/>
          <w:szCs w:val="24"/>
          <w:lang w:val="sq-AL"/>
        </w:rPr>
        <w:t xml:space="preserve"> Nenit 263 § 2 (c). 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>r sa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>rket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>rfundimeve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 xml:space="preserve">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3498" w:rsidRPr="003542C9">
        <w:rPr>
          <w:rFonts w:ascii="Times New Roman" w:hAnsi="Times New Roman"/>
          <w:sz w:val="24"/>
          <w:szCs w:val="24"/>
          <w:lang w:val="sq-AL"/>
        </w:rPr>
        <w:t>ntor 2010, Gjykata e Rrethit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deklaroi se 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 xml:space="preserve">ato 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>vare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shin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nga rid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gjimi 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>shtjes nga trupi gjykues dhe jo nga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>gjimi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>rkese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>ant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r lirimin. </w:t>
      </w:r>
    </w:p>
    <w:p w:rsidR="00ED42BB" w:rsidRPr="003542C9" w:rsidRDefault="00ED42BB" w:rsidP="00ED42B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D42BB" w:rsidRPr="003542C9" w:rsidRDefault="00ED42BB" w:rsidP="00940E9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K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rkesa e tret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lirim</w:t>
      </w:r>
    </w:p>
    <w:p w:rsidR="00ED42BB" w:rsidRPr="003542C9" w:rsidRDefault="00ED42BB" w:rsidP="00ED42BB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D42BB" w:rsidRPr="003542C9" w:rsidRDefault="00ED42BB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7 Shkurt 2011, avokati i ankuesit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rkoi lirimin e ankuesit mbi baz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se afatet kohore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parashikuara nga Nenet 262 dhe 263 § 2 (c)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 kishin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rfunduar. </w:t>
      </w:r>
    </w:p>
    <w:p w:rsidR="006368C5" w:rsidRPr="003542C9" w:rsidRDefault="00ED42BB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 interlokutor, Gjykata e Rrethit urdh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roi lirimin e menj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hersh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dhe kalimin e tij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arrest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pie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rputhje me Nenin 266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KPP. Nuk u dhan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tejshme. Gjykata e Rrethit u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shtet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s 2 Shkurt 2011 i cili urdh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ronte lirimin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pandehuri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tjet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r i cili ishte ndaluar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po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n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D0575" w:rsidRPr="003542C9">
        <w:rPr>
          <w:rFonts w:ascii="Times New Roman" w:hAnsi="Times New Roman"/>
          <w:sz w:val="24"/>
          <w:szCs w:val="24"/>
          <w:lang w:val="sq-AL"/>
        </w:rPr>
        <w:t>i ankuesi, sepse afatet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kohore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paraburgim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rpara procesit gjyqësor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parashikuara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 xml:space="preserve"> Nenin 263 § 2 (c), kishin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rfunduar (shiko paragrafin 31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). Ajo pranoi se afati kohor kishte filluar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prej 31 Marsit 2009 dhe kishte kaluar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rtej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s 12-mujore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parashikuar me ligj. Vendimi nuk tregonte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>n e mbarimit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 afatit kohor. Prokuror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368C5" w:rsidRPr="003542C9">
        <w:rPr>
          <w:rFonts w:ascii="Times New Roman" w:hAnsi="Times New Roman"/>
          <w:sz w:val="24"/>
          <w:szCs w:val="24"/>
          <w:lang w:val="sq-AL"/>
        </w:rPr>
        <w:t xml:space="preserve">t apeluan. </w:t>
      </w:r>
    </w:p>
    <w:p w:rsidR="00992E61" w:rsidRPr="003542C9" w:rsidRDefault="00992E6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Rezultoi se ankuesi u vendos menj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arrest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pie. </w:t>
      </w:r>
    </w:p>
    <w:p w:rsidR="00992E61" w:rsidRPr="003542C9" w:rsidRDefault="00992E6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11 Mars 2011, pas apelimit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prokurorit, Gjykata e Apelit la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fuqi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Rrethit. </w:t>
      </w:r>
    </w:p>
    <w:p w:rsidR="00992E61" w:rsidRPr="003542C9" w:rsidRDefault="00992E6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9 Maj 2011, pas apelit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prokurorit,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fuqi vendimin e gjykatave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ta. </w:t>
      </w:r>
    </w:p>
    <w:p w:rsidR="00992E61" w:rsidRDefault="00992E61" w:rsidP="00992E6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992E6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992E6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92E61" w:rsidRPr="003542C9" w:rsidRDefault="00992E61" w:rsidP="00940E9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Ankesa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 lirimin e 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F5EBA" w:rsidRPr="003542C9">
        <w:rPr>
          <w:rFonts w:ascii="Times New Roman" w:hAnsi="Times New Roman"/>
          <w:b/>
          <w:sz w:val="24"/>
          <w:szCs w:val="24"/>
          <w:lang w:val="sq-AL"/>
        </w:rPr>
        <w:t>bashk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6F5EBA" w:rsidRPr="003542C9">
        <w:rPr>
          <w:rFonts w:ascii="Times New Roman" w:hAnsi="Times New Roman"/>
          <w:b/>
          <w:sz w:val="24"/>
          <w:szCs w:val="24"/>
          <w:lang w:val="sq-AL"/>
        </w:rPr>
        <w:t>pandehurit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992E61" w:rsidRPr="003542C9" w:rsidRDefault="00992E61" w:rsidP="00992E61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992E61" w:rsidRPr="003542C9" w:rsidRDefault="00992E6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24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Gjykata e Rrethit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rshtoi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pandehurit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lirimin e tij, mbi argumentin se afati kohor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“gjyqin e tij </w:t>
      </w:r>
      <w:r w:rsidR="004E297F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297F" w:rsidRPr="003542C9">
        <w:rPr>
          <w:rFonts w:ascii="Times New Roman" w:hAnsi="Times New Roman"/>
          <w:sz w:val="24"/>
          <w:szCs w:val="24"/>
          <w:lang w:val="sq-AL"/>
        </w:rPr>
        <w:t xml:space="preserve"> mbetur pezull</w:t>
      </w:r>
      <w:r w:rsidRPr="003542C9">
        <w:rPr>
          <w:rFonts w:ascii="Times New Roman" w:hAnsi="Times New Roman"/>
          <w:sz w:val="24"/>
          <w:szCs w:val="24"/>
          <w:lang w:val="sq-AL"/>
        </w:rPr>
        <w:t>”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paraburgim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mbaruar.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interpretim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263 § 2 (c)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KPP, Gjykata e Rrethit argumentoi se afati kohor kishte filluar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prej 11 Qershorit 2009,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kur dosja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u regjistrua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regjistrin e saj.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tej, ajo vijoi se vendimi 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 nuk varej nga ai trup gjykues (shiko paragrafin 15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992E61" w:rsidRPr="003542C9" w:rsidRDefault="00992E6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17 Shtator 2010, Gjykata e Apelit e la vendimin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fuqi. </w:t>
      </w:r>
    </w:p>
    <w:p w:rsidR="00B74E5E" w:rsidRPr="003542C9" w:rsidRDefault="00992E6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 Shkurt 2011,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841A8" w:rsidRPr="003542C9">
        <w:rPr>
          <w:rFonts w:ascii="Times New Roman" w:hAnsi="Times New Roman"/>
          <w:sz w:val="24"/>
          <w:szCs w:val="24"/>
          <w:lang w:val="sq-AL"/>
        </w:rPr>
        <w:t xml:space="preserve"> njohu apelimin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F5EBA" w:rsidRPr="003542C9">
        <w:rPr>
          <w:rFonts w:ascii="Times New Roman" w:hAnsi="Times New Roman"/>
          <w:sz w:val="24"/>
          <w:szCs w:val="24"/>
          <w:lang w:val="sq-AL"/>
        </w:rPr>
        <w:t>pandehurit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r vendimeve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gjykatave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ul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ta.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interpretim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Nenit 263 § 2 (c)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KPP,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argumentoi se periudha e “gjyqit </w:t>
      </w:r>
      <w:r w:rsidR="004E297F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297F" w:rsidRPr="003542C9">
        <w:rPr>
          <w:rFonts w:ascii="Times New Roman" w:hAnsi="Times New Roman"/>
          <w:sz w:val="24"/>
          <w:szCs w:val="24"/>
          <w:lang w:val="sq-AL"/>
        </w:rPr>
        <w:t xml:space="preserve"> mbetur pezull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”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paraburgim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kishte filluar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13 Mars 2009, kur prokurori e kishte regjistruar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shtjen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r shqyrtim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841A8" w:rsidRPr="003542C9">
        <w:rPr>
          <w:rFonts w:ascii="Times New Roman" w:hAnsi="Times New Roman"/>
          <w:sz w:val="24"/>
          <w:szCs w:val="24"/>
          <w:lang w:val="sq-AL"/>
        </w:rPr>
        <w:t>. Kjo e fundit e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kishte shqyrtuar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si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>rputhje me Nenin 75 (b)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6050B" w:rsidRPr="003542C9">
        <w:rPr>
          <w:rFonts w:ascii="Times New Roman" w:hAnsi="Times New Roman"/>
          <w:sz w:val="24"/>
          <w:szCs w:val="24"/>
          <w:lang w:val="sq-AL"/>
        </w:rPr>
        <w:t xml:space="preserve"> KPP.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42BB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74DEB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4E5E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16050B" w:rsidRPr="003542C9" w:rsidRDefault="004E297F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tej,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iu referua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saj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datës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i cili i orientonte gjykatat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ulëta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llo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garisnin periudhën e ndalimit “gjatë procesit gjyqësor”</w:t>
      </w:r>
      <w:r w:rsidRPr="003542C9">
        <w:rPr>
          <w:rFonts w:ascii="Times New Roman" w:hAnsi="Times New Roman"/>
          <w:sz w:val="24"/>
          <w:szCs w:val="24"/>
          <w:lang w:val="sq-AL"/>
        </w:rPr>
        <w:t>, por ishte shpërfillur nga Gjykata e Rrethit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grup procedimesh.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urdhëroi kalimin 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 xml:space="preserve"> bashkëpandehurit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arrest shtëpie. </w:t>
      </w:r>
    </w:p>
    <w:p w:rsidR="004F5427" w:rsidRPr="003542C9" w:rsidRDefault="004F5427" w:rsidP="004F542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F5427" w:rsidRPr="003542C9" w:rsidRDefault="004F5427" w:rsidP="00940E96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D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nimi i ankuesit</w:t>
      </w:r>
    </w:p>
    <w:p w:rsidR="004F5427" w:rsidRPr="003542C9" w:rsidRDefault="004F5427" w:rsidP="004F542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F5427" w:rsidRPr="003542C9" w:rsidRDefault="004F5427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12 Mars 2012,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e Rrethit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shpalli ankuesin fajtor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“shkeljen e rregullave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substancat eksplozive,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djegshme ose radioaktive” –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kundërshtim me Nenin 282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Kodit Penal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,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e dënoi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10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vjet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burgim.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gjitha pal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t apeluan. </w:t>
      </w:r>
    </w:p>
    <w:p w:rsidR="004F5427" w:rsidRPr="003542C9" w:rsidRDefault="004F5427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13 Shkurt 2013, Gjykata e Apelit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la vendimin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fuqi. Megjithatë, ajo e uli dënimin e ankuesit 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 xml:space="preserve"> tretat </w:t>
      </w: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përdorimit procedurës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përmbledhur. </w:t>
      </w:r>
    </w:p>
    <w:p w:rsidR="004F5427" w:rsidRPr="003542C9" w:rsidRDefault="004F5427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Apelimi i ankuesit u hodh posht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19 Korrik 2013. </w:t>
      </w:r>
    </w:p>
    <w:p w:rsidR="00E33375" w:rsidRDefault="004F5427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14 Shkurt 2013,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letër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ekzekutimin e dënimit, prokuroria deklaroi se periudha e 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 xml:space="preserve"> ankuesit përpara procesit gjyqësor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data 17 Mars 2008 deri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 Shkurt 2011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llogaritej si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burgimi prej 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vitesh dhe 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muajsh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përputhje me ligjin. Kësaj periudhe i duheshin shtuar 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edhe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dy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vjet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>he gjasht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>,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cilës ankuesi kishte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arrest shtëpie.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0171" w:rsidRPr="003542C9">
        <w:rPr>
          <w:rFonts w:ascii="Times New Roman" w:hAnsi="Times New Roman"/>
          <w:sz w:val="24"/>
          <w:szCs w:val="24"/>
          <w:lang w:val="sq-AL"/>
        </w:rPr>
        <w:t xml:space="preserve"> total, ankuesi kishte </w:t>
      </w:r>
    </w:p>
    <w:p w:rsidR="00E33375" w:rsidRDefault="00E33375" w:rsidP="00E3337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</w:p>
    <w:p w:rsidR="004F5427" w:rsidRPr="003542C9" w:rsidRDefault="00440171" w:rsidP="00E3337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vuajtur gjasht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vjet</w:t>
      </w:r>
      <w:r w:rsidRPr="003542C9">
        <w:rPr>
          <w:rFonts w:ascii="Times New Roman" w:hAnsi="Times New Roman"/>
          <w:sz w:val="24"/>
          <w:szCs w:val="24"/>
          <w:lang w:val="sq-AL"/>
        </w:rPr>
        <w:t>, 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muaj dhe gjasht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burgim.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pasoj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pjesa e mbetur e dënimit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t’u vuajtur nga ankuesi ishte tre muaj dhe njëzet e 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burgim. </w:t>
      </w:r>
    </w:p>
    <w:p w:rsidR="00440171" w:rsidRPr="003542C9" w:rsidRDefault="0044017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18 Mars 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 xml:space="preserve">2013, Gjykata e Rrethit, duke </w:t>
      </w:r>
      <w:r w:rsidRPr="003542C9">
        <w:rPr>
          <w:rFonts w:ascii="Times New Roman" w:hAnsi="Times New Roman"/>
          <w:sz w:val="24"/>
          <w:szCs w:val="24"/>
          <w:lang w:val="sq-AL"/>
        </w:rPr>
        <w:t>patur parasysh sjelljen e mir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e uli dënimin e tij me 70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440171" w:rsidRPr="003542C9" w:rsidRDefault="0044017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19 Mars 2013, ankuesi u lirua nga burgu pasi kishte vuajtur pjesën e mbetur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dënimit. </w:t>
      </w:r>
    </w:p>
    <w:p w:rsidR="00440171" w:rsidRPr="003542C9" w:rsidRDefault="00440171" w:rsidP="00440171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40171" w:rsidRPr="003542C9" w:rsidRDefault="00440171" w:rsidP="00940E9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LIGJI DHE PRAKTIKA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VENDASE</w:t>
      </w:r>
    </w:p>
    <w:p w:rsidR="00440171" w:rsidRPr="003542C9" w:rsidRDefault="00440171" w:rsidP="0044017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40171" w:rsidRPr="003542C9" w:rsidRDefault="00440171" w:rsidP="00940E96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Kushtetuta </w:t>
      </w:r>
    </w:p>
    <w:p w:rsidR="00440171" w:rsidRPr="003542C9" w:rsidRDefault="00440171" w:rsidP="00440171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40171" w:rsidRPr="003542C9" w:rsidRDefault="00440171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Pjesa e Kushtetut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parashikon si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440171" w:rsidRPr="003542C9" w:rsidRDefault="00440171" w:rsidP="00440171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40171" w:rsidRPr="003542C9" w:rsidRDefault="00440171" w:rsidP="00440171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“</w:t>
      </w:r>
      <w:r w:rsidRPr="003542C9">
        <w:rPr>
          <w:rFonts w:ascii="Times New Roman" w:hAnsi="Times New Roman"/>
          <w:sz w:val="20"/>
          <w:szCs w:val="20"/>
          <w:lang w:val="sq-AL"/>
        </w:rPr>
        <w:t>Neni 131</w:t>
      </w:r>
    </w:p>
    <w:p w:rsidR="006F5EBA" w:rsidRPr="003542C9" w:rsidRDefault="00440171" w:rsidP="006F5EBA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0"/>
          <w:szCs w:val="20"/>
          <w:lang w:val="sq-AL"/>
        </w:rPr>
        <w:t>Gjykata Kushtetuese duhet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vendos p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>r: ... (f) ankesat nga individ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1D6EC8" w:rsidRPr="003542C9">
        <w:rPr>
          <w:rFonts w:ascii="Times New Roman" w:hAnsi="Times New Roman"/>
          <w:sz w:val="20"/>
          <w:szCs w:val="20"/>
          <w:lang w:val="sq-AL"/>
        </w:rPr>
        <w:t>t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>r shkeljen e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tyre kushtetuese p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>r nj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proces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rregullt ligjor, pasi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jen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shteruar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gjitha </w:t>
      </w:r>
      <w:r w:rsidR="006F5EBA" w:rsidRPr="003542C9">
        <w:rPr>
          <w:rFonts w:ascii="Times New Roman" w:hAnsi="Times New Roman"/>
          <w:sz w:val="20"/>
          <w:szCs w:val="20"/>
          <w:lang w:val="sq-AL"/>
        </w:rPr>
        <w:t>mjetet juridike p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6F5EBA" w:rsidRPr="003542C9">
        <w:rPr>
          <w:rFonts w:ascii="Times New Roman" w:hAnsi="Times New Roman"/>
          <w:sz w:val="20"/>
          <w:szCs w:val="20"/>
          <w:lang w:val="sq-AL"/>
        </w:rPr>
        <w:t>r mbrojtjen e këtyre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6F5EBA" w:rsidRPr="003542C9">
        <w:rPr>
          <w:rFonts w:ascii="Times New Roman" w:hAnsi="Times New Roman"/>
          <w:sz w:val="20"/>
          <w:szCs w:val="20"/>
          <w:lang w:val="sq-AL"/>
        </w:rPr>
        <w:t xml:space="preserve"> drejtave.</w:t>
      </w:r>
      <w:r w:rsidRPr="003542C9">
        <w:rPr>
          <w:rFonts w:ascii="Times New Roman" w:hAnsi="Times New Roman"/>
          <w:sz w:val="24"/>
          <w:szCs w:val="24"/>
          <w:lang w:val="sq-AL"/>
        </w:rPr>
        <w:t>”</w:t>
      </w:r>
    </w:p>
    <w:p w:rsidR="006F5EBA" w:rsidRPr="003542C9" w:rsidRDefault="006F5EBA" w:rsidP="006F5EBA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F5EBA" w:rsidRPr="003542C9" w:rsidRDefault="006F5EBA" w:rsidP="00940E96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Kodi i Procedur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 Penale (“KPP”)</w:t>
      </w:r>
    </w:p>
    <w:p w:rsidR="006F5EBA" w:rsidRPr="003542C9" w:rsidRDefault="006F5EBA" w:rsidP="006F5EBA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F5EBA" w:rsidRPr="003542C9" w:rsidRDefault="006F5EBA" w:rsidP="00940E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Juridiksioni i Gjykat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</w:p>
    <w:p w:rsidR="006F5EBA" w:rsidRPr="003542C9" w:rsidRDefault="006F5EBA" w:rsidP="006F5EBA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6F5EBA" w:rsidRPr="003542C9" w:rsidRDefault="006F5EBA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Neni 75 (b) parashikon se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dëgjon si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aktet penale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kryera,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 w:rsidRPr="003542C9">
        <w:rPr>
          <w:rFonts w:ascii="Times New Roman" w:hAnsi="Times New Roman"/>
          <w:sz w:val="24"/>
          <w:szCs w:val="24"/>
          <w:lang w:val="sq-AL"/>
        </w:rPr>
        <w:t>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Deputet dhe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Minist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Kabineti. </w:t>
      </w:r>
    </w:p>
    <w:p w:rsidR="006F5EBA" w:rsidRPr="003542C9" w:rsidRDefault="006F5EBA" w:rsidP="006F5EBA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F5EBA" w:rsidRPr="003542C9" w:rsidRDefault="006F5EBA" w:rsidP="00940E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Masat sht</w:t>
      </w:r>
      <w:r w:rsidR="001D6EC8" w:rsidRPr="003542C9">
        <w:rPr>
          <w:rFonts w:ascii="Times New Roman" w:hAnsi="Times New Roman"/>
          <w:i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nguese</w:t>
      </w:r>
    </w:p>
    <w:p w:rsidR="006F5EBA" w:rsidRPr="003542C9" w:rsidRDefault="006F5EBA" w:rsidP="006F5EBA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076853" w:rsidRDefault="006F5EBA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Sipas KPP, masat e sigurimit personal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rfshijn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masat shtrënguese dhe masat ndaluese. Masat shtrënguese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rfshijn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inter alia</w:t>
      </w:r>
      <w:r w:rsidRPr="003542C9">
        <w:rPr>
          <w:rFonts w:ascii="Times New Roman" w:hAnsi="Times New Roman"/>
          <w:sz w:val="24"/>
          <w:szCs w:val="24"/>
          <w:lang w:val="sq-AL"/>
        </w:rPr>
        <w:t>, arrestin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pi dhe 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ndalimin (Neni 232). Një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mas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shtrënguese fillimisht urdhërohet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prokuror,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t’u aprovuar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pas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 gjykate brenda dyzet e tet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ve (Nenet 244 dhe 258). Brenda 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ve, i 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pandehuri,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rfaq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>suesi i tij ose prokurori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apelojnë ndaj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mase shtrënguese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853" w:rsidRPr="003542C9">
        <w:rPr>
          <w:rFonts w:ascii="Times New Roman" w:hAnsi="Times New Roman"/>
          <w:sz w:val="24"/>
          <w:szCs w:val="24"/>
          <w:lang w:val="sq-AL"/>
        </w:rPr>
        <w:t xml:space="preserve"> (Nenet 249 dhe 259).</w:t>
      </w:r>
    </w:p>
    <w:p w:rsidR="00E33375" w:rsidRDefault="00E33375" w:rsidP="00E3337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E3337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F5EBA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Cs w:val="24"/>
          <w:lang w:val="sq-AL"/>
        </w:rPr>
      </w:pPr>
    </w:p>
    <w:p w:rsidR="00076853" w:rsidRPr="003542C9" w:rsidRDefault="001D6EC8" w:rsidP="00940E9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Ndalimi</w:t>
      </w:r>
      <w:r w:rsidR="00076853" w:rsidRPr="003542C9">
        <w:rPr>
          <w:rFonts w:ascii="Times New Roman" w:hAnsi="Times New Roman"/>
          <w:i/>
          <w:sz w:val="24"/>
          <w:szCs w:val="24"/>
          <w:lang w:val="sq-AL"/>
        </w:rPr>
        <w:t xml:space="preserve"> dhe afatet kohore</w:t>
      </w:r>
    </w:p>
    <w:p w:rsidR="00076853" w:rsidRPr="003542C9" w:rsidRDefault="00076853" w:rsidP="00076853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076853" w:rsidRPr="003542C9" w:rsidRDefault="00076853" w:rsidP="00940E96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Tre tipet e </w:t>
      </w:r>
      <w:r w:rsidR="001D6EC8" w:rsidRPr="003542C9">
        <w:rPr>
          <w:rFonts w:ascii="Times New Roman" w:hAnsi="Times New Roman"/>
          <w:b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076853" w:rsidRPr="003542C9" w:rsidRDefault="00076853" w:rsidP="00076853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26DF6" w:rsidRPr="003542C9" w:rsidRDefault="00076853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KPP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rc</w:t>
      </w:r>
      <w:r w:rsidRPr="003542C9">
        <w:rPr>
          <w:rFonts w:ascii="Times New Roman" w:hAnsi="Times New Roman"/>
          <w:sz w:val="24"/>
          <w:szCs w:val="24"/>
          <w:lang w:val="sq-AL"/>
        </w:rPr>
        <w:t>akton tre lloj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ndalimesh</w:t>
      </w:r>
      <w:r w:rsidRPr="003542C9">
        <w:rPr>
          <w:rFonts w:ascii="Times New Roman" w:hAnsi="Times New Roman"/>
          <w:sz w:val="24"/>
          <w:szCs w:val="24"/>
          <w:lang w:val="sq-AL"/>
        </w:rPr>
        <w:t>: i pari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hetimeve”,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’ka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thotë ndërsa prokuroria heton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shtjen. Kjo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>ndalimi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shtrihet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arrestimi 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pandehurit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kur dosja transferohet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gjykatën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(ose “Gjykat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Rrethit”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)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Neni 263 § 1</w:t>
      </w:r>
      <w:r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; i dyti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6EC8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 xml:space="preserve">sor”,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’ka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 xml:space="preserve"> thotë ndërsa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shtja gjykohet nga gjykata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>. Kjo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43F57" w:rsidRPr="003542C9">
        <w:rPr>
          <w:rFonts w:ascii="Times New Roman" w:hAnsi="Times New Roman"/>
          <w:sz w:val="24"/>
          <w:szCs w:val="24"/>
          <w:lang w:val="sq-AL"/>
        </w:rPr>
        <w:t xml:space="preserve"> paraburgimi shtrihet 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>nga data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n dosja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>shtjes regjistrohet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gjykatën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dhënien e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gjykatës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 (Neni 263 § 2</w:t>
      </w:r>
      <w:r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267E48" w:rsidRPr="003542C9">
        <w:rPr>
          <w:rFonts w:ascii="Times New Roman" w:hAnsi="Times New Roman"/>
          <w:sz w:val="24"/>
          <w:szCs w:val="24"/>
          <w:lang w:val="sq-AL"/>
        </w:rPr>
        <w:t xml:space="preserve">;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i t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e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ti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apelimit”,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’ka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thotë ndërsa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shtja dëgjohet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apel. Kjo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shtrihet nga shpallja e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gjykatës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shpalljen e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gjykatës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apelit (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Neni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263 § 3).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rastin 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anulimit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vendimi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formës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, fillojnë afatet kohore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r tipin e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cilin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shtja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074E3" w:rsidRPr="003542C9">
        <w:rPr>
          <w:rFonts w:ascii="Times New Roman" w:hAnsi="Times New Roman"/>
          <w:sz w:val="24"/>
          <w:szCs w:val="24"/>
          <w:lang w:val="sq-AL"/>
        </w:rPr>
        <w:t xml:space="preserve"> ridërguar (neni 263 § 4).</w:t>
      </w:r>
    </w:p>
    <w:p w:rsidR="002074E3" w:rsidRPr="003542C9" w:rsidRDefault="002074E3" w:rsidP="002074E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074E3" w:rsidRPr="003542C9" w:rsidRDefault="002074E3" w:rsidP="00940E96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Afatet kohore </w:t>
      </w:r>
      <w:r w:rsidR="002E7392" w:rsidRPr="003542C9">
        <w:rPr>
          <w:rFonts w:ascii="Times New Roman" w:hAnsi="Times New Roman"/>
          <w:b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2E7392" w:rsidRPr="003542C9">
        <w:rPr>
          <w:rFonts w:ascii="Times New Roman" w:hAnsi="Times New Roman"/>
          <w:b/>
          <w:sz w:val="24"/>
          <w:szCs w:val="24"/>
          <w:lang w:val="sq-AL"/>
        </w:rPr>
        <w:t xml:space="preserve">r </w:t>
      </w:r>
      <w:r w:rsidR="00512346" w:rsidRPr="003542C9">
        <w:rPr>
          <w:rFonts w:ascii="Times New Roman" w:hAnsi="Times New Roman"/>
          <w:b/>
          <w:sz w:val="24"/>
          <w:szCs w:val="24"/>
          <w:lang w:val="sq-AL"/>
        </w:rPr>
        <w:t>ndalimin</w:t>
      </w:r>
      <w:r w:rsidR="002E7392" w:rsidRPr="003542C9">
        <w:rPr>
          <w:rFonts w:ascii="Times New Roman" w:hAnsi="Times New Roman"/>
          <w:b/>
          <w:sz w:val="24"/>
          <w:szCs w:val="24"/>
          <w:lang w:val="sq-AL"/>
        </w:rPr>
        <w:t xml:space="preserve"> “gjat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2E7392" w:rsidRPr="003542C9">
        <w:rPr>
          <w:rFonts w:ascii="Times New Roman" w:hAnsi="Times New Roman"/>
          <w:b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2E7392" w:rsidRPr="003542C9">
        <w:rPr>
          <w:rFonts w:ascii="Times New Roman" w:hAnsi="Times New Roman"/>
          <w:b/>
          <w:sz w:val="24"/>
          <w:szCs w:val="24"/>
          <w:lang w:val="sq-AL"/>
        </w:rPr>
        <w:t>sor”</w:t>
      </w:r>
    </w:p>
    <w:p w:rsidR="002E7392" w:rsidRPr="003542C9" w:rsidRDefault="002E7392" w:rsidP="002E739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E7392" w:rsidRPr="003542C9" w:rsidRDefault="002E7392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qëllime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periudha e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sor’ përfundon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data e regjistrimit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gjykatën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kalojnë 12 muaj pa u marr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 nga gjykata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kur procedurat penale kan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cilat janë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dënueshme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burgimi me 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vjet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heqje lirie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burgim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rjetsh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 (Neni 262 § 2 (c)). </w:t>
      </w:r>
    </w:p>
    <w:p w:rsidR="002E7392" w:rsidRPr="003542C9" w:rsidRDefault="002E7392" w:rsidP="002E73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20D95" w:rsidRPr="003542C9" w:rsidRDefault="00C12B0C" w:rsidP="00940E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Neni 262 § 1 parashikon 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përfundim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sz w:val="24"/>
          <w:szCs w:val="24"/>
          <w:lang w:val="sq-AL"/>
        </w:rPr>
        <w:t>, gjykata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urdh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lirimin e menj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hersh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dyshuarit ose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pandehurit. Megjithatë, gjykata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vendos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masa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tjera sigurimi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 xml:space="preserve">pandehur i cili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 xml:space="preserve"> liruar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 xml:space="preserve"> përfundimit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 xml:space="preserve"> afateve kohore,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01D18" w:rsidRPr="003542C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ekzistojnë</w:t>
      </w:r>
      <w:r w:rsidR="00920D95" w:rsidRPr="003542C9">
        <w:rPr>
          <w:rFonts w:ascii="Times New Roman" w:hAnsi="Times New Roman"/>
          <w:sz w:val="24"/>
          <w:szCs w:val="24"/>
          <w:lang w:val="sq-AL"/>
        </w:rPr>
        <w:t xml:space="preserve"> ende arsyet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20D95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20D95" w:rsidRPr="003542C9">
        <w:rPr>
          <w:rFonts w:ascii="Times New Roman" w:hAnsi="Times New Roman"/>
          <w:sz w:val="24"/>
          <w:szCs w:val="24"/>
          <w:lang w:val="sq-AL"/>
        </w:rPr>
        <w:t xml:space="preserve"> cilat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20D95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20D95" w:rsidRPr="003542C9">
        <w:rPr>
          <w:rFonts w:ascii="Times New Roman" w:hAnsi="Times New Roman"/>
          <w:sz w:val="24"/>
          <w:szCs w:val="24"/>
          <w:lang w:val="sq-AL"/>
        </w:rPr>
        <w:t xml:space="preserve"> urdhëruar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</w:t>
      </w:r>
      <w:r w:rsidR="00920D95" w:rsidRPr="003542C9">
        <w:rPr>
          <w:rFonts w:ascii="Times New Roman" w:hAnsi="Times New Roman"/>
          <w:sz w:val="24"/>
          <w:szCs w:val="24"/>
          <w:lang w:val="sq-AL"/>
        </w:rPr>
        <w:t xml:space="preserve"> përpara procesit gjyqësor (Neni 266 § 1). </w:t>
      </w:r>
    </w:p>
    <w:p w:rsidR="00920D95" w:rsidRPr="003542C9" w:rsidRDefault="00920D95" w:rsidP="00920D95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</w:p>
    <w:p w:rsidR="00920D95" w:rsidRPr="003542C9" w:rsidRDefault="00920D95" w:rsidP="00940E96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Pezullimi i afateve </w:t>
      </w:r>
    </w:p>
    <w:p w:rsidR="00920D95" w:rsidRPr="003542C9" w:rsidRDefault="00920D95" w:rsidP="00920D9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sq-AL"/>
        </w:rPr>
      </w:pPr>
    </w:p>
    <w:p w:rsidR="00E33375" w:rsidRDefault="00A735BC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Neni 265 parashikon pezullimin e afateve kohore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ndalimin 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vendim gjykate, i cili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apeluesh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m. Pezullimi i afateve kohore ndodh kur shqyrtimi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735BC" w:rsidRPr="003542C9" w:rsidRDefault="00A735BC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gjyqësor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anuluar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ose pezulluar (a)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veprimeve ose kërkesave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padrejta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pandehurit ose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avokatit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tij, ose (b)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mos paraqitjes ose largimit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avokatit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akuzuarit (Neni 265). </w:t>
      </w:r>
    </w:p>
    <w:p w:rsidR="00A735BC" w:rsidRPr="003542C9" w:rsidRDefault="00A735BC" w:rsidP="00740D2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735BC" w:rsidRPr="003542C9" w:rsidRDefault="00A735BC" w:rsidP="00740D2E">
      <w:pPr>
        <w:pStyle w:val="ListParagraph"/>
        <w:ind w:left="0" w:firstLine="72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Vendimi unifikues i Gjykat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nr. 6/2003</w:t>
      </w:r>
    </w:p>
    <w:p w:rsidR="00A735BC" w:rsidRPr="003542C9" w:rsidRDefault="00A735BC" w:rsidP="00740D2E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360E89" w:rsidRPr="003542C9" w:rsidRDefault="00A735BC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11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ntor 2003, 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>Kolegjet e Bashkuara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 xml:space="preserve"> vendos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 xml:space="preserve">n se kohëzgjatja e përgjithshme e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="001C54C6" w:rsidRPr="003542C9">
        <w:rPr>
          <w:rFonts w:ascii="Times New Roman" w:hAnsi="Times New Roman"/>
          <w:sz w:val="24"/>
          <w:szCs w:val="24"/>
          <w:lang w:val="sq-AL"/>
        </w:rPr>
        <w:t xml:space="preserve"> përpara 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procesit gjyqësor nuk përfshinte periudhën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cilës ishin pezulluar afatet kohore.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tej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r sa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shtjen, sipas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, pezullimi i afateve kohore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vendosej duke gjykuar mbi sjelljen 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akuzuarit dhe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rfaq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suesit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tij dhe jo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sjelljes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prokurorit apo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60E89" w:rsidRPr="003542C9">
        <w:rPr>
          <w:rFonts w:ascii="Times New Roman" w:hAnsi="Times New Roman"/>
          <w:sz w:val="24"/>
          <w:szCs w:val="24"/>
          <w:lang w:val="sq-AL"/>
        </w:rPr>
        <w:t xml:space="preserve"> gjykatës. </w:t>
      </w:r>
    </w:p>
    <w:p w:rsidR="00A735BC" w:rsidRPr="003542C9" w:rsidRDefault="00A735BC" w:rsidP="00740D2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40D2E" w:rsidRPr="003542C9" w:rsidRDefault="00740D2E" w:rsidP="00940E9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Koh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zgjatja e përgjithshme e </w:t>
      </w:r>
      <w:r w:rsidR="00512346" w:rsidRPr="003542C9">
        <w:rPr>
          <w:rFonts w:ascii="Times New Roman" w:hAnsi="Times New Roman"/>
          <w:b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përpara procesit gjyqësor</w:t>
      </w:r>
    </w:p>
    <w:p w:rsidR="00740D2E" w:rsidRPr="003542C9" w:rsidRDefault="00740D2E" w:rsidP="00740D2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40D2E" w:rsidRPr="003542C9" w:rsidRDefault="00740D2E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Neni 263 § 6 parashikon se kohëzgjatja e përgjithshme nuk duhet t’i kaloj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tre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vjet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rastin kur procedurat lidhen me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cilat janë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dënueshme nga 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vjet heqje lirie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burgim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rjetsh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1B3182" w:rsidRPr="003542C9" w:rsidRDefault="001B3182" w:rsidP="001B31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B3182" w:rsidRPr="003542C9" w:rsidRDefault="001B3182" w:rsidP="00940E9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E drejta 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="000C613A" w:rsidRPr="003542C9">
        <w:rPr>
          <w:rFonts w:ascii="Times New Roman" w:hAnsi="Times New Roman"/>
          <w:i/>
          <w:sz w:val="24"/>
          <w:szCs w:val="24"/>
          <w:lang w:val="sq-AL"/>
        </w:rPr>
        <w:t>ndalim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padrejt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</w:p>
    <w:p w:rsidR="001B3182" w:rsidRPr="003542C9" w:rsidRDefault="001B3182" w:rsidP="001B3182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1B3182" w:rsidRPr="003542C9" w:rsidRDefault="001B3182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Neni 263 § 6 parashikon se kohëzgjatja e përgjithshme e 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ndalimit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përpara procesit gjyqësor kompensohet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se,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formës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vendimi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urdhëronte 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ndalimin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tij nuk përmbushte kërkesat e parashikuara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KPP. Sipas Nenit 269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KPP, kërkesa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duhet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brenda tre vjetëve nga data e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formës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 </w:t>
      </w:r>
    </w:p>
    <w:p w:rsidR="001B3182" w:rsidRPr="003542C9" w:rsidRDefault="001B3182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Shuma e kompensimit dhe përllogaritja e saj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het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Aktin e Kompensimit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512346" w:rsidRPr="003542C9">
        <w:rPr>
          <w:rFonts w:ascii="Times New Roman" w:hAnsi="Times New Roman"/>
          <w:sz w:val="24"/>
          <w:szCs w:val="24"/>
          <w:lang w:val="sq-AL"/>
        </w:rPr>
        <w:t>Ndalim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(ligji nr. 9381 i datës 28 Prill 2005).</w:t>
      </w:r>
    </w:p>
    <w:p w:rsidR="001B3182" w:rsidRPr="003542C9" w:rsidRDefault="001B3182" w:rsidP="001B31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B3182" w:rsidRPr="003542C9" w:rsidRDefault="00C026F9" w:rsidP="001B3182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Ligji bazuar n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vendimet e gjykatave vendase parashtruar nga Qeveria</w:t>
      </w:r>
    </w:p>
    <w:p w:rsidR="00C026F9" w:rsidRPr="003542C9" w:rsidRDefault="00C026F9" w:rsidP="001B3182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026F9" w:rsidRPr="00E33375" w:rsidRDefault="00C026F9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24 Mars, 4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dhe 22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Gjykata e Rrethit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pranoi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pal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pretenduese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burgim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momenti i arrestimit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tyre deri sa u liruan (vendimet nr. 2332, 8260 dhe 8841).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to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 dënimi ndaj pretenduesve u pezullua nga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e cila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vijim vendosi pushimin e procedurave kundër tyre.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i/>
          <w:szCs w:val="24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C026F9" w:rsidRPr="003542C9" w:rsidRDefault="00C026F9" w:rsidP="00C026F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26F9" w:rsidRPr="003542C9" w:rsidRDefault="00C026F9" w:rsidP="00C026F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LIGJI</w:t>
      </w:r>
    </w:p>
    <w:p w:rsidR="00C026F9" w:rsidRPr="003542C9" w:rsidRDefault="00C026F9" w:rsidP="00C026F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26F9" w:rsidRPr="003542C9" w:rsidRDefault="00C026F9" w:rsidP="00940E9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SHKELJA E PRETENDUAR E NENIT 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>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>S</w:t>
      </w:r>
    </w:p>
    <w:p w:rsidR="00C026F9" w:rsidRPr="003542C9" w:rsidRDefault="00C026F9" w:rsidP="00C026F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1497B" w:rsidRPr="003542C9" w:rsidRDefault="00C026F9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Nenin 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>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>s</w:t>
      </w:r>
      <w:r w:rsidRPr="003542C9">
        <w:rPr>
          <w:rFonts w:ascii="Times New Roman" w:hAnsi="Times New Roman"/>
          <w:sz w:val="24"/>
          <w:szCs w:val="24"/>
          <w:lang w:val="sq-AL"/>
        </w:rPr>
        <w:t>, ankuesi shfaq pak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ndalimi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tij i pushuar (t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pakt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prej 20 Korrikut 2010, ose ndryshe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prej 14 Gushtit  ose 7 Tetorit 2010) nuk ishte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përputhje me ligjin. Kjo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duhet shqyrtuar 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>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 xml:space="preserve"> Nenin 5 § 1 (c)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>s, i cili parashikon si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1497B" w:rsidRPr="003542C9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485A6B" w:rsidRPr="003542C9" w:rsidRDefault="00485A6B" w:rsidP="007C70BF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  <w:r w:rsidRPr="003542C9">
        <w:rPr>
          <w:rFonts w:ascii="Times New Roman" w:hAnsi="Times New Roman"/>
          <w:sz w:val="20"/>
          <w:szCs w:val="20"/>
          <w:lang w:val="sq-AL"/>
        </w:rPr>
        <w:t>“</w:t>
      </w:r>
      <w:r w:rsidR="007C70BF" w:rsidRPr="003542C9">
        <w:rPr>
          <w:rFonts w:ascii="Times New Roman" w:hAnsi="Times New Roman"/>
          <w:sz w:val="20"/>
          <w:szCs w:val="20"/>
          <w:lang w:val="sq-AL"/>
        </w:rPr>
        <w:t xml:space="preserve">1. </w:t>
      </w:r>
      <w:r w:rsidRPr="003542C9">
        <w:rPr>
          <w:rFonts w:ascii="Times New Roman" w:hAnsi="Times New Roman"/>
          <w:sz w:val="20"/>
          <w:szCs w:val="20"/>
          <w:lang w:val="sq-AL"/>
        </w:rPr>
        <w:t>Çdokush ka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>n e liris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dhe siguris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personale. Askujt nuk mund t’i hiqet liria, me përjashtim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rasteve q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vijojnë dhe n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përputhje me procedurën e parashikuar me ligj: </w:t>
      </w:r>
    </w:p>
    <w:p w:rsidR="00485A6B" w:rsidRPr="003542C9" w:rsidRDefault="00485A6B" w:rsidP="00C1497B">
      <w:pPr>
        <w:pStyle w:val="ListParagraph"/>
        <w:ind w:left="36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485A6B" w:rsidRPr="003542C9" w:rsidRDefault="00485A6B" w:rsidP="00C1497B">
      <w:pPr>
        <w:pStyle w:val="ListParagraph"/>
        <w:ind w:left="360"/>
        <w:jc w:val="both"/>
        <w:rPr>
          <w:rFonts w:ascii="Times New Roman" w:hAnsi="Times New Roman"/>
          <w:sz w:val="20"/>
          <w:szCs w:val="20"/>
          <w:lang w:val="sq-AL"/>
        </w:rPr>
      </w:pPr>
      <w:r w:rsidRPr="003542C9">
        <w:rPr>
          <w:rFonts w:ascii="Times New Roman" w:hAnsi="Times New Roman"/>
          <w:sz w:val="20"/>
          <w:szCs w:val="20"/>
          <w:lang w:val="sq-AL"/>
        </w:rPr>
        <w:t>...</w:t>
      </w:r>
    </w:p>
    <w:p w:rsidR="00485A6B" w:rsidRPr="003542C9" w:rsidRDefault="00485A6B" w:rsidP="00C1497B">
      <w:pPr>
        <w:pStyle w:val="ListParagraph"/>
        <w:ind w:left="36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8A6838" w:rsidRPr="003542C9" w:rsidRDefault="00485A6B" w:rsidP="00C1497B">
      <w:pPr>
        <w:pStyle w:val="ListParagraph"/>
        <w:ind w:left="360"/>
        <w:jc w:val="both"/>
        <w:rPr>
          <w:rFonts w:ascii="Times New Roman" w:hAnsi="Times New Roman"/>
          <w:sz w:val="20"/>
          <w:szCs w:val="20"/>
          <w:lang w:val="sq-AL"/>
        </w:rPr>
      </w:pPr>
      <w:r w:rsidRPr="003542C9">
        <w:rPr>
          <w:rFonts w:ascii="Times New Roman" w:hAnsi="Times New Roman"/>
          <w:sz w:val="20"/>
          <w:szCs w:val="20"/>
          <w:lang w:val="sq-AL"/>
        </w:rPr>
        <w:t>(c) kur arrestohet ose ndalohet ligjërisht p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r t’u 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ç</w:t>
      </w:r>
      <w:r w:rsidRPr="003542C9">
        <w:rPr>
          <w:rFonts w:ascii="Times New Roman" w:hAnsi="Times New Roman"/>
          <w:sz w:val="20"/>
          <w:szCs w:val="20"/>
          <w:lang w:val="sq-AL"/>
        </w:rPr>
        <w:t>uar përpara autoritetit gjyqësor kompetent pas dyshimit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arsyeshëm se ka kryer nj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sz w:val="20"/>
          <w:szCs w:val="20"/>
          <w:lang w:val="sq-AL"/>
        </w:rPr>
        <w:t xml:space="preserve"> vepër penale 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ose kur 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ç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>mohet n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 m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>nyr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 arsyeshme e nevojshme p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>r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 parandaluar kryerjen prej tij t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 veprës penale ose largimin e tij pas kryerjes s</w:t>
      </w:r>
      <w:r w:rsidR="007B39A8" w:rsidRPr="003542C9">
        <w:rPr>
          <w:rFonts w:ascii="Times New Roman" w:hAnsi="Times New Roman"/>
          <w:sz w:val="20"/>
          <w:szCs w:val="20"/>
          <w:lang w:val="sq-AL"/>
        </w:rPr>
        <w:t>ë</w:t>
      </w:r>
      <w:r w:rsidR="008A6838" w:rsidRPr="003542C9">
        <w:rPr>
          <w:rFonts w:ascii="Times New Roman" w:hAnsi="Times New Roman"/>
          <w:sz w:val="20"/>
          <w:szCs w:val="20"/>
          <w:lang w:val="sq-AL"/>
        </w:rPr>
        <w:t xml:space="preserve"> saj;</w:t>
      </w:r>
    </w:p>
    <w:p w:rsidR="008A6838" w:rsidRPr="003542C9" w:rsidRDefault="008A6838" w:rsidP="00C1497B">
      <w:pPr>
        <w:pStyle w:val="ListParagraph"/>
        <w:ind w:left="36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8A6838" w:rsidRPr="003542C9" w:rsidRDefault="008A6838" w:rsidP="00940E9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0"/>
          <w:szCs w:val="20"/>
          <w:lang w:val="sq-AL"/>
        </w:rPr>
        <w:t>PRANUESHM</w:t>
      </w:r>
      <w:r w:rsidR="007B39A8" w:rsidRPr="003542C9">
        <w:rPr>
          <w:rFonts w:ascii="Times New Roman" w:hAnsi="Times New Roman"/>
          <w:b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b/>
          <w:sz w:val="20"/>
          <w:szCs w:val="20"/>
          <w:lang w:val="sq-AL"/>
        </w:rPr>
        <w:t>RIA</w:t>
      </w:r>
    </w:p>
    <w:p w:rsidR="008A6838" w:rsidRPr="003542C9" w:rsidRDefault="008A6838" w:rsidP="008A6838">
      <w:pPr>
        <w:pStyle w:val="ListParagraph"/>
        <w:ind w:left="0"/>
        <w:jc w:val="both"/>
        <w:rPr>
          <w:rFonts w:ascii="Times New Roman" w:hAnsi="Times New Roman"/>
          <w:b/>
          <w:sz w:val="20"/>
          <w:szCs w:val="20"/>
          <w:lang w:val="sq-AL"/>
        </w:rPr>
      </w:pPr>
    </w:p>
    <w:p w:rsidR="008A6838" w:rsidRPr="003542C9" w:rsidRDefault="008A6838" w:rsidP="00940E9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0"/>
          <w:szCs w:val="20"/>
          <w:lang w:val="sq-AL"/>
        </w:rPr>
        <w:t>Parashtrimet e pal</w:t>
      </w:r>
      <w:r w:rsidR="007B39A8" w:rsidRPr="003542C9">
        <w:rPr>
          <w:rFonts w:ascii="Times New Roman" w:hAnsi="Times New Roman"/>
          <w:i/>
          <w:sz w:val="20"/>
          <w:szCs w:val="20"/>
          <w:lang w:val="sq-AL"/>
        </w:rPr>
        <w:t>ë</w:t>
      </w:r>
      <w:r w:rsidRPr="003542C9">
        <w:rPr>
          <w:rFonts w:ascii="Times New Roman" w:hAnsi="Times New Roman"/>
          <w:i/>
          <w:sz w:val="20"/>
          <w:szCs w:val="20"/>
          <w:lang w:val="sq-AL"/>
        </w:rPr>
        <w:t>ve</w:t>
      </w:r>
    </w:p>
    <w:p w:rsidR="008A6838" w:rsidRPr="003542C9" w:rsidRDefault="008A6838" w:rsidP="008A6838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C026F9" w:rsidRPr="003542C9" w:rsidRDefault="008A6838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Qeveria parashtroi 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kur ankuesi paraqiti ankimin e tij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shtja e tij ishte ende pezull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gjykatat vendase.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to rrethana,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shtja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ishte deklaruar e papranueshme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r mos shfrytëzim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mjeteve </w:t>
      </w:r>
      <w:r w:rsidR="007C70BF" w:rsidRPr="003542C9">
        <w:rPr>
          <w:rFonts w:ascii="Times New Roman" w:hAnsi="Times New Roman"/>
          <w:sz w:val="24"/>
          <w:szCs w:val="24"/>
          <w:lang w:val="sq-AL"/>
        </w:rPr>
        <w:t xml:space="preserve">kompensuese 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vendase. Gjithashtu, ajo argumentoi se ankuesi nuk kishte paraqitur ndonjë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kushtetuese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n Kushtetuese. Duke u mbështetur tek ligjet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vendimet e gjykatave vendase, Qeveria mbronte bindjen se ankuesi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kishte paraqitur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r periudhën e pretenduar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padrejt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(shiko paragrafin 50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C613A" w:rsidRPr="003542C9">
        <w:rPr>
          <w:rFonts w:ascii="Times New Roman" w:hAnsi="Times New Roman"/>
          <w:sz w:val="24"/>
          <w:szCs w:val="24"/>
          <w:lang w:val="sq-AL"/>
        </w:rPr>
        <w:t>r).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26F9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0C613A" w:rsidRPr="003542C9" w:rsidRDefault="000C613A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nuk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 ndonjë koment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anti, por mbrojti pretendimin se ankesa e tij ishte e pranueshme. </w:t>
      </w:r>
    </w:p>
    <w:p w:rsidR="000C613A" w:rsidRPr="003542C9" w:rsidRDefault="000C613A" w:rsidP="000C613A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C613A" w:rsidRPr="003542C9" w:rsidRDefault="000C613A" w:rsidP="00940E9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Vlerësimi i Gjykat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</w:t>
      </w:r>
    </w:p>
    <w:p w:rsidR="000C613A" w:rsidRPr="003542C9" w:rsidRDefault="000C613A" w:rsidP="000C613A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0C613A" w:rsidRPr="003542C9" w:rsidRDefault="000C613A" w:rsidP="00940E9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Paraqitja e nj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ankimi 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parakohshëm</w:t>
      </w:r>
    </w:p>
    <w:p w:rsidR="00E33375" w:rsidRDefault="000C613A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Sipas Nenit 35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“Gjykata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merret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vetëm pasi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shfrytëzuar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gjitha 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 xml:space="preserve">mjetet </w:t>
      </w:r>
      <w:r w:rsidR="007C70BF" w:rsidRPr="003542C9">
        <w:rPr>
          <w:rFonts w:ascii="Times New Roman" w:hAnsi="Times New Roman"/>
          <w:sz w:val="24"/>
          <w:szCs w:val="24"/>
          <w:lang w:val="sq-AL"/>
        </w:rPr>
        <w:t xml:space="preserve">kompensuese 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>vendase</w:t>
      </w:r>
      <w:r w:rsidRPr="003542C9">
        <w:rPr>
          <w:rFonts w:ascii="Times New Roman" w:hAnsi="Times New Roman"/>
          <w:sz w:val="24"/>
          <w:szCs w:val="24"/>
          <w:lang w:val="sq-AL"/>
        </w:rPr>
        <w:t>”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 xml:space="preserve">. Vlerësimi </w:t>
      </w:r>
      <w:r w:rsidR="007C70BF" w:rsidRPr="003542C9">
        <w:rPr>
          <w:rFonts w:ascii="Times New Roman" w:hAnsi="Times New Roman"/>
          <w:sz w:val="24"/>
          <w:szCs w:val="24"/>
          <w:lang w:val="sq-AL"/>
        </w:rPr>
        <w:t>në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 xml:space="preserve">se janë shfrytëzuar mjetet </w:t>
      </w:r>
      <w:r w:rsidR="007C70BF" w:rsidRPr="003542C9">
        <w:rPr>
          <w:rFonts w:ascii="Times New Roman" w:hAnsi="Times New Roman"/>
          <w:sz w:val="24"/>
          <w:szCs w:val="24"/>
          <w:lang w:val="sq-AL"/>
        </w:rPr>
        <w:t xml:space="preserve">kompensuese 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>vendase, normalisht realizohet duke iu referuar datës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076A8" w:rsidRPr="003542C9">
        <w:rPr>
          <w:rFonts w:ascii="Times New Roman" w:hAnsi="Times New Roman"/>
          <w:sz w:val="24"/>
          <w:szCs w:val="24"/>
          <w:lang w:val="sq-AL"/>
        </w:rPr>
        <w:t xml:space="preserve">n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C613A" w:rsidRPr="003542C9" w:rsidRDefault="00D076A8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ankesa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paraqitur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(shiko, midis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tjerave,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Izet Haxhia kundër Shqip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nr. 34783/06, § 48, 5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ntor 2013). Megjithatë, ky vendim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as i prer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as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gjendje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C70BF" w:rsidRPr="003542C9">
        <w:rPr>
          <w:rFonts w:ascii="Times New Roman" w:hAnsi="Times New Roman"/>
          <w:sz w:val="24"/>
          <w:szCs w:val="24"/>
          <w:lang w:val="sq-AL"/>
        </w:rPr>
        <w:t>zbatohet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automatikisht; ai duhet ushtruar 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fleksibiliteti dhe pa formalizma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tepërta, duke patur parasysh kontekstin e mbrojtjes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njeriut (shiko, midis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tjerave,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Akdivar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t kundër Turqis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16 Shtator 1996, § 69,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Raportet e Gjykimeve dhe Vendimeve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1996-IV).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nënkupton gjithashtu se faza e fundit e përdorimit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mjeteve </w:t>
      </w:r>
      <w:r w:rsidR="007C70BF" w:rsidRPr="003542C9">
        <w:rPr>
          <w:rFonts w:ascii="Times New Roman" w:hAnsi="Times New Roman"/>
          <w:sz w:val="24"/>
          <w:szCs w:val="24"/>
          <w:lang w:val="sq-AL"/>
        </w:rPr>
        <w:t xml:space="preserve">kompensuse </w:t>
      </w:r>
      <w:r w:rsidRPr="003542C9">
        <w:rPr>
          <w:rFonts w:ascii="Times New Roman" w:hAnsi="Times New Roman"/>
          <w:sz w:val="24"/>
          <w:szCs w:val="24"/>
          <w:lang w:val="sq-AL"/>
        </w:rPr>
        <w:t>vendase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arrihet menj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pas dorëzimit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ankesës, por përpara se Gjykata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rcaktoj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e pranueshm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Karoussiotis kundër Portugalis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nr. 23205/08, § 57, GJEDNJ</w:t>
      </w:r>
      <w:r w:rsidR="00A26083" w:rsidRPr="003542C9">
        <w:rPr>
          <w:rFonts w:ascii="Times New Roman" w:hAnsi="Times New Roman"/>
          <w:sz w:val="24"/>
          <w:szCs w:val="24"/>
          <w:lang w:val="sq-AL"/>
        </w:rPr>
        <w:t xml:space="preserve"> 2011 (ekstrakte)</w:t>
      </w:r>
      <w:r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A26083" w:rsidRPr="003542C9">
        <w:rPr>
          <w:rFonts w:ascii="Times New Roman" w:hAnsi="Times New Roman"/>
          <w:sz w:val="24"/>
          <w:szCs w:val="24"/>
          <w:lang w:val="sq-AL"/>
        </w:rPr>
        <w:t>.</w:t>
      </w:r>
    </w:p>
    <w:p w:rsidR="00A26083" w:rsidRPr="003542C9" w:rsidRDefault="00A26083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ankuesi e paraqiti ankimin e tij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4 Janar 2011.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procedurat vendase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 si edhe procedurat kryesore ishin ende pezull.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kur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shtja iu komunikua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3 Shtator 2013, procedurat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 kishin përfunduar.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to rrethana, Gjykata g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>jykon se duke patur parasysh pr</w:t>
      </w:r>
      <w:r w:rsidRPr="003542C9">
        <w:rPr>
          <w:rFonts w:ascii="Times New Roman" w:hAnsi="Times New Roman"/>
          <w:sz w:val="24"/>
          <w:szCs w:val="24"/>
          <w:lang w:val="sq-AL"/>
        </w:rPr>
        <w:t>anueshm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kësaj ankese, ankimi aktual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 ko</w:t>
      </w:r>
      <w:r w:rsidRPr="003542C9">
        <w:rPr>
          <w:rFonts w:ascii="Times New Roman" w:hAnsi="Times New Roman"/>
          <w:sz w:val="24"/>
          <w:szCs w:val="24"/>
          <w:lang w:val="sq-AL"/>
        </w:rPr>
        <w:t>nsiderohet si i pamatur.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arsye, Gjykata vendos ta 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kundërshtim. </w:t>
      </w:r>
    </w:p>
    <w:p w:rsidR="00A26083" w:rsidRPr="003542C9" w:rsidRDefault="00A26083" w:rsidP="00A2608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26083" w:rsidRPr="003542C9" w:rsidRDefault="00A26083" w:rsidP="00940E9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Mosdorëzimi i nj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ankese kushtetuese</w:t>
      </w:r>
    </w:p>
    <w:p w:rsidR="00A26083" w:rsidRPr="003542C9" w:rsidRDefault="00A26083" w:rsidP="00A2608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26083" w:rsidRPr="003542C9" w:rsidRDefault="00A26083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sa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rket paraqitjes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ankese kushtetuese, Gjykata kujton 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vetmet mjete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t’u përdorur sipas Nenit 35 § 1 jan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ato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shkeljen e pretenduar dhe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janë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disponueshme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mjaftueshme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McFarlane kundër Irland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s </w:t>
      </w:r>
      <w:r w:rsidRPr="003542C9">
        <w:rPr>
          <w:rFonts w:ascii="Times New Roman" w:hAnsi="Times New Roman"/>
          <w:sz w:val="24"/>
          <w:szCs w:val="24"/>
          <w:lang w:val="sq-AL"/>
        </w:rPr>
        <w:t>[GC], nr. 31333/06, § 107, 10 Shtator 2010).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sa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Qeverin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>aty ku ajo pretendon mosshfrytëzim, Gjykata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sigurohet se mjeti 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kompensues 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>ishte i efektshëm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teori 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praktik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n e duhur,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>’ka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thotë, se ai ishte i aksesuesh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>m,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ofronte korrigjim lidhur me pak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>naq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>sit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e ankuesit dhe ofronte mundësi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arsyeshme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r sukses (shiko </w:t>
      </w:r>
      <w:r w:rsidR="0077359C" w:rsidRPr="003542C9">
        <w:rPr>
          <w:rFonts w:ascii="Times New Roman" w:hAnsi="Times New Roman"/>
          <w:i/>
          <w:sz w:val="24"/>
          <w:szCs w:val="24"/>
          <w:lang w:val="sq-AL"/>
        </w:rPr>
        <w:t>Scoppola kundër Italis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7359C" w:rsidRPr="003542C9">
        <w:rPr>
          <w:rFonts w:ascii="Times New Roman" w:hAnsi="Times New Roman"/>
          <w:i/>
          <w:sz w:val="24"/>
          <w:szCs w:val="24"/>
          <w:lang w:val="sq-AL"/>
        </w:rPr>
        <w:t xml:space="preserve"> (nr. 2)</w:t>
      </w:r>
      <w:r w:rsidR="0077359C" w:rsidRPr="003542C9">
        <w:rPr>
          <w:rFonts w:ascii="Times New Roman" w:hAnsi="Times New Roman"/>
          <w:sz w:val="24"/>
          <w:szCs w:val="24"/>
          <w:lang w:val="sq-AL"/>
        </w:rPr>
        <w:t xml:space="preserve"> [GC], nr. 10249/03, § 71, 17 Shtator 2009). </w:t>
      </w:r>
    </w:p>
    <w:p w:rsidR="00E33375" w:rsidRDefault="009E4731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vijim, Gjykata ka pranuar kundërshtimin e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mosshfrytëzim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mjeteve vendase me kusht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ekzistonte përpara dorëzimit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ankimit dhe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ligjet vendase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vendimin e gjykatave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mbështesnin efikasitetin e tij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Vučković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t kundër Serbis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¸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[GC], nr. 17153/11, §§ 78 dhe 83-84, 25 Mars 2014). Anasjelltas, kur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kompensues </w:t>
      </w:r>
      <w:r w:rsidRPr="003542C9">
        <w:rPr>
          <w:rFonts w:ascii="Times New Roman" w:hAnsi="Times New Roman"/>
          <w:sz w:val="24"/>
          <w:szCs w:val="24"/>
          <w:lang w:val="sq-AL"/>
        </w:rPr>
        <w:t>i sugjeruar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Qeveri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fakt nuk ofron perspektiva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sukses,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shemb</w:t>
      </w:r>
      <w:r w:rsidR="000E25AA" w:rsidRPr="003542C9">
        <w:rPr>
          <w:rFonts w:ascii="Times New Roman" w:hAnsi="Times New Roman"/>
          <w:sz w:val="24"/>
          <w:szCs w:val="24"/>
          <w:lang w:val="sq-AL"/>
        </w:rPr>
        <w:t>ull duke marr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E25AA" w:rsidRPr="003542C9">
        <w:rPr>
          <w:rFonts w:ascii="Times New Roman" w:hAnsi="Times New Roman"/>
          <w:sz w:val="24"/>
          <w:szCs w:val="24"/>
          <w:lang w:val="sq-AL"/>
        </w:rPr>
        <w:t xml:space="preserve"> parasysh ligjin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E25AA" w:rsidRPr="003542C9">
        <w:rPr>
          <w:rFonts w:ascii="Times New Roman" w:hAnsi="Times New Roman"/>
          <w:sz w:val="24"/>
          <w:szCs w:val="24"/>
          <w:lang w:val="sq-AL"/>
        </w:rPr>
        <w:t xml:space="preserve"> vendimin e kësaj Gjykate ose ligjin vendas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E25AA" w:rsidRPr="003542C9">
        <w:rPr>
          <w:rFonts w:ascii="Times New Roman" w:hAnsi="Times New Roman"/>
          <w:sz w:val="24"/>
          <w:szCs w:val="24"/>
          <w:lang w:val="sq-AL"/>
        </w:rPr>
        <w:t xml:space="preserve"> vendimin e </w:t>
      </w:r>
    </w:p>
    <w:p w:rsidR="00E33375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JuPara"/>
        <w:spacing w:line="276" w:lineRule="auto"/>
        <w:ind w:left="720" w:firstLine="0"/>
        <w:jc w:val="center"/>
        <w:rPr>
          <w:szCs w:val="24"/>
          <w:lang w:val="sq-AL"/>
        </w:rPr>
      </w:pPr>
    </w:p>
    <w:p w:rsidR="000E25AA" w:rsidRPr="003542C9" w:rsidRDefault="000E25AA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gjykatave, fakti se ankuesi nuk e ka përdorur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nuk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penges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pranueshm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ankesës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Sakhnovskity kundër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[GC], nr. 21272/03, §§ 40-45, 2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ntor 2010, dhe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Carson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t kundër Mbret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Bashkuar </w:t>
      </w:r>
      <w:r w:rsidRPr="003542C9">
        <w:rPr>
          <w:rFonts w:ascii="Times New Roman" w:hAnsi="Times New Roman"/>
          <w:sz w:val="24"/>
          <w:szCs w:val="24"/>
          <w:lang w:val="sq-AL"/>
        </w:rPr>
        <w:t>[GC], nr. 42184/05, § 58, GJEDNJ 2010).</w:t>
      </w:r>
    </w:p>
    <w:p w:rsidR="0077359C" w:rsidRPr="003542C9" w:rsidRDefault="000E25AA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Megjithatë,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 ku ligji vendas parashikon 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eksplicite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kompensues 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caktuar, i cili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arritsh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dhe qartazi jo i kot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ekzistenca e dyshimeve nga ana e ankuesit 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311E3E" w:rsidRPr="003542C9">
        <w:rPr>
          <w:rFonts w:ascii="Times New Roman" w:hAnsi="Times New Roman"/>
          <w:sz w:val="24"/>
          <w:szCs w:val="24"/>
          <w:lang w:val="sq-AL"/>
        </w:rPr>
        <w:t>perspektivën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r sukses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arsye e vlefshme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mos shfrytëzuar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linj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kompensimi (shiko,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r shembull, </w:t>
      </w:r>
      <w:r w:rsidR="00076931" w:rsidRPr="003542C9">
        <w:rPr>
          <w:rFonts w:ascii="Times New Roman" w:hAnsi="Times New Roman"/>
          <w:i/>
          <w:sz w:val="24"/>
          <w:szCs w:val="24"/>
          <w:lang w:val="sq-AL"/>
        </w:rPr>
        <w:t xml:space="preserve">Milošević kundër </w:t>
      </w:r>
      <w:r w:rsidR="00311E3E" w:rsidRPr="003542C9">
        <w:rPr>
          <w:rFonts w:ascii="Times New Roman" w:hAnsi="Times New Roman"/>
          <w:i/>
          <w:sz w:val="24"/>
          <w:szCs w:val="24"/>
          <w:lang w:val="sq-AL"/>
        </w:rPr>
        <w:t>Holandës</w:t>
      </w:r>
      <w:r w:rsidR="00076931" w:rsidRPr="003542C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(vendim), nr. 77631/01, 19 Mars 2002; </w:t>
      </w:r>
      <w:r w:rsidR="00076931" w:rsidRPr="003542C9">
        <w:rPr>
          <w:rFonts w:ascii="Times New Roman" w:hAnsi="Times New Roman"/>
          <w:i/>
          <w:sz w:val="24"/>
          <w:szCs w:val="24"/>
          <w:lang w:val="sq-AL"/>
        </w:rPr>
        <w:t xml:space="preserve">Vorobyeva kundër </w:t>
      </w:r>
      <w:r w:rsidR="00311E3E" w:rsidRPr="003542C9">
        <w:rPr>
          <w:rFonts w:ascii="Times New Roman" w:hAnsi="Times New Roman"/>
          <w:i/>
          <w:sz w:val="24"/>
          <w:szCs w:val="24"/>
          <w:lang w:val="sq-AL"/>
        </w:rPr>
        <w:t>Ukrainës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(vendim), nr. 27517/02, 17 Dhjetor 2002; dhe </w:t>
      </w:r>
      <w:r w:rsidR="00076931" w:rsidRPr="003542C9">
        <w:rPr>
          <w:rFonts w:ascii="Times New Roman" w:hAnsi="Times New Roman"/>
          <w:i/>
          <w:sz w:val="24"/>
          <w:szCs w:val="24"/>
          <w:lang w:val="sq-AL"/>
        </w:rPr>
        <w:t>Pellegriti kundër Italis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(vendim), nr. 77363/01, 26 Maj 2005).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kundërt,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interes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ankuesit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t’i adresohet gjykatës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duhur,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r t’i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asaj mund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sin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nxjerr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drejtat ekzistuese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fuqis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 xml:space="preserve"> saj interpretuese (shiko </w:t>
      </w:r>
      <w:r w:rsidR="00076931" w:rsidRPr="003542C9">
        <w:rPr>
          <w:rFonts w:ascii="Times New Roman" w:hAnsi="Times New Roman"/>
          <w:i/>
          <w:sz w:val="24"/>
          <w:szCs w:val="24"/>
          <w:lang w:val="sq-AL"/>
        </w:rPr>
        <w:t>Ciupercescu kundër Rumanis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076931" w:rsidRPr="003542C9">
        <w:rPr>
          <w:rFonts w:ascii="Times New Roman" w:hAnsi="Times New Roman"/>
          <w:sz w:val="24"/>
          <w:szCs w:val="24"/>
          <w:lang w:val="sq-AL"/>
        </w:rPr>
        <w:t>, nr. 35555/03, § 169, 15 Qershor 2010).</w:t>
      </w:r>
    </w:p>
    <w:p w:rsidR="00076931" w:rsidRPr="003542C9" w:rsidRDefault="00076931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Duke iu rikthyer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aktuale, Neni 131 (f) i Kushtetut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parashikon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 kompensues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specifikisht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ankesat ndaj shkeljes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“t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drejtave kushtetuese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seanc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gjyqësore 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paanshme</w:t>
      </w:r>
      <w:r w:rsidRPr="003542C9">
        <w:rPr>
          <w:rFonts w:ascii="Times New Roman" w:hAnsi="Times New Roman"/>
          <w:sz w:val="24"/>
          <w:szCs w:val="24"/>
          <w:lang w:val="sq-AL"/>
        </w:rPr>
        <w:t>”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(shiko paragrafin 39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sipër).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ligjin sipas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s Kushtetuese, Gjykata vazhdimisht ka pranuar 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parim,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kushtetuese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mjet 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kompensues 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i efektshëm dhe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arsye kërkohet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r t’u shfrytëzuar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lidhje me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n e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seanc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gjyqësore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paanshme, sipas Nenit 6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>Balliu kundër Shqip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(vendim), nr. 74727/01, 30 Shtator 2004; 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>Beshiri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>t kundër Shqip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, nr. 7352/03, 1 Dhjetor 2009).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to rrethana, Qeveria nuk nxori asnjë vendim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s Kushtetuese mbështetur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parashikim kushtetues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vendosur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apeluesi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situat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krahasueshme me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ankuesit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lidhje me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r liri, si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 edhe garantohet nga Neni 5 i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s (shiko, </w:t>
      </w:r>
      <w:r w:rsidR="001F5656" w:rsidRPr="003542C9">
        <w:rPr>
          <w:rFonts w:ascii="Times New Roman" w:hAnsi="Times New Roman"/>
          <w:i/>
          <w:sz w:val="24"/>
          <w:szCs w:val="24"/>
          <w:lang w:val="sq-AL"/>
        </w:rPr>
        <w:t xml:space="preserve">mutatis mutandis, Salah Sheekh kundër </w:t>
      </w:r>
      <w:r w:rsidR="00311E3E" w:rsidRPr="003542C9">
        <w:rPr>
          <w:rFonts w:ascii="Times New Roman" w:hAnsi="Times New Roman"/>
          <w:i/>
          <w:sz w:val="24"/>
          <w:szCs w:val="24"/>
          <w:lang w:val="sq-AL"/>
        </w:rPr>
        <w:t>Holandës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 xml:space="preserve">, nr. </w:t>
      </w:r>
      <w:r w:rsidR="00150B92" w:rsidRPr="003542C9">
        <w:rPr>
          <w:rFonts w:ascii="Times New Roman" w:hAnsi="Times New Roman"/>
          <w:sz w:val="24"/>
          <w:szCs w:val="24"/>
          <w:lang w:val="sq-AL"/>
        </w:rPr>
        <w:t>1948/04, §§ 119-27, 11 Janar 2007</w:t>
      </w:r>
      <w:r w:rsidR="001F5656"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>.</w:t>
      </w:r>
    </w:p>
    <w:p w:rsidR="00150B92" w:rsidRPr="003542C9" w:rsidRDefault="00150B92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tej vijohet, se kundërshtimi i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mosshfrytëzim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pranohet. </w:t>
      </w:r>
    </w:p>
    <w:p w:rsidR="00150B92" w:rsidRPr="003542C9" w:rsidRDefault="00150B92" w:rsidP="00150B92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50B92" w:rsidRPr="003542C9" w:rsidRDefault="00766F9A" w:rsidP="00940E9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Mosdorëzimi i kërkes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</w:t>
      </w:r>
      <w:r w:rsidR="00150B92" w:rsidRPr="003542C9">
        <w:rPr>
          <w:rFonts w:ascii="Times New Roman" w:hAnsi="Times New Roman"/>
          <w:b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150B92" w:rsidRPr="003542C9">
        <w:rPr>
          <w:rFonts w:ascii="Times New Roman" w:hAnsi="Times New Roman"/>
          <w:b/>
          <w:sz w:val="24"/>
          <w:szCs w:val="24"/>
          <w:lang w:val="sq-AL"/>
        </w:rPr>
        <w:t>r kompensim</w:t>
      </w:r>
    </w:p>
    <w:p w:rsidR="00E33375" w:rsidRDefault="006D5466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rit se e drejta e cilitdo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mos u privuar nga liria “n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përputhje 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përshkruar me ligj”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njëjta si e drejta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t’u kompensuar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paligjshëm. Paragrafi 1 i Nenit </w:t>
      </w:r>
      <w:r w:rsidR="00443F0F" w:rsidRPr="003542C9">
        <w:rPr>
          <w:rFonts w:ascii="Times New Roman" w:hAnsi="Times New Roman"/>
          <w:sz w:val="24"/>
          <w:szCs w:val="24"/>
          <w:lang w:val="sq-AL"/>
        </w:rPr>
        <w:t>5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3F0F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3F0F" w:rsidRPr="003542C9">
        <w:rPr>
          <w:rFonts w:ascii="Times New Roman" w:hAnsi="Times New Roman"/>
          <w:sz w:val="24"/>
          <w:szCs w:val="24"/>
          <w:lang w:val="sq-AL"/>
        </w:rPr>
        <w:t>s mbulon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3F0F" w:rsidRPr="003542C9">
        <w:rPr>
          <w:rFonts w:ascii="Times New Roman" w:hAnsi="Times New Roman"/>
          <w:sz w:val="24"/>
          <w:szCs w:val="24"/>
          <w:lang w:val="sq-AL"/>
        </w:rPr>
        <w:t xml:space="preserve"> mëparshmin dhe paragrafin 5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43F0F" w:rsidRPr="003542C9">
        <w:rPr>
          <w:rFonts w:ascii="Times New Roman" w:hAnsi="Times New Roman"/>
          <w:sz w:val="24"/>
          <w:szCs w:val="24"/>
          <w:lang w:val="sq-AL"/>
        </w:rPr>
        <w:t xml:space="preserve"> Nenit 5 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>(shiko,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 xml:space="preserve">r shembull, </w:t>
      </w:r>
      <w:r w:rsidR="003F519C" w:rsidRPr="003542C9">
        <w:rPr>
          <w:rFonts w:ascii="Times New Roman" w:hAnsi="Times New Roman"/>
          <w:i/>
          <w:sz w:val="24"/>
          <w:szCs w:val="24"/>
          <w:lang w:val="sq-AL"/>
        </w:rPr>
        <w:t>Moskovets kundër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>nr. 14370/03, § 51, 23 Prill 2009). Kur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>het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>r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 xml:space="preserve"> e ndalimit,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 xml:space="preserve"> akt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>r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519C" w:rsidRPr="003542C9">
        <w:rPr>
          <w:rFonts w:ascii="Times New Roman" w:hAnsi="Times New Roman"/>
          <w:sz w:val="24"/>
          <w:szCs w:val="24"/>
          <w:lang w:val="sq-AL"/>
        </w:rPr>
        <w:t xml:space="preserve">met kundër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275C6" w:rsidRPr="003542C9" w:rsidRDefault="003F519C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Shtetit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i c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>i</w:t>
      </w:r>
      <w:r w:rsidRPr="003542C9">
        <w:rPr>
          <w:rFonts w:ascii="Times New Roman" w:hAnsi="Times New Roman"/>
          <w:sz w:val="24"/>
          <w:szCs w:val="24"/>
          <w:lang w:val="sq-AL"/>
        </w:rPr>
        <w:t>li duhet përdorur, sepse e drejta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shqyrtimin e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nimit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e drejta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do privim </w:t>
      </w:r>
      <w:r w:rsidR="00311E3E" w:rsidRPr="003542C9">
        <w:rPr>
          <w:rFonts w:ascii="Times New Roman" w:hAnsi="Times New Roman"/>
          <w:sz w:val="24"/>
          <w:szCs w:val="24"/>
          <w:lang w:val="sq-AL"/>
        </w:rPr>
        <w:t>lirie</w:t>
      </w:r>
      <w:r w:rsidRPr="003542C9">
        <w:rPr>
          <w:rFonts w:ascii="Times New Roman" w:hAnsi="Times New Roman"/>
          <w:sz w:val="24"/>
          <w:szCs w:val="24"/>
          <w:lang w:val="sq-AL"/>
        </w:rPr>
        <w:t>, e papajtueshme me Nenin 5, janë dy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ndryshme (shiko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shembull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Sch</w:t>
      </w:r>
      <w:r w:rsidR="00DB40F9" w:rsidRPr="003542C9">
        <w:rPr>
          <w:rFonts w:ascii="Times New Roman" w:hAnsi="Times New Roman"/>
          <w:i/>
          <w:sz w:val="24"/>
          <w:szCs w:val="24"/>
          <w:lang w:val="sq-AL"/>
        </w:rPr>
        <w:t>w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abe dhe M.G. kundër Gjermanis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3542C9">
        <w:rPr>
          <w:rFonts w:ascii="Times New Roman" w:hAnsi="Times New Roman"/>
          <w:sz w:val="24"/>
          <w:szCs w:val="24"/>
          <w:lang w:val="sq-AL"/>
        </w:rPr>
        <w:t>nr. 8080/08 dhe 8577/08, §</w:t>
      </w:r>
      <w:r w:rsidR="009275C6" w:rsidRPr="003542C9">
        <w:rPr>
          <w:rFonts w:ascii="Times New Roman" w:hAnsi="Times New Roman"/>
          <w:sz w:val="24"/>
          <w:szCs w:val="24"/>
          <w:lang w:val="sq-AL"/>
        </w:rPr>
        <w:t xml:space="preserve"> 49, GJEDNJ 2011 (ekstrakte), dhe </w:t>
      </w:r>
      <w:r w:rsidR="00DB40F9" w:rsidRPr="003542C9">
        <w:rPr>
          <w:rFonts w:ascii="Times New Roman" w:hAnsi="Times New Roman"/>
          <w:i/>
          <w:sz w:val="24"/>
          <w:szCs w:val="24"/>
          <w:lang w:val="sq-AL"/>
        </w:rPr>
        <w:t>W</w:t>
      </w:r>
      <w:r w:rsidR="009275C6" w:rsidRPr="003542C9">
        <w:rPr>
          <w:rFonts w:ascii="Times New Roman" w:hAnsi="Times New Roman"/>
          <w:i/>
          <w:sz w:val="24"/>
          <w:szCs w:val="24"/>
          <w:lang w:val="sq-AL"/>
        </w:rPr>
        <w:t>łoch kundër Polonis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9275C6" w:rsidRPr="003542C9">
        <w:rPr>
          <w:rFonts w:ascii="Times New Roman" w:hAnsi="Times New Roman"/>
          <w:sz w:val="24"/>
          <w:szCs w:val="24"/>
          <w:lang w:val="sq-AL"/>
        </w:rPr>
        <w:t>, nr. 27785/95, § 90 GJEDNJ 2000-XI</w:t>
      </w:r>
      <w:r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9275C6" w:rsidRPr="003542C9">
        <w:rPr>
          <w:rFonts w:ascii="Times New Roman" w:hAnsi="Times New Roman"/>
          <w:sz w:val="24"/>
          <w:szCs w:val="24"/>
          <w:lang w:val="sq-AL"/>
        </w:rPr>
        <w:t>.</w:t>
      </w:r>
    </w:p>
    <w:p w:rsidR="0067339D" w:rsidRPr="003542C9" w:rsidRDefault="006D5466" w:rsidP="00940E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Duke iu rikthyer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shtjes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, gjykatat vendase nuk njoh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n dhe as nuk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 konstatuan ndalimin e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ankuesit.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arsye, Gjykata shpjegon 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akt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r kompensim sipas Nenit 268 §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KPP nuk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kisht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>e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patur mund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si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r sukses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munges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konkluzioni nga gjykatat vendase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r argumentin se vendimi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urdh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ronte ndalimin e ankuesit ishte i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m (shiko paragrafin 48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r).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fundmi, problemi i adresuar nga ligji vendas sipas vendimeve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gjykatave nuk ishte 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jti me problematik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7339D" w:rsidRPr="003542C9">
        <w:rPr>
          <w:rFonts w:ascii="Times New Roman" w:hAnsi="Times New Roman"/>
          <w:sz w:val="24"/>
          <w:szCs w:val="24"/>
          <w:lang w:val="sq-AL"/>
        </w:rPr>
        <w:t>.</w:t>
      </w:r>
    </w:p>
    <w:p w:rsidR="0067339D" w:rsidRPr="003542C9" w:rsidRDefault="0067339D" w:rsidP="006733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sa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r, Gjykata vendos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rshtim. </w:t>
      </w:r>
    </w:p>
    <w:p w:rsidR="0067339D" w:rsidRPr="003542C9" w:rsidRDefault="0067339D" w:rsidP="0067339D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7339D" w:rsidRPr="003542C9" w:rsidRDefault="0067339D" w:rsidP="0067339D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Konkluzion</w:t>
      </w:r>
    </w:p>
    <w:p w:rsidR="00150B92" w:rsidRPr="003542C9" w:rsidRDefault="0067339D" w:rsidP="006733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Gjykata 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ren se kjo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e pabazuar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fakte sipas interpretimit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s.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ren se ajo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e papranueshme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r ndonj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shkak tjet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r.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F7723" w:rsidRPr="003542C9">
        <w:rPr>
          <w:rFonts w:ascii="Times New Roman" w:hAnsi="Times New Roman"/>
          <w:sz w:val="24"/>
          <w:szCs w:val="24"/>
          <w:lang w:val="sq-AL"/>
        </w:rPr>
        <w:t xml:space="preserve"> arsye, a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>jo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D3C" w:rsidRPr="003542C9">
        <w:rPr>
          <w:rFonts w:ascii="Times New Roman" w:hAnsi="Times New Roman"/>
          <w:sz w:val="24"/>
          <w:szCs w:val="24"/>
          <w:lang w:val="sq-AL"/>
        </w:rPr>
        <w:t xml:space="preserve"> deklarohet e pranueshme. </w:t>
      </w:r>
    </w:p>
    <w:p w:rsidR="00823D3C" w:rsidRPr="003542C9" w:rsidRDefault="00823D3C" w:rsidP="00823D3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3D3C" w:rsidRPr="003542C9" w:rsidRDefault="00823D3C" w:rsidP="00823D3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Cil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sit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823D3C" w:rsidRPr="003542C9" w:rsidRDefault="00823D3C" w:rsidP="00823D3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Parashtrimet e pal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ve</w:t>
      </w:r>
    </w:p>
    <w:p w:rsidR="00823D3C" w:rsidRPr="003542C9" w:rsidRDefault="00823D3C" w:rsidP="00823D3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3D3C" w:rsidRPr="003542C9" w:rsidRDefault="00823D3C" w:rsidP="00823D3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Qeveria pohon se afati kohor i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 filloi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11 Qershor 2009, kur dosja 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u transferua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Rrethit. Sipas tyre, kjo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shtetej nga fakti se ankuesi e paraqiti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lirimin e tij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vit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von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thot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19 Korrik 2010. Periudha e pezullimit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afatit kohor, i cili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216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zbritej nga periudha e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pasoj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afati kohor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7 Shkurt 2011,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</w:t>
      </w:r>
      <w:r w:rsidR="00311E3E" w:rsidRPr="003542C9">
        <w:rPr>
          <w:rFonts w:ascii="Times New Roman" w:hAnsi="Times New Roman"/>
          <w:sz w:val="24"/>
          <w:szCs w:val="24"/>
          <w:lang w:val="sq-AL"/>
        </w:rPr>
        <w:t>Gjykata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Rrethit pranoi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ankuesit,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nte me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2 Shkurt 2011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E1C31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E1C31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pandehur.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1E1C31" w:rsidRPr="003542C9">
        <w:rPr>
          <w:rFonts w:ascii="Times New Roman" w:hAnsi="Times New Roman"/>
          <w:sz w:val="24"/>
          <w:szCs w:val="24"/>
          <w:lang w:val="sq-AL"/>
        </w:rPr>
        <w:t>do ra</w:t>
      </w:r>
      <w:r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1E1C31" w:rsidRPr="003542C9">
        <w:rPr>
          <w:rFonts w:ascii="Times New Roman" w:hAnsi="Times New Roman"/>
          <w:sz w:val="24"/>
          <w:szCs w:val="24"/>
          <w:lang w:val="sq-AL"/>
        </w:rPr>
        <w:t>t</w:t>
      </w:r>
      <w:r w:rsidRPr="003542C9">
        <w:rPr>
          <w:rFonts w:ascii="Times New Roman" w:hAnsi="Times New Roman"/>
          <w:sz w:val="24"/>
          <w:szCs w:val="24"/>
          <w:lang w:val="sq-AL"/>
        </w:rPr>
        <w:t>, afati kohor tre-vje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zgjatjen e ndalimit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rpara gjykimit nuk ishte kaluar. </w:t>
      </w:r>
    </w:p>
    <w:p w:rsidR="00E33375" w:rsidRDefault="00823D3C" w:rsidP="00724C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parashtroi 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rkesat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lirim, gjykatat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larta e shqyrtuan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542C9">
        <w:rPr>
          <w:rFonts w:ascii="Times New Roman" w:hAnsi="Times New Roman"/>
          <w:sz w:val="24"/>
          <w:szCs w:val="24"/>
          <w:lang w:val="sq-AL"/>
        </w:rPr>
        <w:t xml:space="preserve"> dokumente</w:t>
      </w:r>
      <w:r w:rsidRPr="003542C9">
        <w:rPr>
          <w:rFonts w:ascii="Times New Roman" w:hAnsi="Times New Roman"/>
          <w:sz w:val="24"/>
          <w:szCs w:val="24"/>
          <w:lang w:val="sq-AL"/>
        </w:rPr>
        <w:t>t e marra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gjykata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 xml:space="preserve"> dhe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>sonte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>se afatet kohore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 xml:space="preserve"> vijim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 xml:space="preserve"> asaj gjykate kishin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A10B6" w:rsidRPr="003542C9">
        <w:rPr>
          <w:rFonts w:ascii="Times New Roman" w:hAnsi="Times New Roman"/>
          <w:sz w:val="24"/>
          <w:szCs w:val="24"/>
          <w:lang w:val="sq-AL"/>
        </w:rPr>
        <w:t xml:space="preserve">rfunduar. </w:t>
      </w:r>
      <w:r w:rsidR="003542C9">
        <w:rPr>
          <w:rFonts w:ascii="Times New Roman" w:hAnsi="Times New Roman"/>
          <w:sz w:val="24"/>
          <w:szCs w:val="24"/>
          <w:lang w:val="sq-AL"/>
        </w:rPr>
        <w:t>Gjy</w:t>
      </w:r>
      <w:r w:rsidR="00724C20" w:rsidRPr="003542C9">
        <w:rPr>
          <w:rFonts w:ascii="Times New Roman" w:hAnsi="Times New Roman"/>
          <w:sz w:val="24"/>
          <w:szCs w:val="24"/>
          <w:lang w:val="sq-AL"/>
        </w:rPr>
        <w:t>k</w:t>
      </w:r>
      <w:r w:rsidR="003542C9">
        <w:rPr>
          <w:rFonts w:ascii="Times New Roman" w:hAnsi="Times New Roman"/>
          <w:sz w:val="24"/>
          <w:szCs w:val="24"/>
          <w:lang w:val="sq-AL"/>
        </w:rPr>
        <w:t>a</w:t>
      </w:r>
      <w:r w:rsidR="00724C20" w:rsidRPr="003542C9">
        <w:rPr>
          <w:rFonts w:ascii="Times New Roman" w:hAnsi="Times New Roman"/>
          <w:sz w:val="24"/>
          <w:szCs w:val="24"/>
          <w:lang w:val="sq-AL"/>
        </w:rPr>
        <w:t>ta e Apelit dhe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24C20" w:rsidRPr="003542C9">
        <w:rPr>
          <w:rFonts w:ascii="Times New Roman" w:hAnsi="Times New Roman"/>
          <w:sz w:val="24"/>
          <w:szCs w:val="24"/>
          <w:lang w:val="sq-AL"/>
        </w:rPr>
        <w:t xml:space="preserve">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24C20" w:rsidRPr="003542C9">
        <w:rPr>
          <w:rFonts w:ascii="Times New Roman" w:hAnsi="Times New Roman"/>
          <w:sz w:val="24"/>
          <w:szCs w:val="24"/>
          <w:lang w:val="sq-AL"/>
        </w:rPr>
        <w:t xml:space="preserve"> shqyrtonin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24C20" w:rsidRPr="003542C9">
        <w:rPr>
          <w:rFonts w:ascii="Times New Roman" w:hAnsi="Times New Roman"/>
          <w:sz w:val="24"/>
          <w:szCs w:val="24"/>
          <w:lang w:val="sq-AL"/>
        </w:rPr>
        <w:t>sit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24C20" w:rsidRPr="003542C9">
        <w:rPr>
          <w:rFonts w:ascii="Times New Roman" w:hAnsi="Times New Roman"/>
          <w:sz w:val="24"/>
          <w:szCs w:val="24"/>
          <w:lang w:val="sq-AL"/>
        </w:rPr>
        <w:t xml:space="preserve"> e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C20" w:rsidRPr="003542C9" w:rsidRDefault="00724C20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lirim. </w:t>
      </w:r>
      <w:r w:rsidR="003542C9">
        <w:rPr>
          <w:rFonts w:ascii="Times New Roman" w:hAnsi="Times New Roman"/>
          <w:sz w:val="24"/>
          <w:szCs w:val="24"/>
          <w:lang w:val="sq-AL"/>
        </w:rPr>
        <w:t>I mbetej ankuesit të vendoste nëse donte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</w:t>
      </w:r>
      <w:r w:rsidR="003542C9">
        <w:rPr>
          <w:rFonts w:ascii="Times New Roman" w:hAnsi="Times New Roman"/>
          <w:sz w:val="24"/>
          <w:szCs w:val="24"/>
          <w:lang w:val="sq-AL"/>
        </w:rPr>
        <w:t>e</w:t>
      </w:r>
      <w:r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</w:t>
      </w:r>
      <w:r w:rsidR="003542C9">
        <w:rPr>
          <w:rFonts w:ascii="Times New Roman" w:hAnsi="Times New Roman"/>
          <w:sz w:val="24"/>
          <w:szCs w:val="24"/>
          <w:lang w:val="sq-AL"/>
        </w:rPr>
        <w:t>,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do moment</w:t>
      </w:r>
      <w:r w:rsidR="003542C9">
        <w:rPr>
          <w:rFonts w:ascii="Times New Roman" w:hAnsi="Times New Roman"/>
          <w:sz w:val="24"/>
          <w:szCs w:val="24"/>
          <w:lang w:val="sq-AL"/>
        </w:rPr>
        <w:t>,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rpara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Rrethit. Ai e shfryt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6 Dhjetor dhe 7 Shkurt 2011.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dyt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e Rrethit pranoi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e tij. </w:t>
      </w:r>
    </w:p>
    <w:p w:rsidR="00724C20" w:rsidRPr="003542C9" w:rsidRDefault="00724C20" w:rsidP="00724C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Ankuesi parashtroi se Qeveria 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keqinterpretoi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ntor 2010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lidhje me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n e fillimit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gjykimi</w:t>
      </w:r>
      <w:r w:rsidR="003542C9">
        <w:rPr>
          <w:rFonts w:ascii="Times New Roman" w:hAnsi="Times New Roman"/>
          <w:sz w:val="24"/>
          <w:szCs w:val="24"/>
          <w:lang w:val="sq-AL"/>
        </w:rPr>
        <w:t>t”. Sipas tij, ndalimi i tij “g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3542C9">
        <w:rPr>
          <w:rFonts w:ascii="Times New Roman" w:hAnsi="Times New Roman"/>
          <w:sz w:val="24"/>
          <w:szCs w:val="24"/>
          <w:lang w:val="sq-AL"/>
        </w:rPr>
        <w:t>a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>
        <w:rPr>
          <w:rFonts w:ascii="Times New Roman" w:hAnsi="Times New Roman"/>
          <w:sz w:val="24"/>
          <w:szCs w:val="24"/>
          <w:lang w:val="sq-AL"/>
        </w:rPr>
        <w:t>procesit gjyqësor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” filloi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13 Mars 2009 dhe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rfundoi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20 Korrik 2010, ose ndryshe,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14 Gusht 2010 ose 7 Tetor 2010. Arresti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pi i ankuesit, sipas urdhrit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vendimit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7 Shkurt 2011, nuk bazohej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parashikim ligjor. Ndalimi i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>m vazhdoi deri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13 Shkurt 2013, kur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Gjykata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e Apelit Tiran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la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A53D35" w:rsidRPr="003542C9">
        <w:rPr>
          <w:rFonts w:ascii="Times New Roman" w:hAnsi="Times New Roman"/>
          <w:sz w:val="24"/>
          <w:szCs w:val="24"/>
          <w:lang w:val="sq-AL"/>
        </w:rPr>
        <w:t xml:space="preserve"> fuqi 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nimin e tij. </w:t>
      </w:r>
    </w:p>
    <w:p w:rsidR="00EE742E" w:rsidRPr="003542C9" w:rsidRDefault="00EE742E" w:rsidP="00EE742E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E742E" w:rsidRPr="003542C9" w:rsidRDefault="00EE742E" w:rsidP="00EE742E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Vler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simi i Gjykat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</w:t>
      </w:r>
    </w:p>
    <w:p w:rsidR="00476ACD" w:rsidRPr="003542C9" w:rsidRDefault="003542C9" w:rsidP="00EE74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ren se ankuesi nuk diskuton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e arrestimit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tij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17 Mars 2008. </w:t>
      </w:r>
      <w:r w:rsidRPr="003542C9">
        <w:rPr>
          <w:rFonts w:ascii="Times New Roman" w:hAnsi="Times New Roman"/>
          <w:sz w:val="24"/>
          <w:szCs w:val="24"/>
          <w:lang w:val="sq-AL"/>
        </w:rPr>
        <w:t>Gjithashtu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, ai nuk ankohet as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zgjatjen 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rgjithshme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ndalimit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rpara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sor, e cila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shtje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shqyrtohej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rputhje me Nenin 5 § 3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s. Gjykata vler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son se thelbi i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me faktin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se periudha e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sor” kishte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rfunduar dhe,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rast se po,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se ndalimi i tij i vazhduesh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m ishte i 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m.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to rrethana, </w:t>
      </w:r>
      <w:r w:rsidR="00D1684D">
        <w:rPr>
          <w:rFonts w:ascii="Times New Roman" w:hAnsi="Times New Roman"/>
          <w:sz w:val="24"/>
          <w:szCs w:val="24"/>
          <w:lang w:val="sq-AL"/>
        </w:rPr>
        <w:t>Gjykata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n se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rshtia kryesore midis pal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ve lidhet me datat e fillimit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rfundimit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E742E" w:rsidRPr="003542C9">
        <w:rPr>
          <w:rFonts w:ascii="Times New Roman" w:hAnsi="Times New Roman"/>
          <w:sz w:val="24"/>
          <w:szCs w:val="24"/>
          <w:lang w:val="sq-AL"/>
        </w:rPr>
        <w:t xml:space="preserve">sor”, 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me Qeverin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e cila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ndron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pretendimin se ndalimi i ankuesit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sor” filloi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11 Qershor 2009 dhe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rfundoi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7 Shkurt 2011,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n ai kaloi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arrest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pie dhe ne ankuesin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argumenton se </w:t>
      </w:r>
      <w:r w:rsidRPr="003542C9">
        <w:rPr>
          <w:rFonts w:ascii="Times New Roman" w:hAnsi="Times New Roman"/>
          <w:sz w:val="24"/>
          <w:szCs w:val="24"/>
          <w:lang w:val="sq-AL"/>
        </w:rPr>
        <w:t>periudha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e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procesit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sor” filloi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13 Mars 2009 dhe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1684D">
        <w:rPr>
          <w:rFonts w:ascii="Times New Roman" w:hAnsi="Times New Roman"/>
          <w:sz w:val="24"/>
          <w:szCs w:val="24"/>
          <w:lang w:val="sq-AL"/>
        </w:rPr>
        <w:t>rfundoi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20 Korrik 2010, ose ndryshe,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14 Gusht ose 7 Tetor 2010 dhe 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 secil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>n prej atyre datave ndalimi i tij i vazhduar nuk ishte i 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76ACD" w:rsidRPr="003542C9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9B0D53" w:rsidRDefault="00316DFA" w:rsidP="00EE74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rit se shprehjet “i 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m” dhe “n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rputhje 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parashikuar nga ligji”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Nenin 5 § 1 kryesisht i referohen ligjit vendas dhe pohojn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detyrimin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t’iu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rmbajtur rregullave procedurale dhe</w:t>
      </w:r>
      <w:r w:rsidR="00D1684D">
        <w:rPr>
          <w:rFonts w:ascii="Times New Roman" w:hAnsi="Times New Roman"/>
          <w:sz w:val="24"/>
          <w:szCs w:val="24"/>
          <w:lang w:val="sq-AL"/>
        </w:rPr>
        <w:t xml:space="preserve"> substanciale</w:t>
      </w:r>
      <w:r w:rsidRPr="003542C9">
        <w:rPr>
          <w:rFonts w:ascii="Times New Roman" w:hAnsi="Times New Roman"/>
          <w:sz w:val="24"/>
          <w:szCs w:val="24"/>
          <w:lang w:val="sq-AL"/>
        </w:rPr>
        <w:t>. Megjithat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“ligjshm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ria” e ndalimit sipas ligjit vendas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gjithmon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elementi vendimtar.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tej, Gjykata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B40F9" w:rsidRPr="003542C9">
        <w:rPr>
          <w:rFonts w:ascii="Times New Roman" w:hAnsi="Times New Roman"/>
          <w:sz w:val="24"/>
          <w:szCs w:val="24"/>
          <w:lang w:val="sq-AL"/>
        </w:rPr>
        <w:t xml:space="preserve"> kënaqet me faktin se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ndalimi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shqyrtim ishte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rputhje me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llimin e Nenit 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>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>s, i cili parandalon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njer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>zit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privohen nga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liria</w:t>
      </w:r>
      <w:r w:rsidR="003542C9">
        <w:rPr>
          <w:rFonts w:ascii="Times New Roman" w:hAnsi="Times New Roman"/>
          <w:sz w:val="24"/>
          <w:szCs w:val="24"/>
          <w:lang w:val="sq-AL"/>
        </w:rPr>
        <w:t xml:space="preserve"> e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tyre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 arbitrare (shiko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r shembull </w:t>
      </w:r>
      <w:r w:rsidR="009B0D53" w:rsidRPr="003542C9">
        <w:rPr>
          <w:rFonts w:ascii="Times New Roman" w:hAnsi="Times New Roman"/>
          <w:i/>
          <w:sz w:val="24"/>
          <w:szCs w:val="24"/>
          <w:lang w:val="sq-AL"/>
        </w:rPr>
        <w:t>Bakhumutskiy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9B0D53" w:rsidRPr="003542C9">
        <w:rPr>
          <w:rFonts w:ascii="Times New Roman" w:hAnsi="Times New Roman"/>
          <w:sz w:val="24"/>
          <w:szCs w:val="24"/>
          <w:lang w:val="sq-AL"/>
        </w:rPr>
        <w:t xml:space="preserve">, nr. 36932/02, § 109, 25 Qershor 2009). 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911A9" w:rsidRPr="003542C9" w:rsidRDefault="009B0D53" w:rsidP="00EE74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sigurohet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se vet ligji vendas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konform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s, duke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rfshir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parimet 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rgjithshme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shprehura ose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nënkuptuara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fundit, Gjykata thekson se,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het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privimin e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sishme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rmbushet parimi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rgjithsh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i siguris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ligjore. 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arsye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thelb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sore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kushtet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 privimin e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sipas ligjit vendas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rcaktohen qart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dhe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vet ligji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1684D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parashikuesh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zbatimin e tij,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rmbush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standardin e “ligjshm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”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parashikuar nga Konventa,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standard i cili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rkon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i gjith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ligji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mjaftuesh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m preciz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lejoj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personin -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e nevojshme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shillimin e duhur –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parashikoj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,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e arsyeshme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r rrethanat, pasojat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cilat mund t’i  shkaktoj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 akt i caktuar (shiko </w:t>
      </w:r>
      <w:r w:rsidR="007308AA" w:rsidRPr="003542C9">
        <w:rPr>
          <w:rFonts w:ascii="Times New Roman" w:hAnsi="Times New Roman"/>
          <w:i/>
          <w:sz w:val="24"/>
          <w:szCs w:val="24"/>
          <w:lang w:val="sq-AL"/>
        </w:rPr>
        <w:t>Ječius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i/>
          <w:sz w:val="24"/>
          <w:szCs w:val="24"/>
          <w:lang w:val="sq-AL"/>
        </w:rPr>
        <w:t>r Lituanis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308AA" w:rsidRPr="003542C9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="009911A9" w:rsidRPr="003542C9">
        <w:rPr>
          <w:rFonts w:ascii="Times New Roman" w:hAnsi="Times New Roman"/>
          <w:sz w:val="24"/>
          <w:szCs w:val="24"/>
          <w:lang w:val="sq-AL"/>
        </w:rPr>
        <w:t xml:space="preserve">34578/97, § 56, GJEDNJ 2000 – IX; dhe </w:t>
      </w:r>
      <w:r w:rsidR="009911A9" w:rsidRPr="003542C9">
        <w:rPr>
          <w:rFonts w:ascii="Times New Roman" w:hAnsi="Times New Roman"/>
          <w:i/>
          <w:sz w:val="24"/>
          <w:szCs w:val="24"/>
          <w:lang w:val="sq-AL"/>
        </w:rPr>
        <w:t>Barano</w:t>
      </w:r>
      <w:r w:rsidR="00DB40F9" w:rsidRPr="003542C9">
        <w:rPr>
          <w:rFonts w:ascii="Times New Roman" w:hAnsi="Times New Roman"/>
          <w:i/>
          <w:sz w:val="24"/>
          <w:szCs w:val="24"/>
          <w:lang w:val="sq-AL"/>
        </w:rPr>
        <w:t>w</w:t>
      </w:r>
      <w:r w:rsidR="009911A9" w:rsidRPr="003542C9">
        <w:rPr>
          <w:rFonts w:ascii="Times New Roman" w:hAnsi="Times New Roman"/>
          <w:i/>
          <w:sz w:val="24"/>
          <w:szCs w:val="24"/>
          <w:lang w:val="sq-AL"/>
        </w:rPr>
        <w:t>ski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11A9" w:rsidRPr="003542C9">
        <w:rPr>
          <w:rFonts w:ascii="Times New Roman" w:hAnsi="Times New Roman"/>
          <w:i/>
          <w:sz w:val="24"/>
          <w:szCs w:val="24"/>
          <w:lang w:val="sq-AL"/>
        </w:rPr>
        <w:t>r Polonis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11A9" w:rsidRPr="003542C9">
        <w:rPr>
          <w:rFonts w:ascii="Times New Roman" w:hAnsi="Times New Roman"/>
          <w:sz w:val="24"/>
          <w:szCs w:val="24"/>
          <w:lang w:val="sq-AL"/>
        </w:rPr>
        <w:t>, nr. 28358/95, §§ 50-52, GJEDNJ, 2000-III</w:t>
      </w:r>
      <w:r w:rsidR="007308AA" w:rsidRPr="003542C9">
        <w:rPr>
          <w:rFonts w:ascii="Times New Roman" w:hAnsi="Times New Roman"/>
          <w:sz w:val="24"/>
          <w:szCs w:val="24"/>
          <w:lang w:val="sq-AL"/>
        </w:rPr>
        <w:t>).</w:t>
      </w:r>
    </w:p>
    <w:p w:rsidR="00EE742E" w:rsidRPr="003542C9" w:rsidRDefault="009911A9" w:rsidP="00EE74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Duke iu referuar ligjit vendas, Neni 263 § 2 i KPP pohon se koha e lejuar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ndalimin “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gjatë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sor”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muaj. Ky afat kohor fillon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data e regjistrimit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shpalljen e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asaj gjykate.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rputhje me Nenin 265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KPP,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zgjatja e pezullimit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procedimeve, e cila i atribuohet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pandehurit ose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rit nga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1684D">
        <w:rPr>
          <w:rFonts w:ascii="Times New Roman" w:hAnsi="Times New Roman"/>
          <w:sz w:val="24"/>
          <w:szCs w:val="24"/>
          <w:lang w:val="sq-AL"/>
        </w:rPr>
        <w:t>pandehurve</w:t>
      </w:r>
      <w:r w:rsidRPr="003542C9">
        <w:rPr>
          <w:rFonts w:ascii="Times New Roman" w:hAnsi="Times New Roman"/>
          <w:sz w:val="24"/>
          <w:szCs w:val="24"/>
          <w:lang w:val="sq-AL"/>
        </w:rPr>
        <w:t>,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zbritet nga ajo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911A9" w:rsidRPr="003542C9" w:rsidRDefault="009911A9" w:rsidP="00EE74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si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interpretohet nga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dosja u regjistrua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13 Mars 2009 (shiko paragraf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 15, 25 dhe 29-31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r). Periudha e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 pritej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rfundonte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dymb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muaj. Periudha e pezullimit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procedimeve,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konkretish tet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muaj dhe dymb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si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llogaritej nga gjykatat vendase (shiko paragrafin 23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r) duhej t’i shtohej asaj periudhe.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pasoj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periudha e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1684D">
        <w:rPr>
          <w:rFonts w:ascii="Times New Roman" w:hAnsi="Times New Roman"/>
          <w:sz w:val="24"/>
          <w:szCs w:val="24"/>
          <w:lang w:val="sq-AL"/>
        </w:rPr>
        <w:t xml:space="preserve"> 24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ntor 2010. </w:t>
      </w:r>
    </w:p>
    <w:p w:rsidR="00B97383" w:rsidRPr="003542C9" w:rsidRDefault="00D1684D" w:rsidP="00EE742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konstaton se gjy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k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tat vendase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cilat merren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shtjen nuk e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rpren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ntor 201</w:t>
      </w:r>
      <w:r>
        <w:rPr>
          <w:rFonts w:ascii="Times New Roman" w:hAnsi="Times New Roman"/>
          <w:sz w:val="24"/>
          <w:szCs w:val="24"/>
          <w:lang w:val="sq-AL"/>
        </w:rPr>
        <w:t>0 në mënyrë uniforme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r sa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me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n e fillimit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sor”.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24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ntor dhe 6 Dhjetor 2010, Gjykata e </w:t>
      </w:r>
      <w:r>
        <w:rPr>
          <w:rFonts w:ascii="Times New Roman" w:hAnsi="Times New Roman"/>
          <w:sz w:val="24"/>
          <w:szCs w:val="24"/>
          <w:lang w:val="sq-AL"/>
        </w:rPr>
        <w:t>Rrethit konstatoi se ndalimi “g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j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sor” kishte filluar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prej 11 Qershorit 2009,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rsa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 Shkurt 2011 Gjy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k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ta e Rrethit gjykoi se afati kohor filloi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prej 13 Marsit 2009. Nga ana e saj, Qeveria argumentoi se periudha e ndalimit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sor kishte filluar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prej 11 Qershorit 2009 (shiko paragrafin 61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97383" w:rsidRPr="003542C9">
        <w:rPr>
          <w:rFonts w:ascii="Times New Roman" w:hAnsi="Times New Roman"/>
          <w:sz w:val="24"/>
          <w:szCs w:val="24"/>
          <w:lang w:val="sq-AL"/>
        </w:rPr>
        <w:t>r).</w:t>
      </w:r>
    </w:p>
    <w:p w:rsidR="00E33375" w:rsidRDefault="00B97383" w:rsidP="007B44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Duke patur parasysh interpretimin kontradiktor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gjykatave vendase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nisjen e afatit kohor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sor”, Gjykata argumenton se privimi i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trajtuar </w:t>
      </w:r>
      <w:r w:rsidR="00940AA3" w:rsidRPr="003542C9">
        <w:rPr>
          <w:rFonts w:ascii="Times New Roman" w:hAnsi="Times New Roman"/>
          <w:sz w:val="24"/>
          <w:szCs w:val="24"/>
          <w:lang w:val="sq-AL"/>
        </w:rPr>
        <w:t>me masat mbrojt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40AA3" w:rsidRPr="003542C9">
        <w:rPr>
          <w:rFonts w:ascii="Times New Roman" w:hAnsi="Times New Roman"/>
          <w:sz w:val="24"/>
          <w:szCs w:val="24"/>
          <w:lang w:val="sq-AL"/>
        </w:rPr>
        <w:t>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40AA3" w:rsidRPr="003542C9">
        <w:rPr>
          <w:rFonts w:ascii="Times New Roman" w:hAnsi="Times New Roman"/>
          <w:sz w:val="24"/>
          <w:szCs w:val="24"/>
          <w:lang w:val="sq-AL"/>
        </w:rPr>
        <w:t xml:space="preserve"> duhura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940AA3"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B44C7" w:rsidRPr="003542C9" w:rsidRDefault="00940AA3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arbitrarizmit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Shaposhnikov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nr. 8998/05, § 47, 29 Korrik 2010;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Ismoilov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nr. 2947/06, §§ 138-39, 24 Prill 2008; dhe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Nasrulloyev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nr. 656/06, § 77, 11 Tetor 2007). Me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llim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rllogaritjen e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zgjatjes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ndalimit “gjat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sor”, legjislacioni shqiptar,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konkretisht Neni 263 § 2 i KPP nuk ishte i qart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i parashikuesh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zbatimin e tij dhe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shtoi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standardin e “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>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>sis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ligjit</w:t>
      </w:r>
      <w:r w:rsidRPr="003542C9">
        <w:rPr>
          <w:rFonts w:ascii="Times New Roman" w:hAnsi="Times New Roman"/>
          <w:sz w:val="24"/>
          <w:szCs w:val="24"/>
          <w:lang w:val="sq-AL"/>
        </w:rPr>
        <w:t>”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>rkuar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>rputhje me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>n (shiko paragrafin 70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r si edhe 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Ječius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cituar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r, § 59; 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Mooren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r Gjermanis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[GC], nr. 11364/03, § 76, 9 Korrik 2009; dhe 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Steel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="00D1684D">
        <w:rPr>
          <w:rFonts w:ascii="Times New Roman" w:hAnsi="Times New Roman"/>
          <w:i/>
          <w:sz w:val="24"/>
          <w:szCs w:val="24"/>
          <w:lang w:val="sq-AL"/>
        </w:rPr>
        <w:t>M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bret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 xml:space="preserve"> Bashkuar</w:t>
      </w:r>
      <w:r w:rsidR="00D1684D">
        <w:rPr>
          <w:rFonts w:ascii="Times New Roman" w:hAnsi="Times New Roman"/>
          <w:sz w:val="24"/>
          <w:szCs w:val="24"/>
          <w:lang w:val="sq-AL"/>
        </w:rPr>
        <w:t>, 23 Shtat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or 1998, § 54, </w:t>
      </w:r>
      <w:r w:rsidR="007B44C7" w:rsidRPr="003542C9">
        <w:rPr>
          <w:rFonts w:ascii="Times New Roman" w:hAnsi="Times New Roman"/>
          <w:i/>
          <w:sz w:val="24"/>
          <w:szCs w:val="24"/>
          <w:lang w:val="sq-AL"/>
        </w:rPr>
        <w:t xml:space="preserve">Raportet e Gjykimeve dhe Vendimeve </w:t>
      </w:r>
      <w:r w:rsidR="007B44C7" w:rsidRPr="003542C9">
        <w:rPr>
          <w:rFonts w:ascii="Times New Roman" w:hAnsi="Times New Roman"/>
          <w:sz w:val="24"/>
          <w:szCs w:val="24"/>
          <w:lang w:val="sq-AL"/>
        </w:rPr>
        <w:t xml:space="preserve">1998-VII). </w:t>
      </w:r>
    </w:p>
    <w:p w:rsidR="00B1523E" w:rsidRPr="003542C9" w:rsidRDefault="00707571" w:rsidP="007B44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r, ankuesi mbeti i ndaluar “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gjatë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sor” deri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7 Shkurt 2011.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e Rrethit urdh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roi arrestin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pi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’ka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nte privimin 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tejsh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sipas parashikimit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5 si edhe sipas ligjit vendas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Lavents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Letonis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nr. 58442/00, § 63, 28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ntor 2002, dhe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Nikolova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Bullgaris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, (nr. 2</w:t>
      </w:r>
      <w:r w:rsidRPr="003542C9">
        <w:rPr>
          <w:rFonts w:ascii="Times New Roman" w:hAnsi="Times New Roman"/>
          <w:sz w:val="24"/>
          <w:szCs w:val="24"/>
          <w:lang w:val="sq-AL"/>
        </w:rPr>
        <w:t>), nr. 40896/98, § 60, 30 Shtator 2004</w:t>
      </w:r>
      <w:r w:rsidR="00940AA3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. Gjykata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ren se Gjykata e Rrethit nuk dha arsye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vendimin e saj 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r ta kaluar ankuesin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arrest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pie. Gjykata tashm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ka pranuar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rastesh se mungesa e shkaqeve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na nga autoritetet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sore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vendimet e tyre ku autorizohet ndalimi,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rputhje me parimin e mbrojtjes nga arbitrarizmi sanksionuar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Nenin 5 § 1 (shiko, midis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autoriteteve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tjera, </w:t>
      </w:r>
      <w:r w:rsidR="00B1523E" w:rsidRPr="003542C9">
        <w:rPr>
          <w:rFonts w:ascii="Times New Roman" w:hAnsi="Times New Roman"/>
          <w:i/>
          <w:sz w:val="24"/>
          <w:szCs w:val="24"/>
          <w:lang w:val="sq-AL"/>
        </w:rPr>
        <w:t>Nakhmanovich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, nr. 55669/00, §§ 70-71, 2 Mars 2006, dhe </w:t>
      </w:r>
      <w:r w:rsidR="00B1523E" w:rsidRPr="003542C9">
        <w:rPr>
          <w:rFonts w:ascii="Times New Roman" w:hAnsi="Times New Roman"/>
          <w:i/>
          <w:sz w:val="24"/>
          <w:szCs w:val="24"/>
          <w:lang w:val="sq-AL"/>
        </w:rPr>
        <w:t>Stašaitis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i/>
          <w:sz w:val="24"/>
          <w:szCs w:val="24"/>
          <w:lang w:val="sq-AL"/>
        </w:rPr>
        <w:t>r Lituanis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, nr. 47679/99, § 67, 21 Mars 2002).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shtjen konkrete, ankuesi u mbajt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gjendje pasigurie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tij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 vazhduesh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>n arrest 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1523E" w:rsidRPr="003542C9">
        <w:rPr>
          <w:rFonts w:ascii="Times New Roman" w:hAnsi="Times New Roman"/>
          <w:sz w:val="24"/>
          <w:szCs w:val="24"/>
          <w:lang w:val="sq-AL"/>
        </w:rPr>
        <w:t xml:space="preserve">pie. </w:t>
      </w:r>
    </w:p>
    <w:p w:rsidR="009911A9" w:rsidRPr="003542C9" w:rsidRDefault="00B1523E" w:rsidP="007B44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rfundon se ndalimi i vazhduar i ankuesit nga 24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ntori 2010 (shiko paragrafin 72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r) deri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12 Mars 2012,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e cila 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ndalimi i tij u 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hoq nga Neni 5 § 1 (a) si rezultat i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nimit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tij nga Gjykata e Rrethit (shiko, midis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ve, </w:t>
      </w:r>
      <w:r w:rsidR="001F073B" w:rsidRPr="003542C9">
        <w:rPr>
          <w:rFonts w:ascii="Times New Roman" w:hAnsi="Times New Roman"/>
          <w:i/>
          <w:sz w:val="24"/>
          <w:szCs w:val="24"/>
          <w:lang w:val="sq-AL"/>
        </w:rPr>
        <w:t>Piotr Barano</w:t>
      </w:r>
      <w:r w:rsidR="00E33375">
        <w:rPr>
          <w:rFonts w:ascii="Times New Roman" w:hAnsi="Times New Roman"/>
          <w:i/>
          <w:sz w:val="24"/>
          <w:szCs w:val="24"/>
          <w:lang w:val="sq-AL"/>
        </w:rPr>
        <w:t>w</w:t>
      </w:r>
      <w:r w:rsidR="001F073B" w:rsidRPr="003542C9">
        <w:rPr>
          <w:rFonts w:ascii="Times New Roman" w:hAnsi="Times New Roman"/>
          <w:i/>
          <w:sz w:val="24"/>
          <w:szCs w:val="24"/>
          <w:lang w:val="sq-AL"/>
        </w:rPr>
        <w:t>ski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i/>
          <w:sz w:val="24"/>
          <w:szCs w:val="24"/>
          <w:lang w:val="sq-AL"/>
        </w:rPr>
        <w:t>r Polonis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nr. 39742/05, § 45, 2 Tetor 2007, dhe </w:t>
      </w:r>
      <w:r w:rsidR="001F073B" w:rsidRPr="003542C9">
        <w:rPr>
          <w:rFonts w:ascii="Times New Roman" w:hAnsi="Times New Roman"/>
          <w:i/>
          <w:sz w:val="24"/>
          <w:szCs w:val="24"/>
          <w:lang w:val="sq-AL"/>
        </w:rPr>
        <w:t>Belevitskiy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, nr. 72967/01, § 99, 1 Mars 2007)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nuk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rmbushte standardin e “ligjshm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”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>rkuar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Nenin 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73B"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1F073B" w:rsidRPr="003542C9" w:rsidRDefault="001F073B" w:rsidP="007B44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ka patur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shkelje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D20D6D" w:rsidRPr="003542C9" w:rsidRDefault="00D20D6D" w:rsidP="00D20D6D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20D6D" w:rsidRPr="003542C9" w:rsidRDefault="00766F9A" w:rsidP="00D20D6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SHKELJA E PRETENDUAR E NENIT 5 § 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</w:t>
      </w:r>
    </w:p>
    <w:p w:rsidR="00D20D6D" w:rsidRPr="003542C9" w:rsidRDefault="00D20D6D" w:rsidP="00D20D6D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66F9A" w:rsidRDefault="00132E3B" w:rsidP="00E333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Nenin 5 § 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s, ankuesi paraqiti pak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ria e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vazhduar,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shqyrtimin 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lirim, nuk u trajtua me shpejt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si. Neni 5 §</w:t>
      </w:r>
      <w:r w:rsidR="004534C8" w:rsidRPr="003542C9">
        <w:rPr>
          <w:rFonts w:ascii="Times New Roman" w:hAnsi="Times New Roman"/>
          <w:sz w:val="24"/>
          <w:szCs w:val="24"/>
          <w:lang w:val="sq-AL"/>
        </w:rPr>
        <w:t xml:space="preserve"> 4 i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534C8" w:rsidRPr="003542C9">
        <w:rPr>
          <w:rFonts w:ascii="Times New Roman" w:hAnsi="Times New Roman"/>
          <w:sz w:val="24"/>
          <w:szCs w:val="24"/>
          <w:lang w:val="sq-AL"/>
        </w:rPr>
        <w:t>s parashikon si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534C8" w:rsidRPr="003542C9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534C8" w:rsidRPr="003542C9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E33375" w:rsidRPr="00E33375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4534C8" w:rsidRPr="003542C9" w:rsidRDefault="004534C8" w:rsidP="00766F9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534C8" w:rsidRPr="003542C9" w:rsidRDefault="004534C8" w:rsidP="004534C8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  <w:r w:rsidRPr="003542C9">
        <w:rPr>
          <w:rFonts w:ascii="Times New Roman" w:hAnsi="Times New Roman"/>
          <w:sz w:val="20"/>
          <w:szCs w:val="20"/>
          <w:lang w:val="sq-AL"/>
        </w:rPr>
        <w:t>4.</w:t>
      </w:r>
      <w:r w:rsidR="00DB40F9" w:rsidRPr="003542C9">
        <w:rPr>
          <w:lang w:val="sq-AL"/>
        </w:rPr>
        <w:t xml:space="preserve"> </w:t>
      </w:r>
      <w:r w:rsidR="00DB40F9" w:rsidRPr="003542C9">
        <w:rPr>
          <w:rFonts w:ascii="Times New Roman" w:hAnsi="Times New Roman"/>
          <w:sz w:val="20"/>
          <w:szCs w:val="20"/>
          <w:lang w:val="sq-AL"/>
        </w:rPr>
        <w:t>Çdo person, të cilit i është hequr liria me arrestim ose me burgim, ka të drejtë të bëjë ankim në gjykatë me qëllim që kjo e fundit të vendosë, brenda një afati të shkurtër, për ligjshmërinë e burgimit të tij dhe të urdhërojë lirimin, në qoftë se burgimi është i paligjshëm.</w:t>
      </w:r>
    </w:p>
    <w:p w:rsidR="004534C8" w:rsidRPr="003542C9" w:rsidRDefault="004534C8" w:rsidP="004534C8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D20D6D" w:rsidRPr="003542C9" w:rsidRDefault="00D20D6D" w:rsidP="00D20D6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Pranue</w:t>
      </w:r>
      <w:r w:rsidR="004534C8" w:rsidRPr="003542C9">
        <w:rPr>
          <w:rFonts w:ascii="Times New Roman" w:hAnsi="Times New Roman"/>
          <w:b/>
          <w:sz w:val="24"/>
          <w:szCs w:val="24"/>
          <w:lang w:val="sq-AL"/>
        </w:rPr>
        <w:t>shm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="004534C8" w:rsidRPr="003542C9">
        <w:rPr>
          <w:rFonts w:ascii="Times New Roman" w:hAnsi="Times New Roman"/>
          <w:b/>
          <w:sz w:val="24"/>
          <w:szCs w:val="24"/>
          <w:lang w:val="sq-AL"/>
        </w:rPr>
        <w:t xml:space="preserve">ria </w:t>
      </w:r>
    </w:p>
    <w:p w:rsidR="00D20D6D" w:rsidRPr="003542C9" w:rsidRDefault="00CE61D6" w:rsidP="00D20D6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Qeveria,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Nenet 268 dhe 269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 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vendimet vendase (shiko paragrafin 50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r), argumentoi se ligji vendas parashikon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rastin kur shkelet Neni 5 § 4 i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D20D6D" w:rsidRPr="003542C9" w:rsidRDefault="00CE61D6" w:rsidP="00D20D6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nuk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ri komente. </w:t>
      </w:r>
    </w:p>
    <w:p w:rsidR="00A735BC" w:rsidRPr="003542C9" w:rsidRDefault="00692581" w:rsidP="00D20D6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gjykon 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akt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parim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kompensimi efektiv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aq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sa ky akt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konstatoj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dhe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ofroj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leht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simin e duhur,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konkretisht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rblim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min jo monetar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Knebl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Republik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 Çeke</w:t>
      </w:r>
      <w:r w:rsidRPr="003542C9">
        <w:rPr>
          <w:rFonts w:ascii="Times New Roman" w:hAnsi="Times New Roman"/>
          <w:sz w:val="24"/>
          <w:szCs w:val="24"/>
          <w:lang w:val="sq-AL"/>
        </w:rPr>
        <w:t>, nr. 20157/05, § 101, 28 Tetor 2010).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rastin konkret, duke u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konstatimet e saj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paragrafin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62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r, Gjykata nuk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 xml:space="preserve"> mendon 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 xml:space="preserve"> akt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>r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>met mu</w:t>
      </w: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>d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paraqitet sipas Nenit 268 §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KPP,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shkak se 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gjykatat vendase nuk zbatuan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n e “shpejt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sis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”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r shqyrtimin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 xml:space="preserve"> akti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r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 xml:space="preserve">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 xml:space="preserve"> vazhduar.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BB5A84" w:rsidRPr="003542C9">
        <w:rPr>
          <w:rFonts w:ascii="Times New Roman" w:hAnsi="Times New Roman"/>
          <w:sz w:val="24"/>
          <w:szCs w:val="24"/>
          <w:lang w:val="sq-AL"/>
        </w:rPr>
        <w:t xml:space="preserve">to rrethana, Gjykata </w:t>
      </w:r>
      <w:r w:rsidR="00746A81" w:rsidRPr="003542C9">
        <w:rPr>
          <w:rFonts w:ascii="Times New Roman" w:hAnsi="Times New Roman"/>
          <w:sz w:val="24"/>
          <w:szCs w:val="24"/>
          <w:lang w:val="sq-AL"/>
        </w:rPr>
        <w:t>vendosi ta 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6A81" w:rsidRPr="003542C9">
        <w:rPr>
          <w:rFonts w:ascii="Times New Roman" w:hAnsi="Times New Roman"/>
          <w:sz w:val="24"/>
          <w:szCs w:val="24"/>
          <w:lang w:val="sq-AL"/>
        </w:rPr>
        <w:t>zoj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6A81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6A81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6A81"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6A81" w:rsidRPr="003542C9">
        <w:rPr>
          <w:rFonts w:ascii="Times New Roman" w:hAnsi="Times New Roman"/>
          <w:sz w:val="24"/>
          <w:szCs w:val="24"/>
          <w:lang w:val="sq-AL"/>
        </w:rPr>
        <w:t>rshtim</w:t>
      </w:r>
      <w:r w:rsidR="00D20D6D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D20D6D" w:rsidRPr="003542C9" w:rsidRDefault="00D20D6D" w:rsidP="00D20D6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Duke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re se kjo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5A3035">
        <w:rPr>
          <w:rFonts w:ascii="Times New Roman" w:hAnsi="Times New Roman"/>
          <w:sz w:val="24"/>
          <w:szCs w:val="24"/>
          <w:lang w:val="sq-AL"/>
        </w:rPr>
        <w:t xml:space="preserve"> e pab</w:t>
      </w:r>
      <w:r w:rsidRPr="003542C9">
        <w:rPr>
          <w:rFonts w:ascii="Times New Roman" w:hAnsi="Times New Roman"/>
          <w:sz w:val="24"/>
          <w:szCs w:val="24"/>
          <w:lang w:val="sq-AL"/>
        </w:rPr>
        <w:t>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fakte sipas interpretimit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s, dhe as e papranueshme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shkaqe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tjera, Gjykata duhet ta deklaroj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pranueshme. </w:t>
      </w:r>
    </w:p>
    <w:p w:rsidR="00D20D6D" w:rsidRPr="003542C9" w:rsidRDefault="00D20D6D" w:rsidP="00D20D6D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20D6D" w:rsidRPr="003542C9" w:rsidRDefault="00D20D6D" w:rsidP="00D20D6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Cil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sit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D20D6D" w:rsidRPr="003542C9" w:rsidRDefault="00D20D6D" w:rsidP="00D20D6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20D6D" w:rsidRPr="003542C9" w:rsidRDefault="00D20D6D" w:rsidP="00D20D6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Parashtrimet e pal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ve</w:t>
      </w:r>
    </w:p>
    <w:p w:rsidR="00D20D6D" w:rsidRPr="003542C9" w:rsidRDefault="00D20D6D" w:rsidP="00D20D6D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482048" w:rsidRDefault="00482048" w:rsidP="00D20D6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Qeveria ia atribuoi vones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procedime ankuesit dhe avokatit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tij; shpesh ata mungonin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seancat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gjimore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s. Duke paraqitur apelime, ankuesi ishte i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 se shqyrtimi 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nga gjykatat e larta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rkonte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apelim, Gjykata e Apelit dhe Gjykata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shqyrtonin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lirim. </w:t>
      </w:r>
      <w:r w:rsidR="005A3035">
        <w:rPr>
          <w:rFonts w:ascii="Times New Roman" w:hAnsi="Times New Roman"/>
          <w:sz w:val="24"/>
          <w:szCs w:val="24"/>
          <w:lang w:val="sq-AL"/>
        </w:rPr>
        <w:t>A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5A3035">
        <w:rPr>
          <w:rFonts w:ascii="Times New Roman" w:hAnsi="Times New Roman"/>
          <w:sz w:val="24"/>
          <w:szCs w:val="24"/>
          <w:lang w:val="sq-AL"/>
        </w:rPr>
        <w:t>o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shqyrtuan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dokumentet e marra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Gjykata e Rrethit dhe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vlerësonin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afatet kohore kishin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rfunduar pas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Rrethit. Ç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shtja ishte e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rlikuar sepse ajo ishte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29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paditurve dhe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veprime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procedurale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5A3035">
        <w:rPr>
          <w:rFonts w:ascii="Times New Roman" w:hAnsi="Times New Roman"/>
          <w:sz w:val="24"/>
          <w:szCs w:val="24"/>
          <w:lang w:val="sq-AL"/>
        </w:rPr>
        <w:t>rmor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garantuar drejtimin e procedimeve brenda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afati kohor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m.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ta faktor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uan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zgjatjen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procedimeve.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F31D3" w:rsidRPr="003542C9" w:rsidRDefault="00482048" w:rsidP="00D20D6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parashtroi se kishte patur vones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shqyrtimin 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lirim. </w:t>
      </w:r>
      <w:r w:rsidR="005A3035">
        <w:rPr>
          <w:rFonts w:ascii="Times New Roman" w:hAnsi="Times New Roman"/>
          <w:sz w:val="24"/>
          <w:szCs w:val="24"/>
          <w:lang w:val="sq-AL"/>
        </w:rPr>
        <w:t>E</w:t>
      </w:r>
      <w:r w:rsidRPr="003542C9">
        <w:rPr>
          <w:rFonts w:ascii="Times New Roman" w:hAnsi="Times New Roman"/>
          <w:sz w:val="24"/>
          <w:szCs w:val="24"/>
          <w:lang w:val="sq-AL"/>
        </w:rPr>
        <w:t>dhe pse u dhan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vendime vendase brenda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periudhe pes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mujore, gjykatat 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nuk mor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n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vendim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r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e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tij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vazhduar.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ndv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shtrim, gjykatat vendase nuk zbatuan 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zimet e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ntor 2010, pavar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sisht kompetenc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s dhe juridiksionit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tyre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r ta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. Ankuesi u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mbajt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 “peng” i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>sorit, i cili veproi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31D3" w:rsidRPr="003542C9">
        <w:rPr>
          <w:rFonts w:ascii="Times New Roman" w:hAnsi="Times New Roman"/>
          <w:sz w:val="24"/>
          <w:szCs w:val="24"/>
          <w:lang w:val="sq-AL"/>
        </w:rPr>
        <w:t xml:space="preserve">r shtetit ligjor. </w:t>
      </w:r>
    </w:p>
    <w:p w:rsidR="007F31D3" w:rsidRPr="003542C9" w:rsidRDefault="007F31D3" w:rsidP="007F31D3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F31D3" w:rsidRPr="003542C9" w:rsidRDefault="007F31D3" w:rsidP="007F31D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Vler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simet e Gjykat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s</w:t>
      </w:r>
    </w:p>
    <w:p w:rsidR="007F31D3" w:rsidRPr="003542C9" w:rsidRDefault="007F31D3" w:rsidP="007F31D3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2371D" w:rsidRPr="003542C9" w:rsidRDefault="007F31D3" w:rsidP="007F31D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deklaron se Neni 5 § 4, i cili iu garanton personave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arrestuar ose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ndaluar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rmarr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procedime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rshtuat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tyre, gjithashtu parashikon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e tyre, 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vijim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institucionit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tyre procedimeve,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shpejt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sor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lidhje me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e ndalimit dhe urdh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ron ndalimin e tij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se rezulton i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m (shiko midis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ve </w:t>
      </w:r>
      <w:r w:rsidR="0082371D" w:rsidRPr="003542C9">
        <w:rPr>
          <w:rFonts w:ascii="Times New Roman" w:hAnsi="Times New Roman"/>
          <w:i/>
          <w:sz w:val="24"/>
          <w:szCs w:val="24"/>
          <w:lang w:val="sq-AL"/>
        </w:rPr>
        <w:t>Gubkin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, nr. 36941/02, § 152, 23 Prill 2009).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rkesa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nien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vendimi “me nxitim”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pamohueshme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garanci e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5A3035">
        <w:rPr>
          <w:rFonts w:ascii="Times New Roman" w:hAnsi="Times New Roman"/>
          <w:sz w:val="24"/>
          <w:szCs w:val="24"/>
          <w:lang w:val="sq-AL"/>
        </w:rPr>
        <w:t>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kontekst, Gjykata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gjithashtu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ren se ka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nevoj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ant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shpejt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rcakton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e ndalimit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shtjet kur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proces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sor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pezull sepse i pandehuri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rfitoj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plot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sisht nga parimi i mund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sis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>r pafaj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si (shiko </w:t>
      </w:r>
      <w:r w:rsidR="0082371D" w:rsidRPr="003542C9">
        <w:rPr>
          <w:rFonts w:ascii="Times New Roman" w:hAnsi="Times New Roman"/>
          <w:i/>
          <w:sz w:val="24"/>
          <w:szCs w:val="24"/>
          <w:lang w:val="sq-AL"/>
        </w:rPr>
        <w:t>Iło</w:t>
      </w:r>
      <w:r w:rsidR="005A3035">
        <w:rPr>
          <w:rFonts w:ascii="Times New Roman" w:hAnsi="Times New Roman"/>
          <w:i/>
          <w:sz w:val="24"/>
          <w:szCs w:val="24"/>
          <w:lang w:val="sq-AL"/>
        </w:rPr>
        <w:t>w</w:t>
      </w:r>
      <w:r w:rsidR="0082371D" w:rsidRPr="003542C9">
        <w:rPr>
          <w:rFonts w:ascii="Times New Roman" w:hAnsi="Times New Roman"/>
          <w:i/>
          <w:sz w:val="24"/>
          <w:szCs w:val="24"/>
          <w:lang w:val="sq-AL"/>
        </w:rPr>
        <w:t>iecki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i/>
          <w:sz w:val="24"/>
          <w:szCs w:val="24"/>
          <w:lang w:val="sq-AL"/>
        </w:rPr>
        <w:t>r Polonis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82371D" w:rsidRPr="003542C9">
        <w:rPr>
          <w:rFonts w:ascii="Times New Roman" w:hAnsi="Times New Roman"/>
          <w:sz w:val="24"/>
          <w:szCs w:val="24"/>
          <w:lang w:val="sq-AL"/>
        </w:rPr>
        <w:t xml:space="preserve">, nr. 27504/95, § 76, 4 Tetor 2001). </w:t>
      </w:r>
    </w:p>
    <w:p w:rsidR="007F5721" w:rsidRPr="003542C9" w:rsidRDefault="0082371D" w:rsidP="007F31D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Edhe pse Neni 5 §</w:t>
      </w:r>
      <w:r w:rsidR="005A30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4 nuk i detyron Shtetet Kontraktuese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ngren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nivel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juridiksioni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ndalimin,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Shtet i cili krijon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sistem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parim duhet t’i ofroj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ndaluarve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jtat garanci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apel si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edhe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shkall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n e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n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, standardi i “shpejt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sis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”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pak i rrept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kur vjen puna tek procedimet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rpara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apelit (shiko, midis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ve </w:t>
      </w:r>
      <w:r w:rsidR="007F5721" w:rsidRPr="003542C9">
        <w:rPr>
          <w:rFonts w:ascii="Times New Roman" w:hAnsi="Times New Roman"/>
          <w:i/>
          <w:sz w:val="24"/>
          <w:szCs w:val="24"/>
          <w:lang w:val="sq-AL"/>
        </w:rPr>
        <w:t>Savriddin Dzhurayev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7F5721" w:rsidRPr="003542C9">
        <w:rPr>
          <w:rFonts w:ascii="Times New Roman" w:hAnsi="Times New Roman"/>
          <w:sz w:val="24"/>
          <w:szCs w:val="24"/>
          <w:lang w:val="sq-AL"/>
        </w:rPr>
        <w:t xml:space="preserve">, nr. 71386/10, § 224, GJEDNJ 2013 (ekstrakte)). </w:t>
      </w:r>
    </w:p>
    <w:p w:rsidR="00E33375" w:rsidRDefault="007F5721" w:rsidP="007F5721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Edhe pse numri i dit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nevojshme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drejtuar procedimet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duksh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një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element i 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evtevete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vendimtar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shpejt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rkuar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Merie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="003542C9" w:rsidRPr="003542C9">
        <w:rPr>
          <w:rFonts w:ascii="Times New Roman" w:hAnsi="Times New Roman"/>
          <w:i/>
          <w:sz w:val="24"/>
          <w:szCs w:val="24"/>
          <w:lang w:val="sq-AL"/>
        </w:rPr>
        <w:t>Holandës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(vendim), nr. 664/05, 20 Shtator 2007). Ajo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’ka merret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kujdesi i treguar nga autoritetet, vonesat e atribuara ankuesit dhe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do faktor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shkakton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vones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Shteti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Jablonski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Polonis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nr. 33492/96, §§ 91-94, 21 Dhjetor 2000, dhe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G.B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Zvicr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s, </w:t>
      </w:r>
      <w:r w:rsidRPr="003542C9">
        <w:rPr>
          <w:rFonts w:ascii="Times New Roman" w:hAnsi="Times New Roman"/>
          <w:sz w:val="24"/>
          <w:szCs w:val="24"/>
          <w:lang w:val="sq-AL"/>
        </w:rPr>
        <w:t>nr. 27426/95, §§ 34-39, 30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2000). Ç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shtja,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e drejta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shpejtuar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respektuar,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735BC" w:rsidRPr="003542C9" w:rsidRDefault="007F5721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rcaktohet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drit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rrethanave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shtje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Mooren</w:t>
      </w:r>
      <w:r w:rsidRPr="003542C9">
        <w:rPr>
          <w:rFonts w:ascii="Times New Roman" w:hAnsi="Times New Roman"/>
          <w:sz w:val="24"/>
          <w:szCs w:val="24"/>
          <w:lang w:val="sq-AL"/>
        </w:rPr>
        <w:t>, cituar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r, § 106, dhe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Abdulkhakov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8A61D8" w:rsidRPr="003542C9">
        <w:rPr>
          <w:rFonts w:ascii="Times New Roman" w:hAnsi="Times New Roman"/>
          <w:sz w:val="24"/>
          <w:szCs w:val="24"/>
          <w:lang w:val="sq-AL"/>
        </w:rPr>
        <w:t>nr. 14743/11, § 199, 2 Tetor 2012</w:t>
      </w:r>
      <w:r w:rsidRPr="003542C9">
        <w:rPr>
          <w:rFonts w:ascii="Times New Roman" w:hAnsi="Times New Roman"/>
          <w:sz w:val="24"/>
          <w:szCs w:val="24"/>
          <w:lang w:val="sq-AL"/>
        </w:rPr>
        <w:t>)</w:t>
      </w:r>
      <w:r w:rsidR="008A61D8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C44931" w:rsidRPr="003542C9" w:rsidRDefault="008A61D8" w:rsidP="007F5721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Duke u kthyer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ren se ankuesi paraqiti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tij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19 Korrik 2010. 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rsa Gjykata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rgatitur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pranoj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se procedimet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rpara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Rrethit dhe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Apelit u organizuan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duke marr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edhe argumentin e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r sjelljen e ankuesit, gjith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sesi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iu desh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n pothuajse tre muaj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shpallte vendimin e saj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>ntor 2010. Gjykata  nuk shpjegoi 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05CF4" w:rsidRPr="003542C9">
        <w:rPr>
          <w:rFonts w:ascii="Times New Roman" w:hAnsi="Times New Roman"/>
          <w:sz w:val="24"/>
          <w:szCs w:val="24"/>
          <w:lang w:val="sq-AL"/>
        </w:rPr>
        <w:t xml:space="preserve">rse 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iu desh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kaq e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shqyrtonte apelin e ankuesit. Ankuesi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faj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sohej se kishte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rdorur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n e tij legjitime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apeluar, e cila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B40F9" w:rsidRPr="003542C9">
        <w:rPr>
          <w:rFonts w:ascii="Times New Roman" w:hAnsi="Times New Roman"/>
          <w:sz w:val="24"/>
          <w:szCs w:val="24"/>
          <w:lang w:val="sq-AL"/>
        </w:rPr>
        <w:t xml:space="preserve"> cilindo ra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DB40F9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 kishte rezultuar e </w:t>
      </w:r>
      <w:r w:rsidR="003542C9" w:rsidRPr="003542C9">
        <w:rPr>
          <w:rFonts w:ascii="Times New Roman" w:hAnsi="Times New Roman"/>
          <w:sz w:val="24"/>
          <w:szCs w:val="24"/>
          <w:lang w:val="sq-AL"/>
        </w:rPr>
        <w:t>suksesshme</w:t>
      </w:r>
      <w:r w:rsidR="00C44931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C44931" w:rsidRPr="003542C9" w:rsidRDefault="00C44931" w:rsidP="00C44931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r, Gjykata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ren se vonesa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tjera ishin shkaktuar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shkak se gjykatat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ta nuk kishin vepruar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rputhje me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 (shiko paragrafin 17 dhe 18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r). Gjyakt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i vjen keq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Gjykata e Apelit, e cila</w:t>
      </w:r>
      <w:r w:rsidR="00ED256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kishte juridiksion mbi faktet dhe ligjin, nuk realizoi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fakteve dhe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shqyrtim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lirim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17 Dhjetor 2010. Kthimet e vazhdueshme si edhe mosp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rputhja me vendimin 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Gjykatës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3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2010, shkaktuan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vones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pajustifikueshme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procedime (shiko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Mooren</w:t>
      </w:r>
      <w:r w:rsidRPr="003542C9">
        <w:rPr>
          <w:rFonts w:ascii="Times New Roman" w:hAnsi="Times New Roman"/>
          <w:sz w:val="24"/>
          <w:szCs w:val="24"/>
          <w:lang w:val="sq-AL"/>
        </w:rPr>
        <w:t>, cituar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r, § 107).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vones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atribuohet Shtetit,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sia 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cilit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organizoj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sistemin ligjor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rmbushet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rkesa “e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rshpejtuar”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Nenin 5 § 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 (shiko,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mutatis mutandis, Mishgjoni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nr. 18381/05, § 59, 7 Dhjetor 2010). </w:t>
      </w:r>
    </w:p>
    <w:p w:rsidR="00741DDE" w:rsidRPr="003542C9" w:rsidRDefault="00C44931" w:rsidP="00C44931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sa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rket 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>sa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Gjykata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>son se ka patur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Nenit 5 § 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lidhje me mosshqyrtimin “ 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rshpejtuar” nga ana 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autoriteteve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>r lirim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41DDE" w:rsidRPr="003542C9">
        <w:rPr>
          <w:rFonts w:ascii="Times New Roman" w:hAnsi="Times New Roman"/>
          <w:sz w:val="24"/>
          <w:szCs w:val="24"/>
          <w:lang w:val="sq-AL"/>
        </w:rPr>
        <w:t xml:space="preserve"> 19 Korrik 2010. </w:t>
      </w:r>
    </w:p>
    <w:p w:rsidR="00741DDE" w:rsidRPr="003542C9" w:rsidRDefault="00741DDE" w:rsidP="00741DDE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41DDE" w:rsidRPr="003542C9" w:rsidRDefault="00741DDE" w:rsidP="00741DDE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ZBATIMI I NENIT 41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</w:t>
      </w:r>
    </w:p>
    <w:p w:rsidR="00741DDE" w:rsidRPr="003542C9" w:rsidRDefault="00741DDE" w:rsidP="00741DDE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41DDE" w:rsidRPr="003542C9" w:rsidRDefault="00741DDE" w:rsidP="00741D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Neni 41 i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741DDE" w:rsidRPr="003542C9" w:rsidRDefault="00741DDE" w:rsidP="00741DDE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41DDE" w:rsidRDefault="00741DDE" w:rsidP="00741DDE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  <w:r w:rsidRPr="003542C9">
        <w:rPr>
          <w:rFonts w:ascii="Times New Roman" w:hAnsi="Times New Roman"/>
          <w:sz w:val="20"/>
          <w:szCs w:val="20"/>
          <w:lang w:val="sq-AL"/>
        </w:rPr>
        <w:t>“</w:t>
      </w:r>
      <w:r w:rsidR="00DB40F9" w:rsidRPr="003542C9">
        <w:rPr>
          <w:rFonts w:ascii="Times New Roman" w:hAnsi="Times New Roman"/>
          <w:sz w:val="20"/>
          <w:szCs w:val="20"/>
          <w:lang w:val="sq-AL"/>
        </w:rPr>
        <w:t>Kur Gjykata konstaton se ka pasur një shkelje të Konventës ose të protokolleve të saj dhe, nëse e drejta e brendshme e Palës së Lartë Kontraktuese lejon të bëhet vetëm një ndreqje e pjesshme, Gjykata, kur është e nevojshme, i akordon shpërblim të drejtë palës së dëmtuar.</w:t>
      </w:r>
      <w:r w:rsidRPr="003542C9">
        <w:rPr>
          <w:rFonts w:ascii="Times New Roman" w:hAnsi="Times New Roman"/>
          <w:sz w:val="20"/>
          <w:szCs w:val="20"/>
          <w:lang w:val="sq-AL"/>
        </w:rPr>
        <w:t>”</w:t>
      </w:r>
    </w:p>
    <w:p w:rsidR="00E33375" w:rsidRDefault="00E33375" w:rsidP="00741DDE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E33375" w:rsidRDefault="00E33375" w:rsidP="00741DDE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E33375" w:rsidRDefault="00E33375" w:rsidP="00741DDE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E33375" w:rsidRDefault="00E33375" w:rsidP="00741DDE">
      <w:pPr>
        <w:pStyle w:val="ListParagraph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E33375" w:rsidRPr="00E33375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741DDE" w:rsidRPr="003542C9" w:rsidRDefault="00741DDE" w:rsidP="00741DD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41DDE" w:rsidRPr="003542C9" w:rsidRDefault="00741DDE" w:rsidP="00741DD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D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mi </w:t>
      </w:r>
    </w:p>
    <w:p w:rsidR="00741DDE" w:rsidRPr="003542C9" w:rsidRDefault="00741DDE" w:rsidP="00741DD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41DDE" w:rsidRPr="003542C9" w:rsidRDefault="00741DDE" w:rsidP="00741D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rkoi 150,000 euro (EUR)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min monetar dhe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jo monetar.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tu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rfshihej humbja e rrog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ai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marr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rast se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ishte liruar, si edhe ndjenj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stresit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kaluar ankuesi dhe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 e familjes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vit. </w:t>
      </w:r>
    </w:p>
    <w:p w:rsidR="00741DDE" w:rsidRPr="003542C9" w:rsidRDefault="00741DDE" w:rsidP="00741D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Qeveria parashtroi se ankuesi u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nua me burgim sipas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s. Si rezultat, periudha e vuajtur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ndalim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rpara procesit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sor u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rllogarit si burgim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ligjin vendas. Mbi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vbaz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ankuesi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rkonte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monetar.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min jo monetar, Qeveria parashtroi se ishte e hapur ndaj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gjykatat vendase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periudh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pretenduar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741DDE" w:rsidRPr="003542C9" w:rsidRDefault="00741DDE" w:rsidP="00741D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argumentat e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Gjykata vler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son se 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rkesa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 shfryt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zim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mjeteve vendase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rfituat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rblim bazuar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n vendimin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s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zgjaste procedur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n e ngritur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rpara organeve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pothuajse nuk ec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n me iden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mbrojtje efikase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njeriut (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>Papamichalopoulos dhe 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>r Greqis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 xml:space="preserve"> (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Neni 50), 31 Tetor 1995, § 40, Serit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A nr. 330-B).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r, fakti se ankuesi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ri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rblim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 sa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rket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mit jo monetar sipas procedimeve vendase ligjore nuk e privon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nga e drejta e tij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rkuar kompensim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Nenin 41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s. Gjykata mund ta shqyrtoj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shtje edhe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se procedimet vendase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natyre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ngjashme jan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ende pezull;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do interpretim tjet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r i Nenit 41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s do ta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bënte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parashikim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 jo efikas (shiko 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>Mikheyev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C50C5" w:rsidRPr="003542C9">
        <w:rPr>
          <w:rFonts w:ascii="Times New Roman" w:hAnsi="Times New Roman"/>
          <w:sz w:val="24"/>
          <w:szCs w:val="24"/>
          <w:lang w:val="sq-AL"/>
        </w:rPr>
        <w:t xml:space="preserve">, nr. 77617/01, § 155, 26 Janar 2006). </w:t>
      </w:r>
    </w:p>
    <w:p w:rsidR="003C50C5" w:rsidRPr="003542C9" w:rsidRDefault="003C50C5" w:rsidP="00741D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merr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konsiderat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parashtrimin e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periudha e vuajtur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paraburgim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rpara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procesit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sor u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rllogarit si burgim. Ajo nuk dallon ndonj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lidhje rast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sore midis shkeljes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konstatuar dhe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mit monetar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pretenduar;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arsye ajo 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zon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(shiko midis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 tjerave, </w:t>
      </w:r>
      <w:r w:rsidR="003E17EE" w:rsidRPr="003542C9">
        <w:rPr>
          <w:rFonts w:ascii="Times New Roman" w:hAnsi="Times New Roman"/>
          <w:i/>
          <w:sz w:val="24"/>
          <w:szCs w:val="24"/>
          <w:lang w:val="sq-AL"/>
        </w:rPr>
        <w:t xml:space="preserve"> Barano</w:t>
      </w:r>
      <w:r w:rsidR="00DB40F9" w:rsidRPr="003542C9">
        <w:rPr>
          <w:rFonts w:ascii="Times New Roman" w:hAnsi="Times New Roman"/>
          <w:i/>
          <w:sz w:val="24"/>
          <w:szCs w:val="24"/>
          <w:lang w:val="sq-AL"/>
        </w:rPr>
        <w:t>w</w:t>
      </w:r>
      <w:r w:rsidR="003E17EE" w:rsidRPr="003542C9">
        <w:rPr>
          <w:rFonts w:ascii="Times New Roman" w:hAnsi="Times New Roman"/>
          <w:i/>
          <w:sz w:val="24"/>
          <w:szCs w:val="24"/>
          <w:lang w:val="sq-AL"/>
        </w:rPr>
        <w:t>ski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i/>
          <w:sz w:val="24"/>
          <w:szCs w:val="24"/>
          <w:lang w:val="sq-AL"/>
        </w:rPr>
        <w:t>r Polonis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, nr. 28358/95, § 81, GJEDNJ 2000-III, dhe </w:t>
      </w:r>
      <w:r w:rsidR="003E17EE" w:rsidRPr="003542C9">
        <w:rPr>
          <w:rFonts w:ascii="Times New Roman" w:hAnsi="Times New Roman"/>
          <w:i/>
          <w:sz w:val="24"/>
          <w:szCs w:val="24"/>
          <w:lang w:val="sq-AL"/>
        </w:rPr>
        <w:t>Stašaitis kund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i/>
          <w:sz w:val="24"/>
          <w:szCs w:val="24"/>
          <w:lang w:val="sq-AL"/>
        </w:rPr>
        <w:t>r Lituanis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, nr. 47679/99, § 99, 21 Mars 2002). </w:t>
      </w:r>
    </w:p>
    <w:p w:rsidR="003E17EE" w:rsidRDefault="003E17EE" w:rsidP="00741D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ren se ka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konstatuar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5 § 1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ndalimin e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midis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24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 2010 dhe 12 Mars 2012 si edhe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5 § 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s. Ankuesi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vuajtur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ankthi dhe stresi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atyre shkeljeve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cilat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kompensohen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konstatimi 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thjesht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shkeljes ose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paraqitur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për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kompensim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paragrafin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94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r). Ajo i akordon ankuesit EUR 15,600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min jo monetar.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3E17EE" w:rsidRPr="003542C9" w:rsidRDefault="003E17EE" w:rsidP="00E33375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E17EE" w:rsidRPr="003542C9" w:rsidRDefault="003E17EE" w:rsidP="003E17E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Kostot dhe shpenzimet</w:t>
      </w:r>
    </w:p>
    <w:p w:rsidR="003E17EE" w:rsidRPr="003542C9" w:rsidRDefault="003E17EE" w:rsidP="003E17E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3E17EE" w:rsidRPr="003542C9" w:rsidRDefault="00ED256C" w:rsidP="003E17E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Gjithashtu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, ankuesi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>rkoi EUR 10,000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E17EE" w:rsidRPr="003542C9">
        <w:rPr>
          <w:rFonts w:ascii="Times New Roman" w:hAnsi="Times New Roman"/>
          <w:sz w:val="24"/>
          <w:szCs w:val="24"/>
          <w:lang w:val="sq-AL"/>
        </w:rPr>
        <w:t xml:space="preserve">r kostot dhe shpenzimet e 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ra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. Kjo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rb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nte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prej EUR 9,500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lidhje me tarif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n ligjore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rfaq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>simin e tij dhe EUR 500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r shpenzimet </w:t>
      </w:r>
      <w:r w:rsidR="00A61715" w:rsidRPr="003542C9">
        <w:rPr>
          <w:rFonts w:ascii="Times New Roman" w:hAnsi="Times New Roman"/>
          <w:sz w:val="24"/>
          <w:szCs w:val="24"/>
          <w:lang w:val="sq-AL"/>
        </w:rPr>
        <w:t>postare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B5E54" w:rsidRPr="003542C9">
        <w:rPr>
          <w:rFonts w:ascii="Times New Roman" w:hAnsi="Times New Roman"/>
          <w:sz w:val="24"/>
          <w:szCs w:val="24"/>
          <w:lang w:val="sq-AL"/>
        </w:rPr>
        <w:t xml:space="preserve"> telekomunikimeve. </w:t>
      </w:r>
    </w:p>
    <w:p w:rsidR="002B5E54" w:rsidRPr="003542C9" w:rsidRDefault="00A61715" w:rsidP="003E17E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Qeveria parashtroi se ankuesit nuk dorëzuan faturat e detajuara, si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parashikohet nga autoritetet e taksave,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përputhje me ligjin vendas. Ajo i kundërshtoi kërkesat e ankuesve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kostot dhe shpenzimet si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tepruara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paarsyeshme. </w:t>
      </w:r>
    </w:p>
    <w:p w:rsidR="00A61715" w:rsidRPr="003542C9" w:rsidRDefault="00A61715" w:rsidP="003E17E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Sipas ligjeve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nxjerra nga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rimbursohet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kostot dhe shpenzimet vetëm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tregohet se ato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fakt janë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kan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nevojshme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, dhe kan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arsyeshme (shiko,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r shembull, </w:t>
      </w:r>
      <w:r w:rsidR="003873D5" w:rsidRPr="003542C9">
        <w:rPr>
          <w:rFonts w:ascii="Times New Roman" w:hAnsi="Times New Roman"/>
          <w:i/>
          <w:sz w:val="24"/>
          <w:szCs w:val="24"/>
          <w:lang w:val="sq-AL"/>
        </w:rPr>
        <w:t xml:space="preserve"> Gjyli kundër Shqip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i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, nr. 32907/07, § 72, 29 Shtator 2009).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, Rregulli 60 §§ 2 dhe 3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s pohon se ankuesit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bashkëlidhin me kërkesat e tyre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r kompensim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do dokument tjetër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shtet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lidhur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shtjen”, 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>se kjo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nuk ndodh, Gjykata “mund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kundërshtojë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 kërkesat plotësisht ose pjes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73D5" w:rsidRPr="003542C9">
        <w:rPr>
          <w:rFonts w:ascii="Times New Roman" w:hAnsi="Times New Roman"/>
          <w:sz w:val="24"/>
          <w:szCs w:val="24"/>
          <w:lang w:val="sq-AL"/>
        </w:rPr>
        <w:t xml:space="preserve">risht”. </w:t>
      </w:r>
    </w:p>
    <w:p w:rsidR="003873D5" w:rsidRPr="003542C9" w:rsidRDefault="003873D5" w:rsidP="003E17E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pranoj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sugjerimin e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kërkohen fatura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miratuara zyrtarisht nga autoritetet e taksave: nuk ekziston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detyrim i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sipas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s, nuk i takon kësaj Gjykate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rregulloj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nien midis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taksapaguesi dhe Shtetit. </w:t>
      </w:r>
    </w:p>
    <w:p w:rsidR="003873D5" w:rsidRPr="003542C9" w:rsidRDefault="003873D5" w:rsidP="003E17E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nuk ka asnjë arsye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dyshoj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shpenzimet e ankuesve kan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ndodhur realisht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se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rket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 xml:space="preserve"> kuponi korespondues.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 xml:space="preserve"> lidhje me faktin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se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to shuma ishin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 xml:space="preserve"> nevoj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>se ishin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53897" w:rsidRPr="003542C9">
        <w:rPr>
          <w:rFonts w:ascii="Times New Roman" w:hAnsi="Times New Roman"/>
          <w:sz w:val="24"/>
          <w:szCs w:val="24"/>
          <w:lang w:val="sq-AL"/>
        </w:rPr>
        <w:t xml:space="preserve"> arsyeshme, Gjykata konstaton se fatura përmban 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shuma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dha, pa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analiz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detajuar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numrit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orëve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faturuara dhe norm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n koresponduese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do or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situat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>, Gjykata nuk jep asnjë shpërblim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lidhje me tarifat e avokatit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42A68" w:rsidRPr="003542C9">
        <w:rPr>
          <w:rFonts w:ascii="Times New Roman" w:hAnsi="Times New Roman"/>
          <w:sz w:val="24"/>
          <w:szCs w:val="24"/>
          <w:lang w:val="sq-AL"/>
        </w:rPr>
        <w:t xml:space="preserve"> tij. </w:t>
      </w:r>
    </w:p>
    <w:p w:rsidR="00242A68" w:rsidRPr="003542C9" w:rsidRDefault="00242A68" w:rsidP="00242A68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42A68" w:rsidRPr="003542C9" w:rsidRDefault="00E51FF6" w:rsidP="00242A6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Kamatëvonesa</w:t>
      </w:r>
    </w:p>
    <w:p w:rsidR="00242A68" w:rsidRPr="003542C9" w:rsidRDefault="00242A68" w:rsidP="00242A6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42A68" w:rsidRPr="003542C9" w:rsidRDefault="006B7788" w:rsidP="006B778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Gjykata e gjykon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arsyeshme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norma e interesit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51FF6">
        <w:rPr>
          <w:rFonts w:ascii="Times New Roman" w:hAnsi="Times New Roman"/>
          <w:sz w:val="24"/>
          <w:szCs w:val="24"/>
          <w:lang w:val="sq-AL"/>
        </w:rPr>
        <w:t>kamatëvonesës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marxhinale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huadhënies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Qendrore Europiane,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cilës i duhen shtuar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rqind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she. </w:t>
      </w:r>
    </w:p>
    <w:p w:rsidR="006B7788" w:rsidRPr="003542C9" w:rsidRDefault="006B7788" w:rsidP="006B7788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B7788" w:rsidRDefault="006B7788" w:rsidP="006B7788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TO ARSYE,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RI, GJYKATA, </w:t>
      </w:r>
    </w:p>
    <w:p w:rsidR="00E51FF6" w:rsidRPr="003542C9" w:rsidRDefault="00E51FF6" w:rsidP="006B7788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B7788" w:rsidRDefault="006B7788" w:rsidP="006B778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E deklaron </w:t>
      </w:r>
      <w:r w:rsidRPr="003542C9">
        <w:rPr>
          <w:rFonts w:ascii="Times New Roman" w:hAnsi="Times New Roman"/>
          <w:sz w:val="24"/>
          <w:szCs w:val="24"/>
          <w:lang w:val="sq-AL"/>
        </w:rPr>
        <w:t>ankimin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pranueshëm;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E33375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B7788" w:rsidRPr="003542C9" w:rsidRDefault="006B7788" w:rsidP="006B7788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B7788" w:rsidRPr="003542C9" w:rsidRDefault="006B7788" w:rsidP="006B778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 e Nenit 5 § 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ndalimin e ankuesit nga 24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ntori 2010 deri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12 Mars 2012; </w:t>
      </w:r>
    </w:p>
    <w:p w:rsidR="006B7788" w:rsidRPr="003542C9" w:rsidRDefault="006B7788" w:rsidP="006B7788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6B7788" w:rsidRPr="003542C9" w:rsidRDefault="006B7788" w:rsidP="006B778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 e Nenit 5 § 4 e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s;</w:t>
      </w:r>
    </w:p>
    <w:p w:rsidR="006B7788" w:rsidRPr="003542C9" w:rsidRDefault="006B7788" w:rsidP="006B7788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6B7788" w:rsidRPr="003542C9" w:rsidRDefault="006B7788" w:rsidP="006B778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</w:p>
    <w:p w:rsidR="00265CE6" w:rsidRPr="003542C9" w:rsidRDefault="00E51FF6" w:rsidP="00265CE6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>e Shteti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>s duhet t’i paguaj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 xml:space="preserve"> ankuesit brenda tre muajve nga data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>n vendimi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>het i formës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B7788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përputhje me Nenin 44 §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s, 15,600 euro (pes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dhjet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mij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gja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h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qind euro), plus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do taks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e tarifueshme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min jo monetar, duke i konvertuar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vlerën monetare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Shtetit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n e aplikueshme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n e shlyerjes; </w:t>
      </w:r>
    </w:p>
    <w:p w:rsidR="00265CE6" w:rsidRPr="003542C9" w:rsidRDefault="00E51FF6" w:rsidP="00265CE6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nga përfundimi i tre-mujorit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përmendur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sipër deri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shlyerje, interesi i thjesht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duhet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i pagueshëm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shumat 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sip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rme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barabart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me norm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n marxhinale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huadhënies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s Qendrore Europiane 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periudhës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kamatëvonesës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plus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tre-p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rqind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she; </w:t>
      </w:r>
    </w:p>
    <w:p w:rsidR="00265CE6" w:rsidRPr="003542C9" w:rsidRDefault="00265CE6" w:rsidP="00265CE6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265CE6" w:rsidRPr="003542C9" w:rsidRDefault="00265CE6" w:rsidP="00265CE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i/>
          <w:sz w:val="24"/>
          <w:szCs w:val="24"/>
          <w:lang w:val="sq-AL"/>
        </w:rPr>
        <w:t>Hedh posht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pjes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mbetur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shpërblim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 </w:t>
      </w:r>
    </w:p>
    <w:p w:rsidR="00265CE6" w:rsidRPr="003542C9" w:rsidRDefault="00265CE6" w:rsidP="00265CE6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265CE6" w:rsidRPr="003542C9" w:rsidRDefault="00265CE6" w:rsidP="00265CE6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E përgatitur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anglisht dhe njoftuar me shkrim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28 Prill 2015,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vijim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Rregullit 77 §§ 2 dhe 3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Rregullave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265CE6" w:rsidRPr="003542C9" w:rsidRDefault="00265CE6" w:rsidP="00265CE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55F41" w:rsidRPr="003542C9" w:rsidRDefault="00555F41" w:rsidP="00555F41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B5358" w:rsidRPr="003542C9" w:rsidRDefault="004B5358" w:rsidP="00555F41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>Fatoş Aracı</w:t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</w:r>
      <w:r w:rsidR="00555F41" w:rsidRPr="003542C9">
        <w:rPr>
          <w:rFonts w:ascii="Times New Roman" w:hAnsi="Times New Roman"/>
          <w:sz w:val="24"/>
          <w:szCs w:val="24"/>
          <w:lang w:val="sq-AL"/>
        </w:rPr>
        <w:tab/>
        <w:t>P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>äivi Hirvelä</w:t>
      </w:r>
    </w:p>
    <w:p w:rsidR="00555F41" w:rsidRPr="003542C9" w:rsidRDefault="00555F41" w:rsidP="00555F4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Style w:val="JuJudgesChar"/>
          <w:rFonts w:eastAsia="Calibri"/>
          <w:i/>
          <w:szCs w:val="24"/>
          <w:lang w:val="sq-AL"/>
        </w:rPr>
        <w:t xml:space="preserve">        </w:t>
      </w:r>
      <w:r w:rsidRPr="003542C9">
        <w:rPr>
          <w:rStyle w:val="JuJudgesChar"/>
          <w:rFonts w:eastAsia="Calibri"/>
          <w:szCs w:val="24"/>
          <w:lang w:val="sq-AL"/>
        </w:rPr>
        <w:t>Z</w:t>
      </w:r>
      <w:r w:rsidR="00011DEC" w:rsidRPr="003542C9">
        <w:rPr>
          <w:rStyle w:val="JuJudgesChar"/>
          <w:rFonts w:eastAsia="Calibri"/>
          <w:szCs w:val="24"/>
          <w:lang w:val="sq-AL"/>
        </w:rPr>
        <w:t>ë</w:t>
      </w:r>
      <w:r w:rsidRPr="003542C9">
        <w:rPr>
          <w:rStyle w:val="JuJudgesChar"/>
          <w:rFonts w:eastAsia="Calibri"/>
          <w:szCs w:val="24"/>
          <w:lang w:val="sq-AL"/>
        </w:rPr>
        <w:t>vend</w:t>
      </w:r>
      <w:r w:rsidR="00011DEC" w:rsidRPr="003542C9">
        <w:rPr>
          <w:rStyle w:val="JuJudgesChar"/>
          <w:rFonts w:eastAsia="Calibri"/>
          <w:szCs w:val="24"/>
          <w:lang w:val="sq-AL"/>
        </w:rPr>
        <w:t>ë</w:t>
      </w:r>
      <w:r w:rsidRPr="003542C9">
        <w:rPr>
          <w:rStyle w:val="JuJudgesChar"/>
          <w:rFonts w:eastAsia="Calibri"/>
          <w:szCs w:val="24"/>
          <w:lang w:val="sq-AL"/>
        </w:rPr>
        <w:t>s</w:t>
      </w:r>
      <w:r w:rsidR="006234F1" w:rsidRPr="003542C9">
        <w:rPr>
          <w:rStyle w:val="JuJudgesChar"/>
          <w:rFonts w:eastAsia="Calibri"/>
          <w:szCs w:val="24"/>
          <w:lang w:val="sq-AL"/>
        </w:rPr>
        <w:t xml:space="preserve"> R</w:t>
      </w:r>
      <w:r w:rsidRPr="003542C9">
        <w:rPr>
          <w:rFonts w:ascii="Times New Roman" w:hAnsi="Times New Roman"/>
          <w:sz w:val="24"/>
          <w:szCs w:val="24"/>
          <w:lang w:val="sq-AL"/>
        </w:rPr>
        <w:t>egjistrues</w:t>
      </w:r>
      <w:r w:rsidRPr="003542C9">
        <w:rPr>
          <w:rFonts w:ascii="Times New Roman" w:hAnsi="Times New Roman"/>
          <w:sz w:val="24"/>
          <w:szCs w:val="24"/>
          <w:lang w:val="sq-AL"/>
        </w:rPr>
        <w:tab/>
      </w:r>
      <w:r w:rsidRPr="003542C9">
        <w:rPr>
          <w:rFonts w:ascii="Times New Roman" w:hAnsi="Times New Roman"/>
          <w:sz w:val="24"/>
          <w:szCs w:val="24"/>
          <w:lang w:val="sq-AL"/>
        </w:rPr>
        <w:tab/>
      </w:r>
      <w:r w:rsidRPr="003542C9">
        <w:rPr>
          <w:rFonts w:ascii="Times New Roman" w:hAnsi="Times New Roman"/>
          <w:sz w:val="24"/>
          <w:szCs w:val="24"/>
          <w:lang w:val="sq-AL"/>
        </w:rPr>
        <w:tab/>
      </w:r>
      <w:r w:rsidRPr="003542C9">
        <w:rPr>
          <w:rFonts w:ascii="Times New Roman" w:hAnsi="Times New Roman"/>
          <w:sz w:val="24"/>
          <w:szCs w:val="24"/>
          <w:lang w:val="sq-AL"/>
        </w:rPr>
        <w:tab/>
        <w:t xml:space="preserve">                </w:t>
      </w:r>
      <w:r w:rsidR="00265CE6" w:rsidRPr="003542C9">
        <w:rPr>
          <w:rFonts w:ascii="Times New Roman" w:hAnsi="Times New Roman"/>
          <w:sz w:val="24"/>
          <w:szCs w:val="24"/>
          <w:lang w:val="sq-AL"/>
        </w:rPr>
        <w:t xml:space="preserve">                      </w:t>
      </w:r>
      <w:r w:rsidRPr="003542C9">
        <w:rPr>
          <w:rFonts w:ascii="Times New Roman" w:hAnsi="Times New Roman"/>
          <w:sz w:val="24"/>
          <w:szCs w:val="24"/>
          <w:lang w:val="sq-AL"/>
        </w:rPr>
        <w:t>President</w:t>
      </w:r>
    </w:p>
    <w:p w:rsidR="00265CE6" w:rsidRPr="003542C9" w:rsidRDefault="00265CE6" w:rsidP="00555F4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65CE6" w:rsidRPr="003542C9" w:rsidRDefault="00265CE6" w:rsidP="00555F4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ab/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përputhje me Nenin 45 §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dhe Rregullit 74 §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s, opinionet e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anta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Gjyqtar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ve Mahoney dhe </w:t>
      </w:r>
      <w:r w:rsidR="00E51FF6">
        <w:rPr>
          <w:rFonts w:ascii="Times New Roman" w:hAnsi="Times New Roman"/>
          <w:sz w:val="24"/>
          <w:szCs w:val="24"/>
          <w:lang w:val="sq-AL"/>
        </w:rPr>
        <w:t>W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ojtyczek i janë aneksuar këtij vendimi. </w:t>
      </w:r>
    </w:p>
    <w:p w:rsidR="00265CE6" w:rsidRPr="003542C9" w:rsidRDefault="00265CE6" w:rsidP="00265CE6">
      <w:pPr>
        <w:spacing w:after="0"/>
        <w:jc w:val="right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P.H.</w:t>
      </w:r>
    </w:p>
    <w:p w:rsidR="00265CE6" w:rsidRPr="003542C9" w:rsidRDefault="00265CE6" w:rsidP="00265CE6">
      <w:pPr>
        <w:spacing w:after="0"/>
        <w:jc w:val="right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F.A.</w:t>
      </w:r>
    </w:p>
    <w:p w:rsidR="00265CE6" w:rsidRPr="003542C9" w:rsidRDefault="00265CE6" w:rsidP="00265CE6">
      <w:pPr>
        <w:spacing w:after="0"/>
        <w:jc w:val="right"/>
        <w:rPr>
          <w:rFonts w:ascii="Times New Roman" w:hAnsi="Times New Roman"/>
          <w:sz w:val="24"/>
          <w:szCs w:val="24"/>
          <w:lang w:val="sq-AL"/>
        </w:rPr>
      </w:pPr>
    </w:p>
    <w:p w:rsidR="00265CE6" w:rsidRPr="003542C9" w:rsidRDefault="00265CE6" w:rsidP="00265CE6">
      <w:pPr>
        <w:spacing w:after="0"/>
        <w:jc w:val="right"/>
        <w:rPr>
          <w:rFonts w:ascii="Times New Roman" w:hAnsi="Times New Roman"/>
          <w:sz w:val="24"/>
          <w:szCs w:val="24"/>
          <w:lang w:val="sq-AL"/>
        </w:rPr>
      </w:pPr>
    </w:p>
    <w:p w:rsidR="00265CE6" w:rsidRPr="003542C9" w:rsidRDefault="00265CE6" w:rsidP="00265CE6">
      <w:pPr>
        <w:spacing w:after="0"/>
        <w:jc w:val="right"/>
        <w:rPr>
          <w:rFonts w:ascii="Times New Roman" w:hAnsi="Times New Roman"/>
          <w:sz w:val="24"/>
          <w:szCs w:val="24"/>
          <w:lang w:val="sq-AL"/>
        </w:rPr>
      </w:pPr>
    </w:p>
    <w:p w:rsidR="00265CE6" w:rsidRPr="003542C9" w:rsidRDefault="00265CE6" w:rsidP="00265CE6">
      <w:pPr>
        <w:spacing w:after="0"/>
        <w:jc w:val="right"/>
        <w:rPr>
          <w:rFonts w:ascii="Times New Roman" w:hAnsi="Times New Roman"/>
          <w:sz w:val="24"/>
          <w:szCs w:val="24"/>
          <w:lang w:val="sq-AL"/>
        </w:rPr>
      </w:pP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265CE6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265CE6" w:rsidRPr="003542C9" w:rsidRDefault="00265CE6" w:rsidP="00265CE6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OPINIONI ALTERNATIV 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SIT MAHONEY</w:t>
      </w:r>
    </w:p>
    <w:p w:rsidR="00265CE6" w:rsidRPr="003542C9" w:rsidRDefault="00265CE6" w:rsidP="00265CE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A0BDE" w:rsidRPr="003542C9" w:rsidRDefault="002A0BDE" w:rsidP="00265CE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Edhe pse kam votuar me koleg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 e mi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gjitha pikat e pozicioneve operative, kam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disa vërejtje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 aspekte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arsyetimit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mos shfrytëzim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mjeteve kompensuese vendase. </w:t>
      </w:r>
    </w:p>
    <w:p w:rsidR="002A0BDE" w:rsidRPr="003542C9" w:rsidRDefault="002A0BDE" w:rsidP="002A0BD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A0BDE" w:rsidRPr="003542C9" w:rsidRDefault="002A0BDE" w:rsidP="002A0BD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Kur detyrohet Qeveria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se 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jap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shembuj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r mjetin kompensues tek i cili 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mbështetur</w:t>
      </w:r>
      <w:r w:rsidR="00380520" w:rsidRPr="003542C9">
        <w:rPr>
          <w:rFonts w:ascii="Times New Roman" w:hAnsi="Times New Roman"/>
          <w:b/>
          <w:sz w:val="24"/>
          <w:szCs w:val="24"/>
          <w:lang w:val="sq-AL"/>
        </w:rPr>
        <w:t>, i cili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rdoret n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praktik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? </w:t>
      </w:r>
    </w:p>
    <w:p w:rsidR="002A0BDE" w:rsidRPr="003542C9" w:rsidRDefault="002A0BDE" w:rsidP="002A0BDE">
      <w:pPr>
        <w:tabs>
          <w:tab w:val="left" w:pos="6136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ab/>
      </w:r>
    </w:p>
    <w:p w:rsidR="00380520" w:rsidRPr="003542C9" w:rsidRDefault="002A0BDE" w:rsidP="002A0BD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si </w:t>
      </w:r>
      <w:r w:rsidR="00E51FF6">
        <w:rPr>
          <w:rFonts w:ascii="Times New Roman" w:hAnsi="Times New Roman"/>
          <w:sz w:val="24"/>
          <w:szCs w:val="24"/>
          <w:lang w:val="sq-AL"/>
        </w:rPr>
        <w:t>W</w:t>
      </w:r>
      <w:r w:rsidRPr="003542C9">
        <w:rPr>
          <w:rFonts w:ascii="Times New Roman" w:hAnsi="Times New Roman"/>
          <w:sz w:val="24"/>
          <w:szCs w:val="24"/>
          <w:lang w:val="sq-AL"/>
        </w:rPr>
        <w:t>ojtyczek, edhe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kisha preferuar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 59 i vendimit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shpjegoj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detaje,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parathënie,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përgjithshme 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disa raste Qeveria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detyruar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jap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shembuj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mjetit kompensues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përdorur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, i cili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fakt funksionon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praktik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lidhje me llojin e ankesës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ngritur nga ankuesi, e ndërsa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raste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tjera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e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nuk kërkohet. E ndërsa paragrafi 59 i vendimit menj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her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shkon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r shqyrtimin e qëllimit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mjetit kompensues kushtetues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kërkuar nga Qeveria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se shqiptare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, i mbetet lexuesit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nxjerr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>r veten e tij ose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saj parimet e parashtruara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janë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380520" w:rsidRPr="003542C9">
        <w:rPr>
          <w:rFonts w:ascii="Times New Roman" w:hAnsi="Times New Roman"/>
          <w:sz w:val="24"/>
          <w:szCs w:val="24"/>
          <w:lang w:val="sq-AL"/>
        </w:rPr>
        <w:t xml:space="preserve"> zbatim. </w:t>
      </w:r>
    </w:p>
    <w:p w:rsidR="004C5CDA" w:rsidRPr="003542C9" w:rsidRDefault="00380520" w:rsidP="002A0BD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sa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to parime,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mbështetem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analiz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si </w:t>
      </w:r>
      <w:r w:rsidR="00DB40F9" w:rsidRPr="003542C9">
        <w:rPr>
          <w:rFonts w:ascii="Times New Roman" w:hAnsi="Times New Roman"/>
          <w:sz w:val="24"/>
          <w:szCs w:val="24"/>
          <w:lang w:val="sq-AL"/>
        </w:rPr>
        <w:t>W</w:t>
      </w:r>
      <w:r w:rsidRPr="003542C9">
        <w:rPr>
          <w:rFonts w:ascii="Times New Roman" w:hAnsi="Times New Roman"/>
          <w:sz w:val="24"/>
          <w:szCs w:val="24"/>
          <w:lang w:val="sq-AL"/>
        </w:rPr>
        <w:t>ojtyczek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paragrafin 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opinionit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pajtues: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rastin kur mjeti kompensues i kërkuar nga Qeveria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ka qartazi mundësi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mbuloj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situatën faktike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nga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ofroj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kompensimin e duhur, Qeveria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detyruar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jap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list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shembuj ku mjeti kompensues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përdorur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suksesshme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situat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faktike. Ky nuk ishte rasti i 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shtjes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, gjith</w:t>
      </w:r>
      <w:r w:rsidR="00E51FF6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sesi,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se Neni 131 (f) i Kushtetut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e kufizonte mjetin kompensues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disponuesh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m ndaj shkeljes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s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softHyphen/>
        <w:t xml:space="preserve">proces </w:t>
      </w:r>
      <w:r w:rsidR="001F0B9A" w:rsidRPr="003542C9">
        <w:rPr>
          <w:rFonts w:ascii="Times New Roman" w:hAnsi="Times New Roman"/>
          <w:sz w:val="24"/>
          <w:szCs w:val="24"/>
          <w:u w:val="single"/>
          <w:lang w:val="sq-AL"/>
        </w:rPr>
        <w:t>gjyqësor t</w:t>
      </w:r>
      <w:r w:rsidR="007B39A8" w:rsidRPr="003542C9">
        <w:rPr>
          <w:rFonts w:ascii="Times New Roman" w:hAnsi="Times New Roman"/>
          <w:sz w:val="24"/>
          <w:szCs w:val="24"/>
          <w:u w:val="single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u w:val="single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u w:val="single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dhe nuk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shkonte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tej tek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ankesa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1F0B9A" w:rsidRPr="003542C9">
        <w:rPr>
          <w:rFonts w:ascii="Times New Roman" w:hAnsi="Times New Roman"/>
          <w:sz w:val="24"/>
          <w:szCs w:val="24"/>
          <w:u w:val="single"/>
          <w:lang w:val="sq-AL"/>
        </w:rPr>
        <w:t>privimin e liris</w:t>
      </w:r>
      <w:r w:rsidR="007B39A8" w:rsidRPr="003542C9">
        <w:rPr>
          <w:rFonts w:ascii="Times New Roman" w:hAnsi="Times New Roman"/>
          <w:sz w:val="24"/>
          <w:szCs w:val="24"/>
          <w:u w:val="single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(e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drejta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r liri).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r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arsye, Qeveria shqiptare duhej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sillte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na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>r efikasitetin e mjetit kompensues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referuar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lidhje me ankesën specifike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 ngritur nga ankuesi (privimi i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F0B9A" w:rsidRPr="003542C9">
        <w:rPr>
          <w:rFonts w:ascii="Times New Roman" w:hAnsi="Times New Roman"/>
          <w:sz w:val="24"/>
          <w:szCs w:val="24"/>
          <w:lang w:val="sq-AL"/>
        </w:rPr>
        <w:t xml:space="preserve">); dhe ndërsa ajo nuk e 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ri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, doli detyrimi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konkluduar se ajo nuk kishte kuptuar ekzistencën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mjeti kompensues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disponuesh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adresuar pak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naq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>sin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C5CDA" w:rsidRPr="003542C9">
        <w:rPr>
          <w:rFonts w:ascii="Times New Roman" w:hAnsi="Times New Roman"/>
          <w:sz w:val="24"/>
          <w:szCs w:val="24"/>
          <w:lang w:val="sq-AL"/>
        </w:rPr>
        <w:t xml:space="preserve"> e ankuesit. </w:t>
      </w:r>
    </w:p>
    <w:p w:rsidR="004C5CDA" w:rsidRDefault="004C5CDA" w:rsidP="004C5CDA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4C5CDA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Default="00E33375" w:rsidP="004C5CDA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Pr="003542C9" w:rsidRDefault="00E33375" w:rsidP="004C5CDA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C5CDA" w:rsidRPr="003542C9" w:rsidRDefault="004C5CDA" w:rsidP="004C5CDA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b/>
          <w:sz w:val="24"/>
          <w:szCs w:val="24"/>
          <w:lang w:val="sq-AL"/>
        </w:rPr>
        <w:t>Detyrimi mbi nj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ankues, sipas rregullit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 shfrytëzimin e mjeteve kompensuese vendase,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rkes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>r privimin e pajustifikuar t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b/>
          <w:sz w:val="24"/>
          <w:szCs w:val="24"/>
          <w:lang w:val="sq-AL"/>
        </w:rPr>
        <w:t xml:space="preserve"> liris</w:t>
      </w:r>
      <w:r w:rsidR="007B39A8" w:rsidRPr="003542C9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265CE6" w:rsidRPr="003542C9" w:rsidRDefault="004C5CDA" w:rsidP="004C5CDA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konstatoj se arsyetimi i dh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paragrafin </w:t>
      </w:r>
      <w:r w:rsidR="001F0B9A" w:rsidRPr="003542C9">
        <w:rPr>
          <w:rFonts w:ascii="Times New Roman" w:hAnsi="Times New Roman"/>
          <w:sz w:val="24"/>
          <w:szCs w:val="24"/>
          <w:u w:val="single"/>
          <w:lang w:val="sq-AL"/>
        </w:rPr>
        <w:softHyphen/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i mjaftuesh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rregulluar objektivin paraprak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n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: masa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r kompensim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Nenin 268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Kodit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s Penale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r ef</w:t>
      </w:r>
      <w:r w:rsidR="00AD092A">
        <w:rPr>
          <w:rFonts w:ascii="Times New Roman" w:hAnsi="Times New Roman"/>
          <w:sz w:val="24"/>
          <w:szCs w:val="24"/>
          <w:lang w:val="sq-AL"/>
        </w:rPr>
        <w:t>e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ktshm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e tij varet nga ekzistenca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njohje nga gjykatat vendase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m, 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>shtjen konkrete nuk ka ekzistuar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 njohje e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E39D1"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DA7969" w:rsidRPr="003542C9" w:rsidRDefault="004E39D1" w:rsidP="004C5CDA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Megjithat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</w:t>
      </w:r>
      <w:r w:rsidR="00AD092A">
        <w:rPr>
          <w:rFonts w:ascii="Times New Roman" w:hAnsi="Times New Roman"/>
          <w:sz w:val="24"/>
          <w:szCs w:val="24"/>
          <w:lang w:val="sq-AL"/>
        </w:rPr>
        <w:t>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preferuar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 i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paraprirë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paragrafi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61,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mos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shtetj fare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draft vendimin, sepse sipas meje, arsyetimi i paraqitur atje i nxit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parimin e ndihm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s.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jam 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i </w:t>
      </w:r>
      <w:r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rgjegjs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m se ka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far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shtetje nga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ligjet e nxjerra 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gjat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shtjeve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s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arsyetim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por kjo nuk e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n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me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pak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meta.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mjet kompensimi vendas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ofroj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të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D092A">
        <w:rPr>
          <w:rFonts w:ascii="Times New Roman" w:hAnsi="Times New Roman"/>
          <w:sz w:val="24"/>
          <w:szCs w:val="24"/>
          <w:lang w:val="sq-AL"/>
        </w:rPr>
        <w:t>njëjt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in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kompensim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 privimin e pajustifikuesh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(nj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konstatim i paligjshm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dhe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shp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rblim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 kompensim) si edhe ankimi 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passh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, ky mjet 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zakonisht 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rshtatsh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m vendas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shterohet.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rt, parimi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r mb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shtetje thjesht injorohet. Dhe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>far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DA7969" w:rsidRPr="003542C9">
        <w:rPr>
          <w:rFonts w:ascii="Times New Roman" w:hAnsi="Times New Roman"/>
          <w:sz w:val="24"/>
          <w:szCs w:val="24"/>
          <w:lang w:val="sq-AL"/>
        </w:rPr>
        <w:t xml:space="preserve"> arsye?</w:t>
      </w:r>
    </w:p>
    <w:p w:rsidR="004D309B" w:rsidRPr="003542C9" w:rsidRDefault="004D309B" w:rsidP="004C5CDA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Fakti se sipas paragrafit 61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vendimit, e drejta e dikujt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mos u privuar nga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liria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“n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rputhje me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parashikuar me ligj”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jta si e drejta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r t’u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kompensuar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edhe pse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rtet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disi 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shtjes. Neni 5 parashikon disa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drejta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ndryshme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privimin e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pohuar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paragrafin 1.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ligji vendas nuk materializon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nyr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duhur, si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edhe parashikohet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paragrafin 5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5,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zbatueshme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m,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het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aspekt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mund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merret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kompensim i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Megjithat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se sipas ligjit vendas, </w:t>
      </w:r>
      <w:r w:rsidRPr="003542C9">
        <w:rPr>
          <w:rFonts w:ascii="Times New Roman" w:hAnsi="Times New Roman"/>
          <w:sz w:val="24"/>
          <w:szCs w:val="24"/>
          <w:u w:val="single"/>
          <w:lang w:val="sq-AL"/>
        </w:rPr>
        <w:t xml:space="preserve">ekziston </w:t>
      </w:r>
      <w:r w:rsidRPr="003542C9">
        <w:rPr>
          <w:rFonts w:ascii="Times New Roman" w:hAnsi="Times New Roman"/>
          <w:sz w:val="24"/>
          <w:szCs w:val="24"/>
          <w:lang w:val="sq-AL"/>
        </w:rPr>
        <w:t>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zbatueshme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kompensim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rshtim me paragrafin 1, 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her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ekziston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kompensues vendas i cili fillimisht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shfryt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zohet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ankues. </w:t>
      </w:r>
    </w:p>
    <w:p w:rsidR="00E33375" w:rsidRDefault="004D309B" w:rsidP="004C5CDA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Po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shtu, </w:t>
      </w:r>
      <w:r w:rsidR="00AD092A">
        <w:rPr>
          <w:rFonts w:ascii="Times New Roman" w:hAnsi="Times New Roman"/>
          <w:sz w:val="24"/>
          <w:szCs w:val="24"/>
          <w:lang w:val="sq-AL"/>
        </w:rPr>
        <w:t>fakti</w:t>
      </w:r>
      <w:r w:rsidRPr="003542C9">
        <w:rPr>
          <w:rFonts w:ascii="Times New Roman" w:hAnsi="Times New Roman"/>
          <w:sz w:val="24"/>
          <w:szCs w:val="24"/>
          <w:lang w:val="sq-AL"/>
        </w:rPr>
        <w:t>, i referuar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paragrafin 61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vendimit, se e drejta procedurale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patur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ndalimit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shqyrtuar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ndar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 e drejta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përvetësuar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kompensim 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>r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 xml:space="preserve"> paligjsh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 xml:space="preserve">m,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 xml:space="preserve"> jasht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FB3F0B" w:rsidRPr="003542C9">
        <w:rPr>
          <w:rFonts w:ascii="Times New Roman" w:hAnsi="Times New Roman"/>
          <w:sz w:val="24"/>
          <w:szCs w:val="24"/>
          <w:lang w:val="sq-AL"/>
        </w:rPr>
        <w:t xml:space="preserve"> diskutimit. 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Çdo pamundësi nga ana e sistemit ligjor vendas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siguruar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n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patur ligjshm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e privimit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shqyrtuar nga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objekt i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ankese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ant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bazuar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. Paragrafi 61 i vendimit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rast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duket se ngatërron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shtjen 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shfrytëzimit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mjeteve kompensuese vendase </w:t>
      </w:r>
      <w:r w:rsidR="007E7D7A" w:rsidRPr="003542C9">
        <w:rPr>
          <w:rFonts w:ascii="Times New Roman" w:hAnsi="Times New Roman"/>
          <w:i/>
          <w:sz w:val="24"/>
          <w:szCs w:val="24"/>
          <w:lang w:val="sq-AL"/>
        </w:rPr>
        <w:t>ex-post-facto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7E7D7A" w:rsidRPr="003542C9">
        <w:rPr>
          <w:rFonts w:ascii="Times New Roman" w:hAnsi="Times New Roman"/>
          <w:sz w:val="24"/>
          <w:szCs w:val="24"/>
          <w:lang w:val="sq-AL"/>
        </w:rPr>
        <w:t xml:space="preserve">r </w:t>
      </w:r>
    </w:p>
    <w:p w:rsidR="00E33375" w:rsidRPr="003542C9" w:rsidRDefault="00E33375" w:rsidP="00E33375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E33375">
      <w:pPr>
        <w:spacing w:after="0"/>
        <w:ind w:left="72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E3397B" w:rsidRPr="003542C9" w:rsidRDefault="007E7D7A" w:rsidP="00E3337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ndalimin e paligjshëm me detyrimet e ndara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zbatueshme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Vendet Kontraktuese nga Neni 5 (sipas paragrafëve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3 dhe 4)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ofruar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masash kompensuese bashkëkohore, parandaluese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privimin e liris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kuptoj se si logjikisht, ky parashikim i Nenit 5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drejtash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procedurale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ndryshme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ndonjë incidenc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mbi detyrimin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ankuesi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ushtruar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kompensues efikas, vendas, pasi ka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ndodhur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ngjarja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ndalim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paligjshëm 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–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r aq sa Qeveria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rgjegjegj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se ia ka dal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demonstroj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disponueshm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rin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mjeti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kompensues,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cilin, sipas paragrafit 62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vendimit, ajo nuk e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>ri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E3397B" w:rsidRPr="003542C9">
        <w:rPr>
          <w:rFonts w:ascii="Times New Roman" w:hAnsi="Times New Roman"/>
          <w:sz w:val="24"/>
          <w:szCs w:val="24"/>
          <w:lang w:val="sq-AL"/>
        </w:rPr>
        <w:t xml:space="preserve">shtjen konkrete. </w:t>
      </w:r>
    </w:p>
    <w:p w:rsidR="004E39D1" w:rsidRPr="003542C9" w:rsidRDefault="004E39D1" w:rsidP="00E3397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397B" w:rsidRPr="003542C9" w:rsidRDefault="00E3397B" w:rsidP="00E3397B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OPINIONI ALTERNATIV I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SIT </w:t>
      </w:r>
      <w:r w:rsidR="00DB40F9" w:rsidRPr="003542C9">
        <w:rPr>
          <w:rFonts w:ascii="Times New Roman" w:hAnsi="Times New Roman"/>
          <w:sz w:val="24"/>
          <w:szCs w:val="24"/>
          <w:lang w:val="sq-AL"/>
        </w:rPr>
        <w:t>W</w:t>
      </w:r>
      <w:r w:rsidRPr="003542C9">
        <w:rPr>
          <w:rFonts w:ascii="Times New Roman" w:hAnsi="Times New Roman"/>
          <w:sz w:val="24"/>
          <w:szCs w:val="24"/>
          <w:lang w:val="sq-AL"/>
        </w:rPr>
        <w:t>OJTYCZEK</w:t>
      </w:r>
    </w:p>
    <w:p w:rsidR="00E3397B" w:rsidRPr="003542C9" w:rsidRDefault="00E3397B" w:rsidP="00E3397B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E3397B" w:rsidRPr="003542C9" w:rsidRDefault="00E3397B" w:rsidP="00E3397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jam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dakord</w:t>
      </w:r>
      <w:r w:rsidR="00AD092A">
        <w:rPr>
          <w:rFonts w:ascii="Times New Roman" w:hAnsi="Times New Roman"/>
          <w:sz w:val="24"/>
          <w:szCs w:val="24"/>
          <w:lang w:val="sq-AL"/>
        </w:rPr>
        <w:t xml:space="preserve"> me rezultatin; megjit</w:t>
      </w:r>
      <w:r w:rsidRPr="003542C9">
        <w:rPr>
          <w:rFonts w:ascii="Times New Roman" w:hAnsi="Times New Roman"/>
          <w:sz w:val="24"/>
          <w:szCs w:val="24"/>
          <w:lang w:val="sq-AL"/>
        </w:rPr>
        <w:t>h</w:t>
      </w:r>
      <w:r w:rsidR="00AD092A">
        <w:rPr>
          <w:rFonts w:ascii="Times New Roman" w:hAnsi="Times New Roman"/>
          <w:sz w:val="24"/>
          <w:szCs w:val="24"/>
          <w:lang w:val="sq-AL"/>
        </w:rPr>
        <w:t>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, nuk jam i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bindur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 me disa pjes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 arsyetimit. </w:t>
      </w:r>
    </w:p>
    <w:p w:rsidR="008F4689" w:rsidRPr="003542C9" w:rsidRDefault="008F4689" w:rsidP="008F4689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Mbrojta efikase 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njeriut varet,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 w:rsidR="00AD092A">
        <w:rPr>
          <w:rFonts w:ascii="Times New Roman" w:hAnsi="Times New Roman"/>
          <w:sz w:val="24"/>
          <w:szCs w:val="24"/>
          <w:lang w:val="sq-AL"/>
        </w:rPr>
        <w:t>nga preciz</w:t>
      </w:r>
      <w:r w:rsidRPr="003542C9">
        <w:rPr>
          <w:rFonts w:ascii="Times New Roman" w:hAnsi="Times New Roman"/>
          <w:sz w:val="24"/>
          <w:szCs w:val="24"/>
          <w:lang w:val="sq-AL"/>
        </w:rPr>
        <w:t>ioni dhe qartësia e rregullave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 takon pranueshm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ankesave.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risht e 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sishme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deklarohen rregulla preciz</w:t>
      </w:r>
      <w:r w:rsidR="00AD092A">
        <w:rPr>
          <w:rFonts w:ascii="Times New Roman" w:hAnsi="Times New Roman"/>
          <w:sz w:val="24"/>
          <w:szCs w:val="24"/>
          <w:lang w:val="sq-AL"/>
        </w:rPr>
        <w:t>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përcaktuar pesh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 e provës midis ankuesit dhe Qeveris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shfrytëzimin e mjeteve kompensuese vendase. Sipas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shtrimit tim, pjesa e arsyetimit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 (ve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risht paragraf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 59, 61-62, 81)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A2ECA">
        <w:rPr>
          <w:rFonts w:ascii="Times New Roman" w:hAnsi="Times New Roman"/>
          <w:sz w:val="24"/>
          <w:szCs w:val="24"/>
          <w:lang w:val="sq-AL"/>
        </w:rPr>
        <w:t xml:space="preserve"> ng</w:t>
      </w:r>
      <w:r w:rsidRPr="003542C9">
        <w:rPr>
          <w:rFonts w:ascii="Times New Roman" w:hAnsi="Times New Roman"/>
          <w:sz w:val="24"/>
          <w:szCs w:val="24"/>
          <w:lang w:val="sq-AL"/>
        </w:rPr>
        <w:t>r</w:t>
      </w:r>
      <w:r w:rsidR="004A2ECA">
        <w:rPr>
          <w:rFonts w:ascii="Times New Roman" w:hAnsi="Times New Roman"/>
          <w:sz w:val="24"/>
          <w:szCs w:val="24"/>
          <w:lang w:val="sq-AL"/>
        </w:rPr>
        <w:t>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dyshime,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rregullat e aplikueshëm nuk janë përcaktuar qart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Nuk jam i bindur se lexuesit e vendimit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kuptojnë plotësisht arsyetimin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qasjen e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drejtim. </w:t>
      </w:r>
    </w:p>
    <w:p w:rsidR="008F4689" w:rsidRPr="003542C9" w:rsidRDefault="008F4689" w:rsidP="008F4689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pari, shumica thekson faktin se Qeveria nuk dha shembuj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nxjerra nga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cilat provojnë efikasitetin e mjeteve kompensuese vendase.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Megjithatë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,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qart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far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rrethanash ngrihet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detyrim i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qeveritë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rgjegj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se.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kontekst, ishte e nevojshme dhënia e shpjegimeve mbi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Sipas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shtrimit tim, qeveritë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ofrojnë shembuj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ligjeve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nxjerra nga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 duke provuar kështu efikasitetin e mjetit kompensues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</w:t>
      </w:r>
      <w:r w:rsidRPr="003542C9">
        <w:rPr>
          <w:rFonts w:ascii="Times New Roman" w:hAnsi="Times New Roman"/>
          <w:sz w:val="24"/>
          <w:szCs w:val="24"/>
          <w:lang w:val="sq-AL"/>
        </w:rPr>
        <w:t>anti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rastet kur: </w:t>
      </w:r>
    </w:p>
    <w:p w:rsidR="006960C6" w:rsidRPr="003542C9" w:rsidRDefault="004A2ECA" w:rsidP="008F468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mjeti kompen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>sues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fjalë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60C6" w:rsidRPr="003542C9">
        <w:rPr>
          <w:rFonts w:ascii="Times New Roman" w:hAnsi="Times New Roman"/>
          <w:sz w:val="24"/>
          <w:szCs w:val="24"/>
          <w:lang w:val="sq-AL"/>
        </w:rPr>
        <w:t xml:space="preserve">duket se </w:t>
      </w:r>
      <w:r>
        <w:rPr>
          <w:rFonts w:ascii="Times New Roman" w:hAnsi="Times New Roman"/>
          <w:sz w:val="24"/>
          <w:szCs w:val="24"/>
          <w:lang w:val="sq-AL"/>
        </w:rPr>
        <w:t xml:space="preserve">është </w:t>
      </w:r>
      <w:r w:rsidR="006960C6" w:rsidRPr="003542C9">
        <w:rPr>
          <w:rFonts w:ascii="Times New Roman" w:hAnsi="Times New Roman"/>
          <w:sz w:val="24"/>
          <w:szCs w:val="24"/>
          <w:lang w:val="sq-AL"/>
        </w:rPr>
        <w:t xml:space="preserve">joefikas (ky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960C6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960C6" w:rsidRPr="003542C9">
        <w:rPr>
          <w:rFonts w:ascii="Times New Roman" w:hAnsi="Times New Roman"/>
          <w:sz w:val="24"/>
          <w:szCs w:val="24"/>
          <w:lang w:val="sq-AL"/>
        </w:rPr>
        <w:t xml:space="preserve"> rasti me ankesën kushtetuese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6960C6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6960C6" w:rsidRPr="003542C9">
        <w:rPr>
          <w:rFonts w:ascii="Times New Roman" w:hAnsi="Times New Roman"/>
          <w:sz w:val="24"/>
          <w:szCs w:val="24"/>
          <w:lang w:val="sq-AL"/>
        </w:rPr>
        <w:t>shtjen konkrete); ose</w:t>
      </w:r>
    </w:p>
    <w:p w:rsidR="006960C6" w:rsidRPr="003542C9" w:rsidRDefault="006960C6" w:rsidP="008F468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ankuesi ka ofruar shpjegime bindëse se mjeti kom</w:t>
      </w:r>
      <w:r w:rsidR="004A2ECA">
        <w:rPr>
          <w:rFonts w:ascii="Times New Roman" w:hAnsi="Times New Roman"/>
          <w:sz w:val="24"/>
          <w:szCs w:val="24"/>
          <w:lang w:val="sq-AL"/>
        </w:rPr>
        <w:t>pens</w:t>
      </w:r>
      <w:r w:rsidRPr="003542C9">
        <w:rPr>
          <w:rFonts w:ascii="Times New Roman" w:hAnsi="Times New Roman"/>
          <w:sz w:val="24"/>
          <w:szCs w:val="24"/>
          <w:lang w:val="sq-AL"/>
        </w:rPr>
        <w:t>ues nuk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efikas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rrethanat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specifike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tij ose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saj. </w:t>
      </w:r>
    </w:p>
    <w:p w:rsidR="00E33375" w:rsidRDefault="006960C6" w:rsidP="006960C6">
      <w:pPr>
        <w:spacing w:after="0"/>
        <w:ind w:left="180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dyti, theksi kryesor se nuk ka vendim vendas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njeh ndalimin e ankuesit ishte i paligjshëm. Megjithat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, ajo q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ka lidhje me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shtjen nuk ka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me faktin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ka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njohje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ose jo, por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ankuesi kishte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kompensues vendas me 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fitonte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njohje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Mungesa e </w:t>
      </w: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6960C6">
      <w:pPr>
        <w:spacing w:after="0"/>
        <w:ind w:left="180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960C6" w:rsidRPr="003542C9" w:rsidRDefault="006960C6" w:rsidP="006960C6">
      <w:pPr>
        <w:spacing w:after="0"/>
        <w:ind w:left="180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njohjes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shfajësim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se ankuesi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përdorur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mjet kompensues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siguruar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njohje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til</w:t>
      </w:r>
      <w:r w:rsidR="004A2ECA">
        <w:rPr>
          <w:rFonts w:ascii="Times New Roman" w:hAnsi="Times New Roman"/>
          <w:sz w:val="24"/>
          <w:szCs w:val="24"/>
          <w:lang w:val="sq-AL"/>
        </w:rPr>
        <w:t>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6960C6" w:rsidRPr="003542C9" w:rsidRDefault="006960C6" w:rsidP="006960C6">
      <w:pPr>
        <w:spacing w:after="0"/>
        <w:ind w:left="180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A ka dal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ligji nga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 gjyqësore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 dhe a ka përcaktuar rregulla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përgjithshme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shfrytëzimin e mjeteve kompensuese vendase,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cilat përmbushin standardet e “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udhëzuesve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duhur kundër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arbitrarizmit</w:t>
      </w:r>
      <w:r w:rsidRPr="003542C9">
        <w:rPr>
          <w:rFonts w:ascii="Times New Roman" w:hAnsi="Times New Roman"/>
          <w:sz w:val="24"/>
          <w:szCs w:val="24"/>
          <w:lang w:val="sq-AL"/>
        </w:rPr>
        <w:t>” dhe “cil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ligjit”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përcaktuar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paragrafin 74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vendimit? </w:t>
      </w:r>
    </w:p>
    <w:p w:rsidR="00153463" w:rsidRPr="003542C9" w:rsidRDefault="006960C6" w:rsidP="006960C6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thelbin,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jam dakord se ka patur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Nenit 5 § 1. Gjykatat vendase 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>përcaktuan se afati kohor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>r paraburgimin filloi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13 Mars 2009 dhe përfundoi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përpara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7 Shkurtit 2011 (shiko paragraf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t 25-28).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e qart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se pas afatit kohor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përcaktuar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legjislacionin vendas, ndalimi me paraburgim u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53463" w:rsidRPr="003542C9">
        <w:rPr>
          <w:rFonts w:ascii="Times New Roman" w:hAnsi="Times New Roman"/>
          <w:sz w:val="24"/>
          <w:szCs w:val="24"/>
          <w:lang w:val="sq-AL"/>
        </w:rPr>
        <w:t xml:space="preserve"> i paligjshëm.</w:t>
      </w:r>
    </w:p>
    <w:p w:rsidR="00153463" w:rsidRPr="003542C9" w:rsidRDefault="00153463" w:rsidP="0015346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Shumica konstatoi se legjislacionit shqiptar i mungon qartësia dhe </w:t>
      </w:r>
      <w:r w:rsidR="004A2ECA">
        <w:rPr>
          <w:rFonts w:ascii="Times New Roman" w:hAnsi="Times New Roman"/>
          <w:sz w:val="24"/>
          <w:szCs w:val="24"/>
          <w:lang w:val="sq-AL"/>
        </w:rPr>
        <w:t>parashikueshmë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ria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(paragrafi 74). Kjo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deklaratë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serioze. Un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nuk jam i bindur me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deklaratë</w:t>
      </w:r>
      <w:r w:rsidRPr="003542C9">
        <w:rPr>
          <w:rFonts w:ascii="Times New Roman" w:hAnsi="Times New Roman"/>
          <w:sz w:val="24"/>
          <w:szCs w:val="24"/>
          <w:lang w:val="sq-AL"/>
        </w:rPr>
        <w:t>. Kjo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kërkuar nj</w:t>
      </w:r>
      <w:r w:rsidR="004A2ECA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analiz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4A2ECA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detajuar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përmbajtjes 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ligjit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parimet e interpretimit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njohur nga sistemi ligjor shqiptar. Gjithashtu</w:t>
      </w:r>
      <w:r w:rsidR="004A2ECA">
        <w:rPr>
          <w:rFonts w:ascii="Times New Roman" w:hAnsi="Times New Roman"/>
          <w:sz w:val="24"/>
          <w:szCs w:val="24"/>
          <w:lang w:val="sq-AL"/>
        </w:rPr>
        <w:t>,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kishte kërkuar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vlerësim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detajuar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ligjeve nga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Pr="003542C9">
        <w:rPr>
          <w:rFonts w:ascii="Times New Roman" w:hAnsi="Times New Roman"/>
          <w:sz w:val="24"/>
          <w:szCs w:val="24"/>
          <w:lang w:val="sq-AL"/>
        </w:rPr>
        <w:t>shtjet ligjore dhe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praktik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153463" w:rsidRPr="003542C9" w:rsidRDefault="00153463" w:rsidP="0015346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kontekst, do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doja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ja tre vërejtje. Fillimisht,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parashikim ligjor i cili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interpretohet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 ose 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mënyra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ndryshme nga gjykatat nuk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automatikisht i pap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rputhsh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m me kërkesat e precizonit, qart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sis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dhe parashikueshm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4A2ECA">
        <w:rPr>
          <w:rFonts w:ascii="Times New Roman" w:hAnsi="Times New Roman"/>
          <w:sz w:val="24"/>
          <w:szCs w:val="24"/>
          <w:lang w:val="sq-AL"/>
        </w:rPr>
        <w:t>ri</w:t>
      </w:r>
      <w:r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. Po kështu, fakti se gjykata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ndryshme kishin pikëpamje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ndryshme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lidhje me interpretimin 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njëjtit parashikim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ligjit vendas nuk mund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mjaftoj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kurrë </w:t>
      </w:r>
      <w:r w:rsidRPr="003542C9">
        <w:rPr>
          <w:rFonts w:ascii="Times New Roman" w:hAnsi="Times New Roman"/>
          <w:i/>
          <w:sz w:val="24"/>
          <w:szCs w:val="24"/>
          <w:lang w:val="sq-AL"/>
        </w:rPr>
        <w:t xml:space="preserve">per se </w:t>
      </w:r>
      <w:r w:rsidRPr="003542C9">
        <w:rPr>
          <w:rFonts w:ascii="Times New Roman" w:hAnsi="Times New Roman"/>
          <w:sz w:val="24"/>
          <w:szCs w:val="24"/>
          <w:lang w:val="sq-AL"/>
        </w:rPr>
        <w:t>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r ta skualifikuar nga k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ndv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shtrimi i Konvent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153463" w:rsidRPr="003542C9" w:rsidRDefault="00153463" w:rsidP="0015346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dyti,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person duhet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>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dallimin midis situatave tipike dhe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atyre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e jo tipike mbi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cilat ushtrohen parashikimet ligjore. Un</w:t>
      </w:r>
      <w:r w:rsidR="004A2ECA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re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se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faktet 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çështjes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nuk janë tipike duke qen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se nj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bashkëpandehurit ishte ministër 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Kabineti, i cili duhej provuar nga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Gjykata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e Lart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>. V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>shtir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>sit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interpretative duket se kan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dal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vetëm p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>r shkak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rrethanave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pazakonta t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>çë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shtjes. Fakti se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ligjvënësi</w:t>
      </w:r>
      <w:r w:rsidR="001D4CED" w:rsidRPr="003542C9">
        <w:rPr>
          <w:rFonts w:ascii="Times New Roman" w:hAnsi="Times New Roman"/>
          <w:sz w:val="24"/>
          <w:szCs w:val="24"/>
          <w:lang w:val="sq-AL"/>
        </w:rPr>
        <w:t xml:space="preserve"> nuk mundi 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 xml:space="preserve">të parashikonte të </w:t>
      </w:r>
      <w:r w:rsidR="00ED256C" w:rsidRPr="003542C9">
        <w:rPr>
          <w:rFonts w:ascii="Times New Roman" w:hAnsi="Times New Roman"/>
          <w:sz w:val="24"/>
          <w:szCs w:val="24"/>
          <w:lang w:val="sq-AL"/>
        </w:rPr>
        <w:t>gjitha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 xml:space="preserve"> rrethanat që nuk ishin tipike, sipas së cilave zbatimi i parashikimit ligjor mund të bëhet problematik, nuk e skualifikon </w:t>
      </w:r>
      <w:r w:rsidR="007B39A8" w:rsidRPr="003542C9">
        <w:rPr>
          <w:rFonts w:ascii="Times New Roman" w:hAnsi="Times New Roman"/>
          <w:i/>
          <w:sz w:val="24"/>
          <w:szCs w:val="24"/>
          <w:lang w:val="sq-AL"/>
        </w:rPr>
        <w:t>per se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 xml:space="preserve"> këtë parashikim për mungesë prcizioni dhe qartësie. </w:t>
      </w:r>
    </w:p>
    <w:p w:rsidR="007B39A8" w:rsidRPr="003542C9" w:rsidRDefault="007B39A8" w:rsidP="0015346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>Së treti, në çështjen konkrete, problemet në lidhje me zbatimin e masës së kundërshtuar u zgjidh</w:t>
      </w:r>
      <w:r w:rsidR="004A2ECA">
        <w:rPr>
          <w:rFonts w:ascii="Times New Roman" w:hAnsi="Times New Roman"/>
          <w:sz w:val="24"/>
          <w:szCs w:val="24"/>
          <w:lang w:val="sq-AL"/>
        </w:rPr>
        <w:t>ën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 nga gjykatat vendase. Nuk është demonstruar se ka një rrezik real që vështirësi të tilla inter</w:t>
      </w:r>
      <w:r w:rsidR="004A2ECA">
        <w:rPr>
          <w:rFonts w:ascii="Times New Roman" w:hAnsi="Times New Roman"/>
          <w:sz w:val="24"/>
          <w:szCs w:val="24"/>
          <w:lang w:val="sq-AL"/>
        </w:rPr>
        <w:t>pretative do të vazhdojnë edh</w:t>
      </w:r>
      <w:r w:rsidRPr="003542C9">
        <w:rPr>
          <w:rFonts w:ascii="Times New Roman" w:hAnsi="Times New Roman"/>
          <w:sz w:val="24"/>
          <w:szCs w:val="24"/>
          <w:lang w:val="sq-AL"/>
        </w:rPr>
        <w:t>e</w:t>
      </w:r>
      <w:r w:rsidR="004A2EC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>në</w:t>
      </w:r>
      <w:r w:rsidR="004A2EC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542C9">
        <w:rPr>
          <w:rFonts w:ascii="Times New Roman" w:hAnsi="Times New Roman"/>
          <w:sz w:val="24"/>
          <w:szCs w:val="24"/>
          <w:lang w:val="sq-AL"/>
        </w:rPr>
        <w:t xml:space="preserve">të ardhmen në çështje të ngjashme. </w:t>
      </w:r>
    </w:p>
    <w:p w:rsidR="00E33375" w:rsidRDefault="004A2ECA" w:rsidP="007B39A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Për ta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 xml:space="preserve"> përmbyllur, në momentin kur zbatohen standardet e precizonit, qartësisë dhe parashikueshmërisë së legjislacio</w:t>
      </w:r>
      <w:r>
        <w:rPr>
          <w:rFonts w:ascii="Times New Roman" w:hAnsi="Times New Roman"/>
          <w:sz w:val="24"/>
          <w:szCs w:val="24"/>
          <w:lang w:val="sq-AL"/>
        </w:rPr>
        <w:t>nit, është e nevojshme të merren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 xml:space="preserve"> në konsideratë tiparet e qenësishme të gjuhës ligjore. Më vjen keq që shumica vendosi për standarde të nj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7B39A8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33375" w:rsidRPr="003542C9" w:rsidRDefault="00E33375" w:rsidP="00E33375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3542C9">
        <w:rPr>
          <w:sz w:val="16"/>
          <w:szCs w:val="16"/>
          <w:lang w:val="sq-AL"/>
        </w:rPr>
        <w:lastRenderedPageBreak/>
        <w:t>VENDIMI DELIJORGJI KUNDËR SHQIPËRISË</w:t>
      </w:r>
    </w:p>
    <w:p w:rsidR="00E33375" w:rsidRDefault="00E33375" w:rsidP="007B39A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B39A8" w:rsidRPr="003542C9" w:rsidRDefault="007B39A8" w:rsidP="007B39A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legjislacioni të mirë, i cili duket se shpërfill mësimet e eksperiencës praktike për shkrimin e masave ligjore. </w:t>
      </w:r>
    </w:p>
    <w:p w:rsidR="00E3397B" w:rsidRPr="003542C9" w:rsidRDefault="00153463" w:rsidP="0015346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F4689" w:rsidRPr="003542C9">
        <w:rPr>
          <w:rFonts w:ascii="Times New Roman" w:hAnsi="Times New Roman"/>
          <w:sz w:val="24"/>
          <w:szCs w:val="24"/>
          <w:lang w:val="sq-AL"/>
        </w:rPr>
        <w:t xml:space="preserve"> </w:t>
      </w:r>
    </w:p>
    <w:sectPr w:rsidR="00E3397B" w:rsidRPr="003542C9" w:rsidSect="00F7209D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85" w:rsidRDefault="004D1785" w:rsidP="00681D33">
      <w:pPr>
        <w:spacing w:after="0" w:line="240" w:lineRule="auto"/>
      </w:pPr>
      <w:r>
        <w:separator/>
      </w:r>
    </w:p>
  </w:endnote>
  <w:endnote w:type="continuationSeparator" w:id="0">
    <w:p w:rsidR="004D1785" w:rsidRDefault="004D1785" w:rsidP="0068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C9" w:rsidRDefault="003542C9" w:rsidP="00681D33">
    <w:pPr>
      <w:pStyle w:val="Footer"/>
      <w:pBdr>
        <w:top w:val="single" w:sz="4" w:space="0" w:color="auto"/>
      </w:pBdr>
      <w:spacing w:after="0" w:line="240" w:lineRule="auto"/>
      <w:jc w:val="center"/>
      <w:rPr>
        <w:b/>
        <w:i/>
        <w:color w:val="000080"/>
      </w:rPr>
    </w:pPr>
    <w:r>
      <w:rPr>
        <w:b/>
        <w:i/>
        <w:color w:val="000080"/>
      </w:rPr>
      <w:t>Shërbimi i Përkthimit Zyrtar, Ministria e Drejtësisë, Republika e Shqipërisë</w:t>
    </w:r>
  </w:p>
  <w:p w:rsidR="003542C9" w:rsidRDefault="003542C9" w:rsidP="00681D33">
    <w:pPr>
      <w:pStyle w:val="Footer"/>
      <w:spacing w:after="0" w:line="240" w:lineRule="auto"/>
      <w:jc w:val="center"/>
      <w:rPr>
        <w:b/>
        <w:i/>
        <w:color w:val="000080"/>
      </w:rPr>
    </w:pPr>
    <w:r>
      <w:rPr>
        <w:b/>
        <w:i/>
        <w:color w:val="000080"/>
      </w:rPr>
      <w:t>Service des Traductions Officielles du Ministére de la Justice de la République d’Albanie</w:t>
    </w:r>
  </w:p>
  <w:p w:rsidR="003542C9" w:rsidRDefault="003542C9" w:rsidP="00681D33">
    <w:pPr>
      <w:pStyle w:val="Footer"/>
      <w:spacing w:after="0" w:line="240" w:lineRule="auto"/>
      <w:jc w:val="center"/>
      <w:rPr>
        <w:b/>
        <w:i/>
        <w:color w:val="000080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</w:rPr>
          <w:t>Republic</w:t>
        </w:r>
      </w:smartTag>
      <w:r>
        <w:rPr>
          <w:b/>
          <w:i/>
          <w:color w:val="000080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</w:rPr>
          <w:t>Albania</w:t>
        </w:r>
      </w:smartTag>
    </w:smartTag>
    <w:r>
      <w:rPr>
        <w:b/>
        <w:i/>
        <w:color w:val="000080"/>
      </w:rPr>
      <w:t>, Ministry of Justice, Official Translations Service</w:t>
    </w:r>
  </w:p>
  <w:p w:rsidR="003542C9" w:rsidRDefault="003542C9" w:rsidP="00681D33">
    <w:pPr>
      <w:pStyle w:val="Footer"/>
    </w:pPr>
  </w:p>
  <w:p w:rsidR="003542C9" w:rsidRDefault="00354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85" w:rsidRDefault="004D1785" w:rsidP="00681D33">
      <w:pPr>
        <w:spacing w:after="0" w:line="240" w:lineRule="auto"/>
      </w:pPr>
      <w:r>
        <w:separator/>
      </w:r>
    </w:p>
  </w:footnote>
  <w:footnote w:type="continuationSeparator" w:id="0">
    <w:p w:rsidR="004D1785" w:rsidRDefault="004D1785" w:rsidP="0068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C9" w:rsidRDefault="003542C9" w:rsidP="00681D33">
    <w:pPr>
      <w:pStyle w:val="Header"/>
      <w:pBdr>
        <w:bottom w:val="single" w:sz="4" w:space="1" w:color="auto"/>
      </w:pBdr>
      <w:jc w:val="center"/>
      <w:rPr>
        <w:b/>
        <w:color w:val="000080"/>
      </w:rPr>
    </w:pPr>
    <w:r>
      <w:rPr>
        <w:b/>
        <w:color w:val="000080"/>
      </w:rPr>
      <w:t>PERKTHIM ZYRTAR                    TRADUCTION OFFICIELLE            OFFICIAL TRANSLATION</w:t>
    </w:r>
  </w:p>
  <w:p w:rsidR="003542C9" w:rsidRPr="00F7209D" w:rsidRDefault="003542C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7A"/>
    <w:multiLevelType w:val="hybridMultilevel"/>
    <w:tmpl w:val="E4C6219E"/>
    <w:lvl w:ilvl="0" w:tplc="26C6D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37EFD"/>
    <w:multiLevelType w:val="hybridMultilevel"/>
    <w:tmpl w:val="1090D724"/>
    <w:lvl w:ilvl="0" w:tplc="2EAE4B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654"/>
    <w:multiLevelType w:val="hybridMultilevel"/>
    <w:tmpl w:val="F160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68A"/>
    <w:multiLevelType w:val="hybridMultilevel"/>
    <w:tmpl w:val="3912F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736"/>
    <w:multiLevelType w:val="hybridMultilevel"/>
    <w:tmpl w:val="9FF880C2"/>
    <w:lvl w:ilvl="0" w:tplc="CC266476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ED8"/>
    <w:multiLevelType w:val="hybridMultilevel"/>
    <w:tmpl w:val="908E2AE2"/>
    <w:lvl w:ilvl="0" w:tplc="0C9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43C82"/>
    <w:multiLevelType w:val="hybridMultilevel"/>
    <w:tmpl w:val="8F16A04E"/>
    <w:lvl w:ilvl="0" w:tplc="43D6E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9D0"/>
    <w:multiLevelType w:val="hybridMultilevel"/>
    <w:tmpl w:val="43847B80"/>
    <w:lvl w:ilvl="0" w:tplc="F0E89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6B89"/>
    <w:multiLevelType w:val="hybridMultilevel"/>
    <w:tmpl w:val="358E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0ED8"/>
    <w:multiLevelType w:val="hybridMultilevel"/>
    <w:tmpl w:val="6DD04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9F8"/>
    <w:multiLevelType w:val="hybridMultilevel"/>
    <w:tmpl w:val="B226D6D6"/>
    <w:lvl w:ilvl="0" w:tplc="D1123F6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115511"/>
    <w:multiLevelType w:val="hybridMultilevel"/>
    <w:tmpl w:val="C6EA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406E"/>
    <w:multiLevelType w:val="hybridMultilevel"/>
    <w:tmpl w:val="4CEC536C"/>
    <w:lvl w:ilvl="0" w:tplc="029A4D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FD77DF"/>
    <w:multiLevelType w:val="hybridMultilevel"/>
    <w:tmpl w:val="F39EAB4C"/>
    <w:lvl w:ilvl="0" w:tplc="0D4A1F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23DB6"/>
    <w:multiLevelType w:val="hybridMultilevel"/>
    <w:tmpl w:val="9BA4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838"/>
    <w:multiLevelType w:val="hybridMultilevel"/>
    <w:tmpl w:val="BF6E9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0E3"/>
    <w:multiLevelType w:val="hybridMultilevel"/>
    <w:tmpl w:val="EBC45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42D82"/>
    <w:multiLevelType w:val="hybridMultilevel"/>
    <w:tmpl w:val="F5AECEC4"/>
    <w:lvl w:ilvl="0" w:tplc="28186D7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54384"/>
    <w:multiLevelType w:val="hybridMultilevel"/>
    <w:tmpl w:val="40F4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940E6"/>
    <w:multiLevelType w:val="hybridMultilevel"/>
    <w:tmpl w:val="FC3C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BDD"/>
    <w:multiLevelType w:val="hybridMultilevel"/>
    <w:tmpl w:val="A5F8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0EB3"/>
    <w:multiLevelType w:val="hybridMultilevel"/>
    <w:tmpl w:val="BB984D52"/>
    <w:lvl w:ilvl="0" w:tplc="14FEC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9203E"/>
    <w:multiLevelType w:val="hybridMultilevel"/>
    <w:tmpl w:val="F99EAEBE"/>
    <w:lvl w:ilvl="0" w:tplc="4A306C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97642"/>
    <w:multiLevelType w:val="hybridMultilevel"/>
    <w:tmpl w:val="8732280E"/>
    <w:lvl w:ilvl="0" w:tplc="EC74CB5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00BA3"/>
    <w:multiLevelType w:val="hybridMultilevel"/>
    <w:tmpl w:val="4D0C569A"/>
    <w:lvl w:ilvl="0" w:tplc="0409000F">
      <w:start w:val="7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09EE"/>
    <w:multiLevelType w:val="hybridMultilevel"/>
    <w:tmpl w:val="3698B852"/>
    <w:lvl w:ilvl="0" w:tplc="D0D05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40C2"/>
    <w:multiLevelType w:val="hybridMultilevel"/>
    <w:tmpl w:val="80F0F686"/>
    <w:lvl w:ilvl="0" w:tplc="B61607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39CD"/>
    <w:multiLevelType w:val="hybridMultilevel"/>
    <w:tmpl w:val="98EE5FD0"/>
    <w:lvl w:ilvl="0" w:tplc="6164CF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7C71"/>
    <w:multiLevelType w:val="hybridMultilevel"/>
    <w:tmpl w:val="80C8EBE6"/>
    <w:lvl w:ilvl="0" w:tplc="F69A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94FA9"/>
    <w:multiLevelType w:val="hybridMultilevel"/>
    <w:tmpl w:val="78CE0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44496"/>
    <w:multiLevelType w:val="hybridMultilevel"/>
    <w:tmpl w:val="93441084"/>
    <w:lvl w:ilvl="0" w:tplc="EC2E4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F91C75"/>
    <w:multiLevelType w:val="hybridMultilevel"/>
    <w:tmpl w:val="B4C8CBC4"/>
    <w:lvl w:ilvl="0" w:tplc="ED8EEA8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31"/>
  </w:num>
  <w:num w:numId="5">
    <w:abstractNumId w:val="30"/>
  </w:num>
  <w:num w:numId="6">
    <w:abstractNumId w:val="1"/>
  </w:num>
  <w:num w:numId="7">
    <w:abstractNumId w:val="17"/>
  </w:num>
  <w:num w:numId="8">
    <w:abstractNumId w:val="4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28"/>
  </w:num>
  <w:num w:numId="14">
    <w:abstractNumId w:val="18"/>
  </w:num>
  <w:num w:numId="15">
    <w:abstractNumId w:val="9"/>
  </w:num>
  <w:num w:numId="16">
    <w:abstractNumId w:val="20"/>
  </w:num>
  <w:num w:numId="17">
    <w:abstractNumId w:val="3"/>
  </w:num>
  <w:num w:numId="18">
    <w:abstractNumId w:val="23"/>
  </w:num>
  <w:num w:numId="19">
    <w:abstractNumId w:val="26"/>
  </w:num>
  <w:num w:numId="20">
    <w:abstractNumId w:val="2"/>
  </w:num>
  <w:num w:numId="21">
    <w:abstractNumId w:val="16"/>
  </w:num>
  <w:num w:numId="22">
    <w:abstractNumId w:val="15"/>
  </w:num>
  <w:num w:numId="23">
    <w:abstractNumId w:val="5"/>
  </w:num>
  <w:num w:numId="24">
    <w:abstractNumId w:val="24"/>
  </w:num>
  <w:num w:numId="25">
    <w:abstractNumId w:val="19"/>
  </w:num>
  <w:num w:numId="26">
    <w:abstractNumId w:val="29"/>
  </w:num>
  <w:num w:numId="27">
    <w:abstractNumId w:val="8"/>
  </w:num>
  <w:num w:numId="28">
    <w:abstractNumId w:val="21"/>
  </w:num>
  <w:num w:numId="29">
    <w:abstractNumId w:val="27"/>
  </w:num>
  <w:num w:numId="30">
    <w:abstractNumId w:val="11"/>
  </w:num>
  <w:num w:numId="31">
    <w:abstractNumId w:val="7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6B"/>
    <w:rsid w:val="00007B9F"/>
    <w:rsid w:val="00011DEC"/>
    <w:rsid w:val="00013BAA"/>
    <w:rsid w:val="00015E79"/>
    <w:rsid w:val="00025800"/>
    <w:rsid w:val="00037FCE"/>
    <w:rsid w:val="000414E2"/>
    <w:rsid w:val="0005468B"/>
    <w:rsid w:val="00056536"/>
    <w:rsid w:val="0005769D"/>
    <w:rsid w:val="00067EE2"/>
    <w:rsid w:val="000753B5"/>
    <w:rsid w:val="00076853"/>
    <w:rsid w:val="00076931"/>
    <w:rsid w:val="00076F41"/>
    <w:rsid w:val="00080A34"/>
    <w:rsid w:val="000832E0"/>
    <w:rsid w:val="000907F3"/>
    <w:rsid w:val="00097FA2"/>
    <w:rsid w:val="000A0FA7"/>
    <w:rsid w:val="000A3285"/>
    <w:rsid w:val="000A3F5C"/>
    <w:rsid w:val="000A4C0F"/>
    <w:rsid w:val="000A5B39"/>
    <w:rsid w:val="000A6AC8"/>
    <w:rsid w:val="000B2433"/>
    <w:rsid w:val="000C2D10"/>
    <w:rsid w:val="000C4106"/>
    <w:rsid w:val="000C44CD"/>
    <w:rsid w:val="000C613A"/>
    <w:rsid w:val="000C6D6D"/>
    <w:rsid w:val="000D0BAA"/>
    <w:rsid w:val="000D3482"/>
    <w:rsid w:val="000E24A2"/>
    <w:rsid w:val="000E25AA"/>
    <w:rsid w:val="000F6BA1"/>
    <w:rsid w:val="000F7A4C"/>
    <w:rsid w:val="00103DA1"/>
    <w:rsid w:val="001149D0"/>
    <w:rsid w:val="0011563C"/>
    <w:rsid w:val="00116D1D"/>
    <w:rsid w:val="00117962"/>
    <w:rsid w:val="00117E18"/>
    <w:rsid w:val="0012766C"/>
    <w:rsid w:val="00131D65"/>
    <w:rsid w:val="00131F8C"/>
    <w:rsid w:val="0013268F"/>
    <w:rsid w:val="00132E3B"/>
    <w:rsid w:val="001330EA"/>
    <w:rsid w:val="00136839"/>
    <w:rsid w:val="00137011"/>
    <w:rsid w:val="00146147"/>
    <w:rsid w:val="00150A1D"/>
    <w:rsid w:val="00150B92"/>
    <w:rsid w:val="00151288"/>
    <w:rsid w:val="00153463"/>
    <w:rsid w:val="00154DDA"/>
    <w:rsid w:val="00156D33"/>
    <w:rsid w:val="00157366"/>
    <w:rsid w:val="0016050B"/>
    <w:rsid w:val="001638F7"/>
    <w:rsid w:val="001879B5"/>
    <w:rsid w:val="00190618"/>
    <w:rsid w:val="00192220"/>
    <w:rsid w:val="00196C4E"/>
    <w:rsid w:val="001A10B6"/>
    <w:rsid w:val="001A5E9B"/>
    <w:rsid w:val="001B041B"/>
    <w:rsid w:val="001B1A1B"/>
    <w:rsid w:val="001B3182"/>
    <w:rsid w:val="001B6068"/>
    <w:rsid w:val="001C3953"/>
    <w:rsid w:val="001C4C76"/>
    <w:rsid w:val="001C54C6"/>
    <w:rsid w:val="001D035A"/>
    <w:rsid w:val="001D10DD"/>
    <w:rsid w:val="001D22B1"/>
    <w:rsid w:val="001D4CED"/>
    <w:rsid w:val="001D5DD6"/>
    <w:rsid w:val="001D6EC8"/>
    <w:rsid w:val="001E00E4"/>
    <w:rsid w:val="001E1C31"/>
    <w:rsid w:val="001E22DC"/>
    <w:rsid w:val="001F073B"/>
    <w:rsid w:val="001F0B9A"/>
    <w:rsid w:val="001F22C0"/>
    <w:rsid w:val="001F294B"/>
    <w:rsid w:val="001F2B45"/>
    <w:rsid w:val="001F34E0"/>
    <w:rsid w:val="001F5656"/>
    <w:rsid w:val="002045F8"/>
    <w:rsid w:val="002061D4"/>
    <w:rsid w:val="002069DA"/>
    <w:rsid w:val="002074E3"/>
    <w:rsid w:val="00207E50"/>
    <w:rsid w:val="002126AF"/>
    <w:rsid w:val="00212CB7"/>
    <w:rsid w:val="00222DE5"/>
    <w:rsid w:val="00223840"/>
    <w:rsid w:val="00227922"/>
    <w:rsid w:val="00227D07"/>
    <w:rsid w:val="00235248"/>
    <w:rsid w:val="00241A7B"/>
    <w:rsid w:val="00242A68"/>
    <w:rsid w:val="002431C7"/>
    <w:rsid w:val="0026151D"/>
    <w:rsid w:val="0026196A"/>
    <w:rsid w:val="00262BDB"/>
    <w:rsid w:val="002647D9"/>
    <w:rsid w:val="00265CE6"/>
    <w:rsid w:val="002660D6"/>
    <w:rsid w:val="00267E48"/>
    <w:rsid w:val="0028135C"/>
    <w:rsid w:val="00284B27"/>
    <w:rsid w:val="00291F10"/>
    <w:rsid w:val="0029548F"/>
    <w:rsid w:val="002A0BDE"/>
    <w:rsid w:val="002A1B0D"/>
    <w:rsid w:val="002B2D86"/>
    <w:rsid w:val="002B3B69"/>
    <w:rsid w:val="002B5E54"/>
    <w:rsid w:val="002C169C"/>
    <w:rsid w:val="002C2F73"/>
    <w:rsid w:val="002C39A6"/>
    <w:rsid w:val="002C7202"/>
    <w:rsid w:val="002D0239"/>
    <w:rsid w:val="002D2003"/>
    <w:rsid w:val="002D2349"/>
    <w:rsid w:val="002E0BFB"/>
    <w:rsid w:val="002E1F31"/>
    <w:rsid w:val="002E5743"/>
    <w:rsid w:val="002E7392"/>
    <w:rsid w:val="002F064C"/>
    <w:rsid w:val="002F42ED"/>
    <w:rsid w:val="002F6DC6"/>
    <w:rsid w:val="002F736E"/>
    <w:rsid w:val="002F7A45"/>
    <w:rsid w:val="00300971"/>
    <w:rsid w:val="003051D8"/>
    <w:rsid w:val="00305408"/>
    <w:rsid w:val="00305C57"/>
    <w:rsid w:val="00311E3E"/>
    <w:rsid w:val="00316AC2"/>
    <w:rsid w:val="00316DFA"/>
    <w:rsid w:val="00321ED4"/>
    <w:rsid w:val="003254E5"/>
    <w:rsid w:val="003264BC"/>
    <w:rsid w:val="003454F2"/>
    <w:rsid w:val="00345CBF"/>
    <w:rsid w:val="00346B6A"/>
    <w:rsid w:val="00347959"/>
    <w:rsid w:val="003542C9"/>
    <w:rsid w:val="003572B8"/>
    <w:rsid w:val="003601C1"/>
    <w:rsid w:val="0036080C"/>
    <w:rsid w:val="00360E89"/>
    <w:rsid w:val="003639FB"/>
    <w:rsid w:val="00365C0C"/>
    <w:rsid w:val="00367E66"/>
    <w:rsid w:val="00370DC6"/>
    <w:rsid w:val="00373ED0"/>
    <w:rsid w:val="0037650D"/>
    <w:rsid w:val="0037731D"/>
    <w:rsid w:val="00380520"/>
    <w:rsid w:val="003817D3"/>
    <w:rsid w:val="003864E4"/>
    <w:rsid w:val="003873D5"/>
    <w:rsid w:val="00394F3C"/>
    <w:rsid w:val="003961CF"/>
    <w:rsid w:val="003A2F31"/>
    <w:rsid w:val="003A50CF"/>
    <w:rsid w:val="003A5E02"/>
    <w:rsid w:val="003B210F"/>
    <w:rsid w:val="003B52E3"/>
    <w:rsid w:val="003B7267"/>
    <w:rsid w:val="003C2497"/>
    <w:rsid w:val="003C50C5"/>
    <w:rsid w:val="003D23AE"/>
    <w:rsid w:val="003D4DD8"/>
    <w:rsid w:val="003D7A3C"/>
    <w:rsid w:val="003E17EE"/>
    <w:rsid w:val="003E1B9D"/>
    <w:rsid w:val="003E7185"/>
    <w:rsid w:val="003E72E3"/>
    <w:rsid w:val="003F0372"/>
    <w:rsid w:val="003F2490"/>
    <w:rsid w:val="003F3F3F"/>
    <w:rsid w:val="003F4569"/>
    <w:rsid w:val="003F519C"/>
    <w:rsid w:val="003F5386"/>
    <w:rsid w:val="003F669C"/>
    <w:rsid w:val="003F7723"/>
    <w:rsid w:val="003F7CC7"/>
    <w:rsid w:val="00404058"/>
    <w:rsid w:val="004119E2"/>
    <w:rsid w:val="00411BB7"/>
    <w:rsid w:val="00417244"/>
    <w:rsid w:val="00417247"/>
    <w:rsid w:val="004203CF"/>
    <w:rsid w:val="0042244A"/>
    <w:rsid w:val="00426DF6"/>
    <w:rsid w:val="00433AF7"/>
    <w:rsid w:val="00440171"/>
    <w:rsid w:val="004422A2"/>
    <w:rsid w:val="00443F0F"/>
    <w:rsid w:val="0045245F"/>
    <w:rsid w:val="004534C8"/>
    <w:rsid w:val="00454DA3"/>
    <w:rsid w:val="00455625"/>
    <w:rsid w:val="00456226"/>
    <w:rsid w:val="00456A2E"/>
    <w:rsid w:val="00457BAA"/>
    <w:rsid w:val="004627B6"/>
    <w:rsid w:val="00470105"/>
    <w:rsid w:val="00474DEB"/>
    <w:rsid w:val="00475B60"/>
    <w:rsid w:val="00476ACD"/>
    <w:rsid w:val="00477C01"/>
    <w:rsid w:val="004803B5"/>
    <w:rsid w:val="00480441"/>
    <w:rsid w:val="00482048"/>
    <w:rsid w:val="00482C66"/>
    <w:rsid w:val="00484B29"/>
    <w:rsid w:val="00485A6B"/>
    <w:rsid w:val="00486BB3"/>
    <w:rsid w:val="0048714D"/>
    <w:rsid w:val="004A0667"/>
    <w:rsid w:val="004A2ECA"/>
    <w:rsid w:val="004A486A"/>
    <w:rsid w:val="004A7588"/>
    <w:rsid w:val="004B0A32"/>
    <w:rsid w:val="004B2024"/>
    <w:rsid w:val="004B5358"/>
    <w:rsid w:val="004B5742"/>
    <w:rsid w:val="004C1636"/>
    <w:rsid w:val="004C5CDA"/>
    <w:rsid w:val="004D1785"/>
    <w:rsid w:val="004D309B"/>
    <w:rsid w:val="004D440D"/>
    <w:rsid w:val="004E296B"/>
    <w:rsid w:val="004E297F"/>
    <w:rsid w:val="004E39D1"/>
    <w:rsid w:val="004E4663"/>
    <w:rsid w:val="004E5B59"/>
    <w:rsid w:val="004E5C95"/>
    <w:rsid w:val="004F4B60"/>
    <w:rsid w:val="004F5427"/>
    <w:rsid w:val="004F775C"/>
    <w:rsid w:val="00501AEF"/>
    <w:rsid w:val="00512346"/>
    <w:rsid w:val="00513ECF"/>
    <w:rsid w:val="00515273"/>
    <w:rsid w:val="005177F6"/>
    <w:rsid w:val="00520C6E"/>
    <w:rsid w:val="00525DA7"/>
    <w:rsid w:val="00531F57"/>
    <w:rsid w:val="00534918"/>
    <w:rsid w:val="005378D2"/>
    <w:rsid w:val="00541478"/>
    <w:rsid w:val="00546B6F"/>
    <w:rsid w:val="005476FE"/>
    <w:rsid w:val="00553B00"/>
    <w:rsid w:val="00555F41"/>
    <w:rsid w:val="00556230"/>
    <w:rsid w:val="00556995"/>
    <w:rsid w:val="005608D6"/>
    <w:rsid w:val="00572888"/>
    <w:rsid w:val="00581B11"/>
    <w:rsid w:val="00581D05"/>
    <w:rsid w:val="00583DAB"/>
    <w:rsid w:val="0059346B"/>
    <w:rsid w:val="005958B4"/>
    <w:rsid w:val="00596618"/>
    <w:rsid w:val="005A06A3"/>
    <w:rsid w:val="005A272A"/>
    <w:rsid w:val="005A293F"/>
    <w:rsid w:val="005A3035"/>
    <w:rsid w:val="005A7B43"/>
    <w:rsid w:val="005B30DE"/>
    <w:rsid w:val="005C27AB"/>
    <w:rsid w:val="005D2244"/>
    <w:rsid w:val="005D25F5"/>
    <w:rsid w:val="005D38E9"/>
    <w:rsid w:val="005D7022"/>
    <w:rsid w:val="005E1D02"/>
    <w:rsid w:val="005E1EEE"/>
    <w:rsid w:val="005F593E"/>
    <w:rsid w:val="00600894"/>
    <w:rsid w:val="006019C2"/>
    <w:rsid w:val="00606942"/>
    <w:rsid w:val="006121D5"/>
    <w:rsid w:val="006159AD"/>
    <w:rsid w:val="006234F1"/>
    <w:rsid w:val="00626986"/>
    <w:rsid w:val="00634156"/>
    <w:rsid w:val="0063619F"/>
    <w:rsid w:val="006368C5"/>
    <w:rsid w:val="00637FAA"/>
    <w:rsid w:val="00641369"/>
    <w:rsid w:val="0064257A"/>
    <w:rsid w:val="00643051"/>
    <w:rsid w:val="00646FC4"/>
    <w:rsid w:val="00651211"/>
    <w:rsid w:val="006515C6"/>
    <w:rsid w:val="00653520"/>
    <w:rsid w:val="00653897"/>
    <w:rsid w:val="006623A5"/>
    <w:rsid w:val="0066660F"/>
    <w:rsid w:val="0067339D"/>
    <w:rsid w:val="00675591"/>
    <w:rsid w:val="00681D33"/>
    <w:rsid w:val="00684E0F"/>
    <w:rsid w:val="006861E0"/>
    <w:rsid w:val="00687955"/>
    <w:rsid w:val="00690798"/>
    <w:rsid w:val="00692581"/>
    <w:rsid w:val="006960C6"/>
    <w:rsid w:val="006A272E"/>
    <w:rsid w:val="006A2E5B"/>
    <w:rsid w:val="006A56A0"/>
    <w:rsid w:val="006A5982"/>
    <w:rsid w:val="006B6FAF"/>
    <w:rsid w:val="006B7788"/>
    <w:rsid w:val="006C0DF0"/>
    <w:rsid w:val="006D0696"/>
    <w:rsid w:val="006D5466"/>
    <w:rsid w:val="006D7580"/>
    <w:rsid w:val="006F1273"/>
    <w:rsid w:val="006F3110"/>
    <w:rsid w:val="006F4055"/>
    <w:rsid w:val="006F5EBA"/>
    <w:rsid w:val="00703127"/>
    <w:rsid w:val="00706844"/>
    <w:rsid w:val="00707571"/>
    <w:rsid w:val="007079FF"/>
    <w:rsid w:val="0071347C"/>
    <w:rsid w:val="00713EFE"/>
    <w:rsid w:val="00716EC3"/>
    <w:rsid w:val="00723529"/>
    <w:rsid w:val="0072372E"/>
    <w:rsid w:val="007240A0"/>
    <w:rsid w:val="00724C20"/>
    <w:rsid w:val="007308AA"/>
    <w:rsid w:val="007324BC"/>
    <w:rsid w:val="00740D2E"/>
    <w:rsid w:val="00741DDE"/>
    <w:rsid w:val="00743227"/>
    <w:rsid w:val="00744619"/>
    <w:rsid w:val="00746087"/>
    <w:rsid w:val="00746A81"/>
    <w:rsid w:val="00746BD8"/>
    <w:rsid w:val="00751292"/>
    <w:rsid w:val="0075518F"/>
    <w:rsid w:val="00760705"/>
    <w:rsid w:val="0076671D"/>
    <w:rsid w:val="00766F9A"/>
    <w:rsid w:val="00767125"/>
    <w:rsid w:val="00770DD4"/>
    <w:rsid w:val="0077150D"/>
    <w:rsid w:val="0077359C"/>
    <w:rsid w:val="00781020"/>
    <w:rsid w:val="00783C18"/>
    <w:rsid w:val="0078546C"/>
    <w:rsid w:val="007856C1"/>
    <w:rsid w:val="007858CA"/>
    <w:rsid w:val="00790985"/>
    <w:rsid w:val="00795B15"/>
    <w:rsid w:val="007975CD"/>
    <w:rsid w:val="007A494B"/>
    <w:rsid w:val="007A5212"/>
    <w:rsid w:val="007A595D"/>
    <w:rsid w:val="007B317C"/>
    <w:rsid w:val="007B39A8"/>
    <w:rsid w:val="007B44C7"/>
    <w:rsid w:val="007B6BB9"/>
    <w:rsid w:val="007B7B67"/>
    <w:rsid w:val="007C2D2C"/>
    <w:rsid w:val="007C2D91"/>
    <w:rsid w:val="007C42FA"/>
    <w:rsid w:val="007C70BF"/>
    <w:rsid w:val="007D0735"/>
    <w:rsid w:val="007D76C6"/>
    <w:rsid w:val="007D7CA3"/>
    <w:rsid w:val="007E271D"/>
    <w:rsid w:val="007E5D40"/>
    <w:rsid w:val="007E64CE"/>
    <w:rsid w:val="007E7D7A"/>
    <w:rsid w:val="007F31D3"/>
    <w:rsid w:val="007F4069"/>
    <w:rsid w:val="007F5721"/>
    <w:rsid w:val="007F5FDE"/>
    <w:rsid w:val="00803B1F"/>
    <w:rsid w:val="00805CF4"/>
    <w:rsid w:val="00805DAF"/>
    <w:rsid w:val="00810F0B"/>
    <w:rsid w:val="008126A6"/>
    <w:rsid w:val="008131E4"/>
    <w:rsid w:val="00815053"/>
    <w:rsid w:val="008160F5"/>
    <w:rsid w:val="0082033F"/>
    <w:rsid w:val="0082128D"/>
    <w:rsid w:val="0082371D"/>
    <w:rsid w:val="00823D3C"/>
    <w:rsid w:val="008241DC"/>
    <w:rsid w:val="00824626"/>
    <w:rsid w:val="008269CC"/>
    <w:rsid w:val="00831415"/>
    <w:rsid w:val="00833479"/>
    <w:rsid w:val="008418B7"/>
    <w:rsid w:val="00843BA7"/>
    <w:rsid w:val="00844979"/>
    <w:rsid w:val="008472AD"/>
    <w:rsid w:val="00872C55"/>
    <w:rsid w:val="00881FB8"/>
    <w:rsid w:val="008845B6"/>
    <w:rsid w:val="00886F93"/>
    <w:rsid w:val="0089064C"/>
    <w:rsid w:val="00891A52"/>
    <w:rsid w:val="008A0414"/>
    <w:rsid w:val="008A21C3"/>
    <w:rsid w:val="008A2A63"/>
    <w:rsid w:val="008A43E7"/>
    <w:rsid w:val="008A61D8"/>
    <w:rsid w:val="008A6838"/>
    <w:rsid w:val="008B7AC2"/>
    <w:rsid w:val="008C236E"/>
    <w:rsid w:val="008D1040"/>
    <w:rsid w:val="008D1BDF"/>
    <w:rsid w:val="008D49F9"/>
    <w:rsid w:val="008D66FA"/>
    <w:rsid w:val="008E4A37"/>
    <w:rsid w:val="008E6D05"/>
    <w:rsid w:val="008F4689"/>
    <w:rsid w:val="008F70EA"/>
    <w:rsid w:val="009072BD"/>
    <w:rsid w:val="00911CAD"/>
    <w:rsid w:val="00911D9B"/>
    <w:rsid w:val="00916195"/>
    <w:rsid w:val="00917976"/>
    <w:rsid w:val="0092055D"/>
    <w:rsid w:val="00920D95"/>
    <w:rsid w:val="009212B4"/>
    <w:rsid w:val="009275C6"/>
    <w:rsid w:val="00933D03"/>
    <w:rsid w:val="00934255"/>
    <w:rsid w:val="0093657D"/>
    <w:rsid w:val="00940AA3"/>
    <w:rsid w:val="00940E96"/>
    <w:rsid w:val="00941368"/>
    <w:rsid w:val="009435B5"/>
    <w:rsid w:val="00943B38"/>
    <w:rsid w:val="00946273"/>
    <w:rsid w:val="00947B0F"/>
    <w:rsid w:val="00954CA4"/>
    <w:rsid w:val="00955224"/>
    <w:rsid w:val="009604FA"/>
    <w:rsid w:val="00961BA4"/>
    <w:rsid w:val="0097241B"/>
    <w:rsid w:val="00973E1C"/>
    <w:rsid w:val="00975FF4"/>
    <w:rsid w:val="00977759"/>
    <w:rsid w:val="00977F75"/>
    <w:rsid w:val="00980167"/>
    <w:rsid w:val="009911A9"/>
    <w:rsid w:val="00992E61"/>
    <w:rsid w:val="009A2322"/>
    <w:rsid w:val="009A6386"/>
    <w:rsid w:val="009B0D53"/>
    <w:rsid w:val="009B665B"/>
    <w:rsid w:val="009B764D"/>
    <w:rsid w:val="009C0FE0"/>
    <w:rsid w:val="009C1640"/>
    <w:rsid w:val="009C3C43"/>
    <w:rsid w:val="009C59D1"/>
    <w:rsid w:val="009C6B5B"/>
    <w:rsid w:val="009E4731"/>
    <w:rsid w:val="009E6CFA"/>
    <w:rsid w:val="009F0532"/>
    <w:rsid w:val="009F7D0C"/>
    <w:rsid w:val="00A0295A"/>
    <w:rsid w:val="00A054DC"/>
    <w:rsid w:val="00A1004E"/>
    <w:rsid w:val="00A14687"/>
    <w:rsid w:val="00A150D8"/>
    <w:rsid w:val="00A207A2"/>
    <w:rsid w:val="00A26083"/>
    <w:rsid w:val="00A354BF"/>
    <w:rsid w:val="00A3669A"/>
    <w:rsid w:val="00A50096"/>
    <w:rsid w:val="00A52D5C"/>
    <w:rsid w:val="00A53D35"/>
    <w:rsid w:val="00A61715"/>
    <w:rsid w:val="00A62DDB"/>
    <w:rsid w:val="00A7071E"/>
    <w:rsid w:val="00A735BC"/>
    <w:rsid w:val="00A87C51"/>
    <w:rsid w:val="00A87E9E"/>
    <w:rsid w:val="00A91921"/>
    <w:rsid w:val="00A93595"/>
    <w:rsid w:val="00AA6197"/>
    <w:rsid w:val="00AA6BD8"/>
    <w:rsid w:val="00AB1788"/>
    <w:rsid w:val="00AB70A6"/>
    <w:rsid w:val="00AC4666"/>
    <w:rsid w:val="00AC78F8"/>
    <w:rsid w:val="00AD092A"/>
    <w:rsid w:val="00AD570A"/>
    <w:rsid w:val="00AE0714"/>
    <w:rsid w:val="00AE4148"/>
    <w:rsid w:val="00AE4684"/>
    <w:rsid w:val="00AE4E47"/>
    <w:rsid w:val="00AE6AD5"/>
    <w:rsid w:val="00AF14A2"/>
    <w:rsid w:val="00AF1CC4"/>
    <w:rsid w:val="00B01B72"/>
    <w:rsid w:val="00B1523E"/>
    <w:rsid w:val="00B2086A"/>
    <w:rsid w:val="00B25413"/>
    <w:rsid w:val="00B26F6E"/>
    <w:rsid w:val="00B31229"/>
    <w:rsid w:val="00B459E3"/>
    <w:rsid w:val="00B50ED9"/>
    <w:rsid w:val="00B5373A"/>
    <w:rsid w:val="00B60BB8"/>
    <w:rsid w:val="00B6152F"/>
    <w:rsid w:val="00B659B9"/>
    <w:rsid w:val="00B65DD5"/>
    <w:rsid w:val="00B71389"/>
    <w:rsid w:val="00B73FD1"/>
    <w:rsid w:val="00B74E5E"/>
    <w:rsid w:val="00B7732E"/>
    <w:rsid w:val="00B85D54"/>
    <w:rsid w:val="00B86BF1"/>
    <w:rsid w:val="00B92E17"/>
    <w:rsid w:val="00B933CC"/>
    <w:rsid w:val="00B96552"/>
    <w:rsid w:val="00B97383"/>
    <w:rsid w:val="00BA002C"/>
    <w:rsid w:val="00BA6CED"/>
    <w:rsid w:val="00BA785E"/>
    <w:rsid w:val="00BB0D80"/>
    <w:rsid w:val="00BB2B1C"/>
    <w:rsid w:val="00BB4A95"/>
    <w:rsid w:val="00BB5A84"/>
    <w:rsid w:val="00BB637D"/>
    <w:rsid w:val="00BC0CD3"/>
    <w:rsid w:val="00BC0D9F"/>
    <w:rsid w:val="00BC1CDE"/>
    <w:rsid w:val="00BC281D"/>
    <w:rsid w:val="00BC5F59"/>
    <w:rsid w:val="00BD0C0A"/>
    <w:rsid w:val="00BD3030"/>
    <w:rsid w:val="00BD3113"/>
    <w:rsid w:val="00BD6FBC"/>
    <w:rsid w:val="00BE3A70"/>
    <w:rsid w:val="00BE73EC"/>
    <w:rsid w:val="00BF26B4"/>
    <w:rsid w:val="00BF2DCF"/>
    <w:rsid w:val="00BF5AB8"/>
    <w:rsid w:val="00BF5B60"/>
    <w:rsid w:val="00C01D18"/>
    <w:rsid w:val="00C026F9"/>
    <w:rsid w:val="00C057A8"/>
    <w:rsid w:val="00C062FD"/>
    <w:rsid w:val="00C067A2"/>
    <w:rsid w:val="00C12B0C"/>
    <w:rsid w:val="00C139D0"/>
    <w:rsid w:val="00C1497B"/>
    <w:rsid w:val="00C14C1B"/>
    <w:rsid w:val="00C14CBF"/>
    <w:rsid w:val="00C205FA"/>
    <w:rsid w:val="00C21DEF"/>
    <w:rsid w:val="00C23654"/>
    <w:rsid w:val="00C23710"/>
    <w:rsid w:val="00C23A21"/>
    <w:rsid w:val="00C264FD"/>
    <w:rsid w:val="00C40CF7"/>
    <w:rsid w:val="00C44879"/>
    <w:rsid w:val="00C44931"/>
    <w:rsid w:val="00C50F51"/>
    <w:rsid w:val="00C51072"/>
    <w:rsid w:val="00C60073"/>
    <w:rsid w:val="00C61040"/>
    <w:rsid w:val="00C7540F"/>
    <w:rsid w:val="00C76761"/>
    <w:rsid w:val="00C77A24"/>
    <w:rsid w:val="00C8155A"/>
    <w:rsid w:val="00C81DD4"/>
    <w:rsid w:val="00C81FE1"/>
    <w:rsid w:val="00C82859"/>
    <w:rsid w:val="00C8445E"/>
    <w:rsid w:val="00C85B6C"/>
    <w:rsid w:val="00C877A9"/>
    <w:rsid w:val="00C90AFC"/>
    <w:rsid w:val="00C91906"/>
    <w:rsid w:val="00C91EBB"/>
    <w:rsid w:val="00C93A59"/>
    <w:rsid w:val="00CA3E71"/>
    <w:rsid w:val="00CA4721"/>
    <w:rsid w:val="00CA7129"/>
    <w:rsid w:val="00CB3327"/>
    <w:rsid w:val="00CB334C"/>
    <w:rsid w:val="00CB73AB"/>
    <w:rsid w:val="00CD0EFD"/>
    <w:rsid w:val="00CD4A10"/>
    <w:rsid w:val="00CD7047"/>
    <w:rsid w:val="00CD7600"/>
    <w:rsid w:val="00CE075A"/>
    <w:rsid w:val="00CE1161"/>
    <w:rsid w:val="00CE3A60"/>
    <w:rsid w:val="00CE4D84"/>
    <w:rsid w:val="00CE61D6"/>
    <w:rsid w:val="00CE737D"/>
    <w:rsid w:val="00CF4075"/>
    <w:rsid w:val="00D01BC1"/>
    <w:rsid w:val="00D05D65"/>
    <w:rsid w:val="00D065D2"/>
    <w:rsid w:val="00D076A8"/>
    <w:rsid w:val="00D1684D"/>
    <w:rsid w:val="00D207F5"/>
    <w:rsid w:val="00D20D6D"/>
    <w:rsid w:val="00D21034"/>
    <w:rsid w:val="00D23645"/>
    <w:rsid w:val="00D31D7E"/>
    <w:rsid w:val="00D404E6"/>
    <w:rsid w:val="00D41510"/>
    <w:rsid w:val="00D41BA3"/>
    <w:rsid w:val="00D4615C"/>
    <w:rsid w:val="00D47680"/>
    <w:rsid w:val="00D51ABA"/>
    <w:rsid w:val="00D56C96"/>
    <w:rsid w:val="00D56FF5"/>
    <w:rsid w:val="00D607A6"/>
    <w:rsid w:val="00D62F80"/>
    <w:rsid w:val="00D72C30"/>
    <w:rsid w:val="00D80665"/>
    <w:rsid w:val="00D841A8"/>
    <w:rsid w:val="00D86833"/>
    <w:rsid w:val="00DA2025"/>
    <w:rsid w:val="00DA7969"/>
    <w:rsid w:val="00DB2DAC"/>
    <w:rsid w:val="00DB40F9"/>
    <w:rsid w:val="00DC0FD0"/>
    <w:rsid w:val="00DC356A"/>
    <w:rsid w:val="00DC44AC"/>
    <w:rsid w:val="00DD0754"/>
    <w:rsid w:val="00DD10CF"/>
    <w:rsid w:val="00DD520F"/>
    <w:rsid w:val="00DD56AC"/>
    <w:rsid w:val="00DD75F7"/>
    <w:rsid w:val="00DD7BC4"/>
    <w:rsid w:val="00DE10B9"/>
    <w:rsid w:val="00DF02A7"/>
    <w:rsid w:val="00DF3C7E"/>
    <w:rsid w:val="00E00D8E"/>
    <w:rsid w:val="00E12494"/>
    <w:rsid w:val="00E22B3C"/>
    <w:rsid w:val="00E260C3"/>
    <w:rsid w:val="00E26EE4"/>
    <w:rsid w:val="00E30EC5"/>
    <w:rsid w:val="00E31E38"/>
    <w:rsid w:val="00E33375"/>
    <w:rsid w:val="00E3397B"/>
    <w:rsid w:val="00E3519B"/>
    <w:rsid w:val="00E407E7"/>
    <w:rsid w:val="00E43F57"/>
    <w:rsid w:val="00E44FED"/>
    <w:rsid w:val="00E47CC3"/>
    <w:rsid w:val="00E51FF6"/>
    <w:rsid w:val="00E61E84"/>
    <w:rsid w:val="00E61F99"/>
    <w:rsid w:val="00E63745"/>
    <w:rsid w:val="00E64BC9"/>
    <w:rsid w:val="00E7286C"/>
    <w:rsid w:val="00E729D6"/>
    <w:rsid w:val="00E737F1"/>
    <w:rsid w:val="00E74C14"/>
    <w:rsid w:val="00E74DD7"/>
    <w:rsid w:val="00E757E4"/>
    <w:rsid w:val="00E916BF"/>
    <w:rsid w:val="00E9358A"/>
    <w:rsid w:val="00E979F2"/>
    <w:rsid w:val="00E97C06"/>
    <w:rsid w:val="00EA2CA3"/>
    <w:rsid w:val="00EA4BCA"/>
    <w:rsid w:val="00EA6DB5"/>
    <w:rsid w:val="00EB5FE0"/>
    <w:rsid w:val="00EB65DB"/>
    <w:rsid w:val="00EB7F56"/>
    <w:rsid w:val="00EC1EBF"/>
    <w:rsid w:val="00ED256C"/>
    <w:rsid w:val="00ED42BB"/>
    <w:rsid w:val="00ED54CD"/>
    <w:rsid w:val="00EE147F"/>
    <w:rsid w:val="00EE3498"/>
    <w:rsid w:val="00EE56F8"/>
    <w:rsid w:val="00EE742E"/>
    <w:rsid w:val="00EE7749"/>
    <w:rsid w:val="00EF27F8"/>
    <w:rsid w:val="00EF6DAE"/>
    <w:rsid w:val="00F0465E"/>
    <w:rsid w:val="00F159EE"/>
    <w:rsid w:val="00F3307D"/>
    <w:rsid w:val="00F35FAD"/>
    <w:rsid w:val="00F40343"/>
    <w:rsid w:val="00F4292C"/>
    <w:rsid w:val="00F4336B"/>
    <w:rsid w:val="00F5248D"/>
    <w:rsid w:val="00F54E62"/>
    <w:rsid w:val="00F60EF1"/>
    <w:rsid w:val="00F67AC0"/>
    <w:rsid w:val="00F70592"/>
    <w:rsid w:val="00F7209D"/>
    <w:rsid w:val="00F73087"/>
    <w:rsid w:val="00F8049C"/>
    <w:rsid w:val="00F8171B"/>
    <w:rsid w:val="00F87C75"/>
    <w:rsid w:val="00F93F28"/>
    <w:rsid w:val="00F942A8"/>
    <w:rsid w:val="00F956D9"/>
    <w:rsid w:val="00F95A86"/>
    <w:rsid w:val="00FB3F0B"/>
    <w:rsid w:val="00FB6755"/>
    <w:rsid w:val="00FD0575"/>
    <w:rsid w:val="00FD15EB"/>
    <w:rsid w:val="00FD675C"/>
    <w:rsid w:val="00FE09F7"/>
    <w:rsid w:val="00FE0D42"/>
    <w:rsid w:val="00FE193D"/>
    <w:rsid w:val="00FE3609"/>
    <w:rsid w:val="00FE5A8F"/>
    <w:rsid w:val="00FE601C"/>
    <w:rsid w:val="00FF65C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333A-CB71-495F-BDDE-6110E30A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C3"/>
    <w:pPr>
      <w:ind w:left="720"/>
      <w:contextualSpacing/>
    </w:pPr>
  </w:style>
  <w:style w:type="table" w:styleId="TableGrid">
    <w:name w:val="Table Grid"/>
    <w:basedOn w:val="TableNormal"/>
    <w:uiPriority w:val="59"/>
    <w:rsid w:val="008C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81D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81D3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81D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81D3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1D33"/>
    <w:rPr>
      <w:rFonts w:ascii="Tahoma" w:hAnsi="Tahoma" w:cs="Tahoma"/>
      <w:sz w:val="16"/>
      <w:szCs w:val="16"/>
    </w:rPr>
  </w:style>
  <w:style w:type="paragraph" w:customStyle="1" w:styleId="JuPara">
    <w:name w:val="Ju_Para"/>
    <w:aliases w:val="Left,First line:  0 cm"/>
    <w:basedOn w:val="Normal"/>
    <w:link w:val="JuParaChar"/>
    <w:rsid w:val="00681D33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681D33"/>
    <w:rPr>
      <w:rFonts w:ascii="Times New Roman" w:eastAsia="Times New Roman" w:hAnsi="Times New Roman"/>
      <w:sz w:val="24"/>
      <w:lang w:val="en-GB" w:eastAsia="fr-FR"/>
    </w:rPr>
  </w:style>
  <w:style w:type="paragraph" w:customStyle="1" w:styleId="JuJudges">
    <w:name w:val="Ju_Judges"/>
    <w:basedOn w:val="Normal"/>
    <w:link w:val="JuJudgesChar"/>
    <w:rsid w:val="00681D33"/>
    <w:pPr>
      <w:tabs>
        <w:tab w:val="left" w:pos="567"/>
        <w:tab w:val="left" w:pos="113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customStyle="1" w:styleId="JuJudgesChar">
    <w:name w:val="Ju_Judges Char"/>
    <w:link w:val="JuJudges"/>
    <w:locked/>
    <w:rsid w:val="00681D33"/>
    <w:rPr>
      <w:rFonts w:ascii="Times New Roman" w:eastAsia="Times New Roman" w:hAnsi="Times New Roman"/>
      <w:sz w:val="24"/>
      <w:lang w:val="en-GB" w:eastAsia="fr-FR"/>
    </w:rPr>
  </w:style>
  <w:style w:type="paragraph" w:customStyle="1" w:styleId="JuCase">
    <w:name w:val="Ju_Case"/>
    <w:basedOn w:val="JuPara"/>
    <w:next w:val="JuPara"/>
    <w:link w:val="JuCaseChar"/>
    <w:rsid w:val="00681D33"/>
    <w:rPr>
      <w:b/>
    </w:rPr>
  </w:style>
  <w:style w:type="character" w:customStyle="1" w:styleId="JuCaseChar">
    <w:name w:val="Ju_Case Char"/>
    <w:link w:val="JuCase"/>
    <w:rsid w:val="00681D33"/>
    <w:rPr>
      <w:rFonts w:ascii="Times New Roman" w:eastAsia="Times New Roman" w:hAnsi="Times New Roman"/>
      <w:b/>
      <w:sz w:val="24"/>
      <w:lang w:val="en-GB" w:eastAsia="fr-FR"/>
    </w:rPr>
  </w:style>
  <w:style w:type="paragraph" w:customStyle="1" w:styleId="Default">
    <w:name w:val="Default"/>
    <w:rsid w:val="00CD4A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9435B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B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9DCB-6C74-4305-85E8-B4EEB61D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8854</Words>
  <Characters>50471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Drejtesise</Company>
  <LinksUpToDate>false</LinksUpToDate>
  <CharactersWithSpaces>59207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cp:lastModifiedBy>dritantelhaj@gmail.com</cp:lastModifiedBy>
  <cp:revision>2</cp:revision>
  <cp:lastPrinted>2015-12-22T09:26:00Z</cp:lastPrinted>
  <dcterms:created xsi:type="dcterms:W3CDTF">2020-07-01T12:46:00Z</dcterms:created>
  <dcterms:modified xsi:type="dcterms:W3CDTF">2020-07-01T12:46:00Z</dcterms:modified>
</cp:coreProperties>
</file>