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EUROPIANE E TË DREJTAVE TË NJERIUT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SEKSIONI I PAR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F23AEF">
        <w:rPr>
          <w:rFonts w:ascii="Times New Roman" w:hAnsi="Times New Roman"/>
          <w:b/>
          <w:sz w:val="24"/>
          <w:szCs w:val="24"/>
          <w:lang w:val="sq-AL"/>
        </w:rPr>
        <w:t>KARAGJOZI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1C7759" w:rsidP="00C81A67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(</w:t>
      </w:r>
      <w:r w:rsidR="0029526F">
        <w:rPr>
          <w:rFonts w:ascii="Times New Roman" w:hAnsi="Times New Roman"/>
          <w:i/>
          <w:sz w:val="24"/>
          <w:szCs w:val="24"/>
          <w:lang w:val="sq-AL"/>
        </w:rPr>
        <w:t>Ankimi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 xml:space="preserve"> nr.</w:t>
      </w:r>
      <w:r w:rsidR="00F23AEF">
        <w:rPr>
          <w:rFonts w:ascii="Times New Roman" w:hAnsi="Times New Roman"/>
          <w:i/>
          <w:sz w:val="24"/>
          <w:szCs w:val="24"/>
          <w:lang w:val="sq-AL"/>
        </w:rPr>
        <w:t>32382/11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>)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VENDIM</w:t>
      </w:r>
    </w:p>
    <w:p w:rsidR="00C81A67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C81A67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Ky version u ko</w:t>
      </w:r>
      <w:r w:rsidR="00F23AEF">
        <w:rPr>
          <w:rFonts w:ascii="Times New Roman" w:hAnsi="Times New Roman"/>
          <w:i/>
          <w:sz w:val="24"/>
          <w:szCs w:val="24"/>
          <w:lang w:val="sq-AL"/>
        </w:rPr>
        <w:t>r</w:t>
      </w:r>
      <w:r>
        <w:rPr>
          <w:rFonts w:ascii="Times New Roman" w:hAnsi="Times New Roman"/>
          <w:i/>
          <w:sz w:val="24"/>
          <w:szCs w:val="24"/>
          <w:lang w:val="sq-AL"/>
        </w:rPr>
        <w:t>rigjua m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26 Prill 2016</w:t>
      </w:r>
    </w:p>
    <w:p w:rsidR="00C81A67" w:rsidRPr="00C81A67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>sipas Rregullit 81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Rregullores 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Gjykat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s 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STRASBURG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376D01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7 Prill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 xml:space="preserve"> 2016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55770" w:rsidRPr="005E718D" w:rsidRDefault="00355770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Ky vendim 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sht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 xml:space="preserve"> i form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s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37C06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prer</w:t>
      </w:r>
      <w:r w:rsidR="00337C06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i/>
          <w:sz w:val="24"/>
          <w:szCs w:val="24"/>
          <w:lang w:val="sq-AL"/>
        </w:rPr>
        <w:t>.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Ai mund 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t’i n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nshtrohet rishikimit redaktues</w:t>
      </w: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C81A67" w:rsidP="00565FDE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</w:t>
      </w:r>
      <w:r w:rsidR="00997953">
        <w:rPr>
          <w:rFonts w:ascii="Times New Roman" w:hAnsi="Times New Roman"/>
          <w:sz w:val="18"/>
          <w:szCs w:val="18"/>
          <w:lang w:val="sq-AL"/>
        </w:rPr>
        <w:t xml:space="preserve"> KARAGJOZI</w:t>
      </w:r>
      <w:r w:rsidR="001C7759" w:rsidRPr="005E718D">
        <w:rPr>
          <w:rFonts w:ascii="Times New Roman" w:hAnsi="Times New Roman"/>
          <w:sz w:val="18"/>
          <w:szCs w:val="18"/>
          <w:lang w:val="sq-AL"/>
        </w:rPr>
        <w:t xml:space="preserve"> DHE TË TJERËT</w:t>
      </w:r>
      <w:r w:rsidR="00355770" w:rsidRPr="005E718D">
        <w:rPr>
          <w:rFonts w:ascii="Times New Roman" w:hAnsi="Times New Roman"/>
          <w:sz w:val="18"/>
          <w:szCs w:val="18"/>
          <w:lang w:val="sq-AL"/>
        </w:rPr>
        <w:t xml:space="preserve"> </w:t>
      </w:r>
      <w:r w:rsidR="00943D1A" w:rsidRPr="005E718D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Në çështjen </w:t>
      </w:r>
      <w:r w:rsidR="00F23AEF">
        <w:rPr>
          <w:rFonts w:ascii="Times New Roman" w:hAnsi="Times New Roman"/>
          <w:b/>
          <w:sz w:val="24"/>
          <w:szCs w:val="24"/>
          <w:lang w:val="sq-AL"/>
        </w:rPr>
        <w:t>Karagjozi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Europiane e të Drejta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ve të Njeriut (Seksioni i Par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), e mbledhur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si</w:t>
      </w:r>
      <w:r w:rsidR="00355770" w:rsidRPr="005E718D">
        <w:rPr>
          <w:rFonts w:ascii="Times New Roman" w:hAnsi="Times New Roman"/>
          <w:sz w:val="24"/>
          <w:szCs w:val="24"/>
          <w:lang w:val="sq-AL"/>
        </w:rPr>
        <w:t xml:space="preserve"> një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Komitet i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përbërë nga: </w:t>
      </w:r>
    </w:p>
    <w:p w:rsidR="00943D1A" w:rsidRPr="005E718D" w:rsidRDefault="00F872F5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Kristina Par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dalos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C81A67">
        <w:rPr>
          <w:rFonts w:ascii="Times New Roman" w:hAnsi="Times New Roman"/>
          <w:i/>
          <w:sz w:val="24"/>
          <w:szCs w:val="24"/>
          <w:lang w:val="sq-AL"/>
        </w:rPr>
        <w:t>Kryetare</w:t>
      </w:r>
    </w:p>
    <w:p w:rsidR="001C7759" w:rsidRPr="005E718D" w:rsidRDefault="00376D01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Paul Mahoney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,</w:t>
      </w:r>
    </w:p>
    <w:p w:rsidR="001C7759" w:rsidRPr="005E718D" w:rsidRDefault="001C7759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Pauliine Koskelo,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gjyqtar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943D1A" w:rsidRPr="005E718D" w:rsidRDefault="00EF6A7F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dhe André </w:t>
      </w:r>
      <w:r w:rsidR="00997953">
        <w:rPr>
          <w:rFonts w:ascii="Times New Roman" w:hAnsi="Times New Roman"/>
          <w:sz w:val="24"/>
          <w:szCs w:val="24"/>
          <w:lang w:val="sq-AL"/>
        </w:rPr>
        <w:t>W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ampach,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Z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vend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 Regjistrar i Seksionit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EF6A7F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Pasi ka diskutuar me dye</w:t>
      </w:r>
      <w:r w:rsidR="00376D01">
        <w:rPr>
          <w:rFonts w:ascii="Times New Roman" w:hAnsi="Times New Roman"/>
          <w:sz w:val="24"/>
          <w:szCs w:val="24"/>
          <w:lang w:val="sq-AL"/>
        </w:rPr>
        <w:t>r të mbyllura më 15Mars</w:t>
      </w:r>
      <w:r w:rsidR="00EF6A7F" w:rsidRPr="005E718D">
        <w:rPr>
          <w:rFonts w:ascii="Times New Roman" w:hAnsi="Times New Roman"/>
          <w:sz w:val="24"/>
          <w:szCs w:val="24"/>
          <w:lang w:val="sq-AL"/>
        </w:rPr>
        <w:t xml:space="preserve"> 2016</w:t>
      </w:r>
      <w:r w:rsidRPr="005E718D">
        <w:rPr>
          <w:rFonts w:ascii="Times New Roman" w:hAnsi="Times New Roman"/>
          <w:sz w:val="24"/>
          <w:szCs w:val="24"/>
          <w:lang w:val="sq-AL"/>
        </w:rPr>
        <w:t>,</w:t>
      </w:r>
    </w:p>
    <w:p w:rsidR="00943D1A" w:rsidRPr="005E718D" w:rsidRDefault="00EF6A7F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Pasi ka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rejtur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ligjore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>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poshtme, tashm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objekt i </w:t>
      </w:r>
      <w:r w:rsidR="00C81A67">
        <w:rPr>
          <w:rFonts w:ascii="Times New Roman" w:hAnsi="Times New Roman"/>
          <w:sz w:val="24"/>
          <w:szCs w:val="24"/>
          <w:lang w:val="sq-AL"/>
        </w:rPr>
        <w:t>praktik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>s gjyq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81A67">
        <w:rPr>
          <w:rFonts w:ascii="Times New Roman" w:hAnsi="Times New Roman"/>
          <w:sz w:val="24"/>
          <w:szCs w:val="24"/>
          <w:lang w:val="sq-AL"/>
        </w:rPr>
        <w:t>sore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 xml:space="preserve"> të mirëpërcaktuar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të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5E718D">
        <w:rPr>
          <w:rFonts w:ascii="Times New Roman" w:hAnsi="Times New Roman"/>
          <w:sz w:val="24"/>
          <w:szCs w:val="24"/>
          <w:lang w:val="sq-AL"/>
        </w:rPr>
        <w:t>nr. 604/07, 43</w:t>
      </w:r>
      <w:r w:rsidR="00376D01">
        <w:rPr>
          <w:rFonts w:ascii="Times New Roman" w:hAnsi="Times New Roman"/>
          <w:sz w:val="24"/>
          <w:szCs w:val="24"/>
          <w:lang w:val="sq-AL"/>
        </w:rPr>
        <w:t>628/07, 46684/07 dhe 34770/09,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97953">
        <w:rPr>
          <w:rFonts w:ascii="Times New Roman" w:hAnsi="Times New Roman"/>
          <w:sz w:val="24"/>
          <w:szCs w:val="24"/>
          <w:lang w:val="sq-AL"/>
        </w:rPr>
        <w:t xml:space="preserve">§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31 Korrik 2012), 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Lëshon vendimin e mëposhtëm, i cili u miratua në po atë ditë: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PROCEDURA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66202" w:rsidRPr="005E718D" w:rsidRDefault="00943D1A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Çështja filloi me</w:t>
      </w:r>
      <w:r w:rsidR="004518E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81A67">
        <w:rPr>
          <w:rFonts w:ascii="Times New Roman" w:hAnsi="Times New Roman"/>
          <w:sz w:val="24"/>
          <w:szCs w:val="24"/>
          <w:lang w:val="sq-AL"/>
        </w:rPr>
        <w:t>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F23AEF">
        <w:rPr>
          <w:rFonts w:ascii="Times New Roman" w:hAnsi="Times New Roman"/>
          <w:sz w:val="24"/>
          <w:szCs w:val="24"/>
          <w:lang w:val="sq-AL"/>
        </w:rPr>
        <w:t xml:space="preserve"> ankim (nr. 32382</w:t>
      </w:r>
      <w:r w:rsidR="00C81A67">
        <w:rPr>
          <w:rFonts w:ascii="Times New Roman" w:hAnsi="Times New Roman"/>
          <w:sz w:val="24"/>
          <w:szCs w:val="24"/>
          <w:lang w:val="sq-AL"/>
        </w:rPr>
        <w:t>/11)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 Republik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,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sipas Nenit 34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 Mbrojtj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en 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Njeriut </w:t>
      </w:r>
      <w:r w:rsidR="004518E8">
        <w:rPr>
          <w:rFonts w:ascii="Times New Roman" w:hAnsi="Times New Roman"/>
          <w:sz w:val="24"/>
          <w:szCs w:val="24"/>
          <w:lang w:val="sq-AL"/>
        </w:rPr>
        <w:t xml:space="preserve">dhe Lirive Themelore 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(“Konventa”)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nga </w:t>
      </w:r>
      <w:r w:rsidR="00F23AEF">
        <w:rPr>
          <w:rFonts w:ascii="Times New Roman" w:hAnsi="Times New Roman"/>
          <w:sz w:val="24"/>
          <w:szCs w:val="24"/>
          <w:lang w:val="sq-AL"/>
        </w:rPr>
        <w:t>21</w:t>
      </w:r>
      <w:r w:rsidR="004518E8">
        <w:rPr>
          <w:rFonts w:ascii="Times New Roman" w:hAnsi="Times New Roman"/>
          <w:sz w:val="24"/>
          <w:szCs w:val="24"/>
          <w:lang w:val="sq-AL"/>
        </w:rPr>
        <w:t xml:space="preserve"> shtetas shqiptar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. Detajet e ankuesve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rcaktohen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n Nr. 1, bashkalidhur me vendimin. </w:t>
      </w:r>
    </w:p>
    <w:p w:rsidR="004518E8" w:rsidRDefault="00C81A67" w:rsidP="004518E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Ankuesit u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F23AEF">
        <w:rPr>
          <w:rFonts w:ascii="Times New Roman" w:hAnsi="Times New Roman"/>
          <w:sz w:val="24"/>
          <w:szCs w:val="24"/>
          <w:lang w:val="sq-AL"/>
        </w:rPr>
        <w:t>suan nga Z. S. Puto, avokat</w:t>
      </w:r>
      <w:r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ushtron profesionin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Tiran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1679FB">
        <w:rPr>
          <w:rFonts w:ascii="Times New Roman" w:hAnsi="Times New Roman"/>
          <w:sz w:val="24"/>
          <w:szCs w:val="24"/>
          <w:lang w:val="sq-AL"/>
        </w:rPr>
        <w:t>Qeveria shqiptare (“Qeveria”) u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1679FB">
        <w:rPr>
          <w:rFonts w:ascii="Times New Roman" w:hAnsi="Times New Roman"/>
          <w:sz w:val="24"/>
          <w:szCs w:val="24"/>
          <w:lang w:val="sq-AL"/>
        </w:rPr>
        <w:t>rfaq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1679FB">
        <w:rPr>
          <w:rFonts w:ascii="Times New Roman" w:hAnsi="Times New Roman"/>
          <w:sz w:val="24"/>
          <w:szCs w:val="24"/>
          <w:lang w:val="sq-AL"/>
        </w:rPr>
        <w:t>sua nga Agjentja e saj, Znj. A. Hicka</w:t>
      </w:r>
      <w:r w:rsidR="00F4351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679FB">
        <w:rPr>
          <w:rFonts w:ascii="Times New Roman" w:hAnsi="Times New Roman"/>
          <w:sz w:val="24"/>
          <w:szCs w:val="24"/>
          <w:lang w:val="sq-AL"/>
        </w:rPr>
        <w:t>nga Zyra e Avokatit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1679FB">
        <w:rPr>
          <w:rFonts w:ascii="Times New Roman" w:hAnsi="Times New Roman"/>
          <w:sz w:val="24"/>
          <w:szCs w:val="24"/>
          <w:lang w:val="sq-AL"/>
        </w:rPr>
        <w:t xml:space="preserve"> Shtetit</w:t>
      </w:r>
      <w:r w:rsidR="00F4351C">
        <w:rPr>
          <w:rFonts w:ascii="Times New Roman" w:hAnsi="Times New Roman"/>
          <w:sz w:val="24"/>
          <w:szCs w:val="24"/>
          <w:lang w:val="sq-AL"/>
        </w:rPr>
        <w:t>.</w:t>
      </w:r>
    </w:p>
    <w:p w:rsidR="00C0093E" w:rsidRDefault="00F4351C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64080">
        <w:rPr>
          <w:rFonts w:ascii="Times New Roman" w:hAnsi="Times New Roman"/>
          <w:sz w:val="24"/>
          <w:szCs w:val="24"/>
          <w:lang w:val="sq-AL"/>
        </w:rPr>
        <w:t xml:space="preserve"> 20 Dhjetor 2013, ankimi iu komunikua</w:t>
      </w:r>
      <w:r>
        <w:rPr>
          <w:rFonts w:ascii="Times New Roman" w:hAnsi="Times New Roman"/>
          <w:sz w:val="24"/>
          <w:szCs w:val="24"/>
          <w:lang w:val="sq-AL"/>
        </w:rPr>
        <w:t xml:space="preserve"> Qeveris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9E0152" w:rsidRPr="009E0152" w:rsidRDefault="009E0152" w:rsidP="009E0152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FAKTET 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RRETHANAT E Ç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SHTJES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4351C" w:rsidRPr="00146314" w:rsidRDefault="00F4351C" w:rsidP="0014631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F23AEF">
        <w:rPr>
          <w:rFonts w:ascii="Times New Roman" w:hAnsi="Times New Roman"/>
          <w:sz w:val="24"/>
          <w:szCs w:val="24"/>
          <w:lang w:val="sq-AL"/>
        </w:rPr>
        <w:t xml:space="preserve"> 28 Korrik 2006</w:t>
      </w:r>
      <w:r>
        <w:rPr>
          <w:rFonts w:ascii="Times New Roman" w:hAnsi="Times New Roman"/>
          <w:sz w:val="24"/>
          <w:szCs w:val="24"/>
          <w:lang w:val="sq-AL"/>
        </w:rPr>
        <w:t xml:space="preserve">, Komisioni i </w:t>
      </w:r>
      <w:r w:rsidR="009E0152">
        <w:rPr>
          <w:rFonts w:ascii="Times New Roman" w:hAnsi="Times New Roman"/>
          <w:sz w:val="24"/>
          <w:szCs w:val="24"/>
          <w:lang w:val="sq-AL"/>
        </w:rPr>
        <w:t>Vlor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s, </w:t>
      </w:r>
      <w:r w:rsidR="00F23AEF">
        <w:rPr>
          <w:rFonts w:ascii="Times New Roman" w:hAnsi="Times New Roman"/>
          <w:sz w:val="24"/>
          <w:szCs w:val="24"/>
          <w:lang w:val="sq-AL"/>
        </w:rPr>
        <w:t>midis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F23AEF">
        <w:rPr>
          <w:rFonts w:ascii="Times New Roman" w:hAnsi="Times New Roman"/>
          <w:sz w:val="24"/>
          <w:szCs w:val="24"/>
          <w:lang w:val="sq-AL"/>
        </w:rPr>
        <w:t xml:space="preserve"> tjerave, </w:t>
      </w:r>
      <w:r w:rsidR="009E0152">
        <w:rPr>
          <w:rFonts w:ascii="Times New Roman" w:hAnsi="Times New Roman"/>
          <w:sz w:val="24"/>
          <w:szCs w:val="24"/>
          <w:lang w:val="sq-AL"/>
        </w:rPr>
        <w:t>i njohu ankuesve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drejta</w:t>
      </w:r>
      <w:r w:rsidR="0029526F">
        <w:rPr>
          <w:rFonts w:ascii="Times New Roman" w:hAnsi="Times New Roman"/>
          <w:sz w:val="24"/>
          <w:szCs w:val="24"/>
          <w:lang w:val="sq-AL"/>
        </w:rPr>
        <w:t>t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29526F">
        <w:rPr>
          <w:rFonts w:ascii="Times New Roman" w:hAnsi="Times New Roman"/>
          <w:sz w:val="24"/>
          <w:szCs w:val="24"/>
          <w:lang w:val="sq-AL"/>
        </w:rPr>
        <w:t>r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trash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guar</w:t>
      </w:r>
      <w:r w:rsidR="0029526F">
        <w:rPr>
          <w:rFonts w:ascii="Times New Roman" w:hAnsi="Times New Roman"/>
          <w:sz w:val="24"/>
          <w:szCs w:val="24"/>
          <w:lang w:val="sq-AL"/>
        </w:rPr>
        <w:t xml:space="preserve"> për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rfaqe toke me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F23AEF">
        <w:rPr>
          <w:rFonts w:ascii="Times New Roman" w:hAnsi="Times New Roman"/>
          <w:sz w:val="24"/>
          <w:szCs w:val="24"/>
          <w:lang w:val="sq-AL"/>
        </w:rPr>
        <w:t>rmasat 640,000</w:t>
      </w:r>
      <w:r>
        <w:rPr>
          <w:rFonts w:ascii="Times New Roman" w:hAnsi="Times New Roman"/>
          <w:sz w:val="24"/>
          <w:szCs w:val="24"/>
          <w:lang w:val="sq-AL"/>
        </w:rPr>
        <w:t xml:space="preserve"> m</w:t>
      </w:r>
      <w:r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9E0152">
        <w:rPr>
          <w:rFonts w:ascii="Times New Roman" w:hAnsi="Times New Roman"/>
          <w:sz w:val="24"/>
          <w:szCs w:val="24"/>
          <w:lang w:val="sq-AL"/>
        </w:rPr>
        <w:t>Duke qen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se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rfaqja e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s ishte e z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, ankuesit do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>nyrat e parashikuara me ligj.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Komisioni pohoi se toka kishte ndryshuar </w:t>
      </w:r>
      <w:r w:rsidR="001A6E7A">
        <w:rPr>
          <w:rFonts w:ascii="Times New Roman" w:hAnsi="Times New Roman"/>
          <w:sz w:val="24"/>
          <w:szCs w:val="24"/>
          <w:lang w:val="sq-AL"/>
        </w:rPr>
        <w:t>natyrën</w:t>
      </w:r>
      <w:r w:rsidR="00806306">
        <w:rPr>
          <w:rFonts w:ascii="Times New Roman" w:hAnsi="Times New Roman"/>
          <w:sz w:val="24"/>
          <w:szCs w:val="24"/>
          <w:lang w:val="sq-AL"/>
        </w:rPr>
        <w:t>, nga tok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bujq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sore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r nd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rtim. Nj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nim me shkrim dore nga kryetari i Komisionit deklaron se vendimi u 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i form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s 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2 Tetor 2006. M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18 Shkurt 2013, me 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rkes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ankuesve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r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marr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informacion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se prona e tyre ishte ende e z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, Ministria e Drejt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>sis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06306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46314">
        <w:rPr>
          <w:rFonts w:ascii="Times New Roman" w:hAnsi="Times New Roman"/>
          <w:sz w:val="24"/>
          <w:szCs w:val="24"/>
          <w:lang w:val="sq-AL"/>
        </w:rPr>
        <w:t>konfirmoi se toka ishte e z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146314">
        <w:rPr>
          <w:rFonts w:ascii="Times New Roman" w:hAnsi="Times New Roman"/>
          <w:sz w:val="24"/>
          <w:szCs w:val="24"/>
          <w:lang w:val="sq-AL"/>
        </w:rPr>
        <w:t>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146314">
        <w:rPr>
          <w:rFonts w:ascii="Times New Roman" w:hAnsi="Times New Roman"/>
          <w:sz w:val="24"/>
          <w:szCs w:val="24"/>
          <w:lang w:val="sq-AL"/>
        </w:rPr>
        <w:t xml:space="preserve"> nga ushtria.</w:t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97478" w:rsidRDefault="00F4351C" w:rsidP="0014631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Deri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kompensim.</w:t>
      </w:r>
    </w:p>
    <w:p w:rsidR="0076325A" w:rsidRDefault="0076325A" w:rsidP="0076325A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76325A" w:rsidRPr="005E718D" w:rsidRDefault="0076325A" w:rsidP="0076325A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6325A" w:rsidRPr="00146314" w:rsidRDefault="0076325A" w:rsidP="0076325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336B0" w:rsidRPr="00797478" w:rsidRDefault="009336B0" w:rsidP="009336B0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97478">
        <w:rPr>
          <w:rFonts w:ascii="Times New Roman" w:hAnsi="Times New Roman"/>
          <w:sz w:val="24"/>
          <w:szCs w:val="24"/>
          <w:lang w:val="sq-AL"/>
        </w:rPr>
        <w:t>LIGJI P</w:t>
      </w:r>
      <w:r w:rsidR="00355CF9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RKAT</w:t>
      </w:r>
      <w:r w:rsidR="00355CF9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 VENDAS</w:t>
      </w:r>
    </w:p>
    <w:p w:rsidR="00797478" w:rsidRDefault="00797478" w:rsidP="009336B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0D80" w:rsidRPr="005E718D" w:rsidRDefault="00B30D80" w:rsidP="00B30D8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Ligji dhe praktika përkatëse vendase përshkruhen në detaje,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në vendimin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Ramadhi kundër Shqipërisë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(nr. 38222/02, 13 Nëntor 2007);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të tjerët kundër Shqipërisë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(nr. 604/07, 43628/07, 46684/07 dhe 34770/09, §§ 23-53, 31 Korrik 2012) dhe i kohëve të fundit,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të tjerët kundër Shqipërisë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[Komiteti] (nr. 25038/08, 64376/09, 64399/09, 347/10, 1376/10, 4036/10, 12889/10, 20240/10, 29442/10, 29617/10, 33154/11 dhe 2032/12, §§ 33-43, 10 Nëntor 2015). </w:t>
      </w:r>
    </w:p>
    <w:p w:rsidR="007F4E80" w:rsidRDefault="007F4E80" w:rsidP="00B30D8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30D80" w:rsidRDefault="00B30D80" w:rsidP="00B30D80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MATERIALET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SHILLIT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EUROP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</w:t>
      </w:r>
    </w:p>
    <w:p w:rsidR="00B30D80" w:rsidRDefault="00B30D80" w:rsidP="00B30D8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12CFD" w:rsidRDefault="00257F32" w:rsidP="00B30D8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Materiale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lidhura me </w:t>
      </w:r>
      <w:r w:rsidR="009F2082">
        <w:rPr>
          <w:rFonts w:ascii="Times New Roman" w:hAnsi="Times New Roman"/>
          <w:sz w:val="24"/>
          <w:szCs w:val="24"/>
          <w:lang w:val="sq-AL"/>
        </w:rPr>
        <w:t>ç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="00512785">
        <w:rPr>
          <w:rFonts w:ascii="Times New Roman" w:hAnsi="Times New Roman"/>
          <w:sz w:val="24"/>
          <w:szCs w:val="24"/>
          <w:lang w:val="sq-AL"/>
        </w:rPr>
        <w:t>u referuan nga vendimet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>saj Gjykate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F2082">
        <w:rPr>
          <w:rFonts w:ascii="Times New Roman" w:hAnsi="Times New Roman"/>
          <w:sz w:val="24"/>
          <w:szCs w:val="24"/>
          <w:lang w:val="sq-AL"/>
        </w:rPr>
        <w:t>ç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shtjet 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t</w:t>
      </w:r>
      <w:r w:rsidR="00512785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r, § 44, 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Metalla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2785">
        <w:rPr>
          <w:rFonts w:ascii="Times New Roman" w:hAnsi="Times New Roman"/>
          <w:sz w:val="24"/>
          <w:szCs w:val="24"/>
          <w:lang w:val="sq-AL"/>
        </w:rPr>
        <w:t xml:space="preserve"> [Komiteti] (nr. 30264/08, 42129/08, 54403/08 dhe 54411/08, </w:t>
      </w:r>
      <w:r w:rsidR="00A73AC0">
        <w:rPr>
          <w:rFonts w:ascii="Times New Roman" w:hAnsi="Times New Roman"/>
          <w:sz w:val="24"/>
          <w:szCs w:val="24"/>
          <w:lang w:val="sq-AL"/>
        </w:rPr>
        <w:t>§§ 15-17, 16 Korrik 2015</w:t>
      </w:r>
      <w:r w:rsidR="00512785">
        <w:rPr>
          <w:rFonts w:ascii="Times New Roman" w:hAnsi="Times New Roman"/>
          <w:sz w:val="24"/>
          <w:szCs w:val="24"/>
          <w:lang w:val="sq-AL"/>
        </w:rPr>
        <w:t>)</w:t>
      </w:r>
      <w:r w:rsidR="00A73AC0">
        <w:rPr>
          <w:rFonts w:ascii="Times New Roman" w:hAnsi="Times New Roman"/>
          <w:sz w:val="24"/>
          <w:szCs w:val="24"/>
          <w:lang w:val="sq-AL"/>
        </w:rPr>
        <w:t xml:space="preserve">; 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Siliqi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sz w:val="24"/>
          <w:szCs w:val="24"/>
          <w:lang w:val="sq-AL"/>
        </w:rPr>
        <w:t xml:space="preserve"> [Komiteti] (nr. 37295/05 dhe 42228/05, §§ 12-13, 10 Maj 2015); dhe 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Karagjozi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i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A73AC0">
        <w:rPr>
          <w:rFonts w:ascii="Times New Roman" w:hAnsi="Times New Roman"/>
          <w:sz w:val="24"/>
          <w:szCs w:val="24"/>
          <w:lang w:val="sq-AL"/>
        </w:rPr>
        <w:t xml:space="preserve"> [Komiteti] (nr. 25408/06, 37</w:t>
      </w:r>
      <w:r w:rsidR="00212CFD">
        <w:rPr>
          <w:rFonts w:ascii="Times New Roman" w:hAnsi="Times New Roman"/>
          <w:sz w:val="24"/>
          <w:szCs w:val="24"/>
          <w:lang w:val="sq-AL"/>
        </w:rPr>
        <w:t>419/06, 49121/06, 150</w:t>
      </w:r>
      <w:r w:rsidR="009E0152">
        <w:rPr>
          <w:rFonts w:ascii="Times New Roman" w:hAnsi="Times New Roman"/>
          <w:sz w:val="24"/>
          <w:szCs w:val="24"/>
          <w:lang w:val="sq-AL"/>
        </w:rPr>
        <w:t>4/07, 19772/07, 46685/07, 49411/</w:t>
      </w:r>
      <w:r w:rsidR="00212CFD">
        <w:rPr>
          <w:rFonts w:ascii="Times New Roman" w:hAnsi="Times New Roman"/>
          <w:sz w:val="24"/>
          <w:szCs w:val="24"/>
          <w:lang w:val="sq-AL"/>
        </w:rPr>
        <w:t>07, 27242/08, 61912/08 dhe 15075/09, §§ 36-38, 8 Prill 2014</w:t>
      </w:r>
      <w:r w:rsidR="00A73AC0">
        <w:rPr>
          <w:rFonts w:ascii="Times New Roman" w:hAnsi="Times New Roman"/>
          <w:sz w:val="24"/>
          <w:szCs w:val="24"/>
          <w:lang w:val="sq-AL"/>
        </w:rPr>
        <w:t>)</w:t>
      </w:r>
      <w:r w:rsidR="00212CFD">
        <w:rPr>
          <w:rFonts w:ascii="Times New Roman" w:hAnsi="Times New Roman"/>
          <w:sz w:val="24"/>
          <w:szCs w:val="24"/>
          <w:lang w:val="sq-AL"/>
        </w:rPr>
        <w:t>.</w:t>
      </w:r>
    </w:p>
    <w:p w:rsidR="009E0152" w:rsidRDefault="009E0152" w:rsidP="009E015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212CFD" w:rsidRDefault="009E0152" w:rsidP="009E015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LIGJI</w:t>
      </w:r>
      <w:r w:rsidR="00EA7200" w:rsidRPr="00212CF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4B419B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SHKELJET E PRETENDUARA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E0152">
        <w:rPr>
          <w:rFonts w:ascii="Times New Roman" w:hAnsi="Times New Roman"/>
          <w:sz w:val="24"/>
          <w:szCs w:val="24"/>
          <w:lang w:val="sq-AL"/>
        </w:rPr>
        <w:t xml:space="preserve"> PROTOKOLLIT NR. 1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pretendonin se ka pasur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cilat i akordonin atyre kompensim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rikthimit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tyre. </w:t>
      </w:r>
    </w:p>
    <w:p w:rsidR="00724FD5" w:rsidRPr="005E718D" w:rsidRDefault="00EA7200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6 § 1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s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r sa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shtjen,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473B2C" w:rsidRPr="005E718D" w:rsidRDefault="00473B2C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Pr="005E718D">
        <w:rPr>
          <w:rFonts w:ascii="Times New Roman" w:hAnsi="Times New Roman"/>
          <w:sz w:val="20"/>
          <w:szCs w:val="20"/>
          <w:lang w:val="sq-AL"/>
        </w:rPr>
        <w:t>N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rcaktimin e 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drejtave civile dhe detyrimeve ... 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ç</w:t>
      </w:r>
      <w:r w:rsidRPr="005E718D">
        <w:rPr>
          <w:rFonts w:ascii="Times New Roman" w:hAnsi="Times New Roman"/>
          <w:sz w:val="20"/>
          <w:szCs w:val="20"/>
          <w:lang w:val="sq-AL"/>
        </w:rPr>
        <w:t>donjeri ka 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n p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nj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seanc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... d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gjimore... nga [nj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] ... tribunal...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13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: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47368" w:rsidRDefault="00847368" w:rsidP="009F20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46A49">
        <w:rPr>
          <w:rFonts w:ascii="Times New Roman" w:hAnsi="Times New Roman"/>
          <w:sz w:val="20"/>
          <w:szCs w:val="20"/>
          <w:lang w:val="sq-AL"/>
        </w:rPr>
        <w:t>“Çdonjëri të drejtat dhe liritë e të cilit, siç parashikohen në Konventë, janë thyer, do të përfitojë një kompensim efektiv përpara një autoriteti kombëtar, pavarësisht faktit se thyerja mund të jetë bërë nga persona me një pozicion zyrtar.”</w:t>
      </w:r>
    </w:p>
    <w:p w:rsidR="009F2082" w:rsidRPr="005E718D" w:rsidRDefault="009F2082" w:rsidP="009F20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6325A" w:rsidRPr="005E718D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6325A" w:rsidRDefault="0076325A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1 i Protokollit Nr. 1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234ED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Çdo person fizik ose juridik ka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n e g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zimit paqësor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pasuris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tij. Askush nuk mund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privohet nga prona e tij,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rveçse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 arsye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interesit publik d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he 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 xml:space="preserve">për 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kushtet e parashikuara nga ligji dhe nga parimet e përgjithshme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s nd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rkomb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tare. </w:t>
      </w:r>
    </w:p>
    <w:p w:rsidR="00D234ED" w:rsidRPr="005E718D" w:rsidRDefault="00D234ED" w:rsidP="00724FD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724FD5" w:rsidRPr="005E718D" w:rsidRDefault="00D234ED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0"/>
          <w:szCs w:val="20"/>
          <w:lang w:val="sq-AL"/>
        </w:rPr>
        <w:t>Megjithat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, dispozitat e mëparshme nuk c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nojn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ën e një Shteti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zbatuar ligje, q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ai i çmo</w:t>
      </w:r>
      <w:r w:rsidRPr="005E718D">
        <w:rPr>
          <w:rFonts w:ascii="Times New Roman" w:hAnsi="Times New Roman"/>
          <w:sz w:val="20"/>
          <w:szCs w:val="20"/>
          <w:lang w:val="sq-AL"/>
        </w:rPr>
        <w:t>n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nevojshm</w:t>
      </w:r>
      <w:r w:rsidRPr="005E718D">
        <w:rPr>
          <w:rFonts w:ascii="Times New Roman" w:hAnsi="Times New Roman"/>
          <w:sz w:val="20"/>
          <w:szCs w:val="20"/>
          <w:lang w:val="sq-AL"/>
        </w:rPr>
        <w:t>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rregulluar përdorimin e pasurive n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përputhje 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me int</w:t>
      </w:r>
      <w:r w:rsidRPr="005E718D">
        <w:rPr>
          <w:rFonts w:ascii="Times New Roman" w:hAnsi="Times New Roman"/>
          <w:sz w:val="20"/>
          <w:szCs w:val="20"/>
          <w:lang w:val="sq-AL"/>
        </w:rPr>
        <w:t>eresin 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rgjithsh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m ose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siguruar pagimin e taksave ose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kontributeve ose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gjobave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tjera.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12CFD" w:rsidRDefault="00724FD5" w:rsidP="00212CFD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PRANUESHM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RIA</w:t>
      </w:r>
    </w:p>
    <w:p w:rsidR="00B02EB6" w:rsidRPr="00B02EB6" w:rsidRDefault="00B02EB6" w:rsidP="00B02EB6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921D9" w:rsidRPr="003921D9" w:rsidRDefault="00B02EB6" w:rsidP="003921D9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Qeveria </w:t>
      </w:r>
      <w:r w:rsidR="009F2082">
        <w:rPr>
          <w:rFonts w:ascii="Times New Roman" w:hAnsi="Times New Roman"/>
          <w:sz w:val="24"/>
          <w:szCs w:val="24"/>
          <w:lang w:val="sq-AL"/>
        </w:rPr>
        <w:t>parashtroi se ankuesit kishin 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F2082">
        <w:rPr>
          <w:rFonts w:ascii="Times New Roman" w:hAnsi="Times New Roman"/>
          <w:sz w:val="24"/>
          <w:szCs w:val="24"/>
          <w:lang w:val="sq-AL"/>
        </w:rPr>
        <w:t>rkuar rishikimin e vendimit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F2082">
        <w:rPr>
          <w:rFonts w:ascii="Times New Roman" w:hAnsi="Times New Roman"/>
          <w:sz w:val="24"/>
          <w:szCs w:val="24"/>
          <w:lang w:val="sq-AL"/>
        </w:rPr>
        <w:t xml:space="preserve"> Komisionit dhe se ato procedime ishin ende pezull. </w:t>
      </w:r>
      <w:r w:rsidR="0025093B">
        <w:rPr>
          <w:rFonts w:ascii="Times New Roman" w:hAnsi="Times New Roman"/>
          <w:sz w:val="24"/>
          <w:szCs w:val="24"/>
          <w:lang w:val="sq-AL"/>
        </w:rPr>
        <w:t>Qeveria debatoi kund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r ankimit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procedur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s 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praktik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s gjyq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sore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-p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rcaktuar. Ankuesit argumentuan se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rputhje me letr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>n e Ministris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Mbrojtjes,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25093B">
        <w:rPr>
          <w:rFonts w:ascii="Times New Roman" w:hAnsi="Times New Roman"/>
          <w:sz w:val="24"/>
          <w:szCs w:val="24"/>
          <w:lang w:val="sq-AL"/>
        </w:rPr>
        <w:t xml:space="preserve">s 18 Shkurt 2013, </w:t>
      </w:r>
      <w:r w:rsidR="0004119C">
        <w:rPr>
          <w:rFonts w:ascii="Times New Roman" w:hAnsi="Times New Roman"/>
          <w:sz w:val="24"/>
          <w:szCs w:val="24"/>
          <w:lang w:val="sq-AL"/>
        </w:rPr>
        <w:t>sip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rfaqet e tok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s</w:t>
      </w:r>
      <w:r w:rsidR="00661299">
        <w:rPr>
          <w:rFonts w:ascii="Times New Roman" w:hAnsi="Times New Roman"/>
          <w:sz w:val="24"/>
          <w:szCs w:val="24"/>
          <w:lang w:val="sq-AL"/>
        </w:rPr>
        <w:t xml:space="preserve"> ishin</w:t>
      </w:r>
      <w:r w:rsidR="0004119C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 xml:space="preserve"> z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na dhe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rputhje me 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 xml:space="preserve"> po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rdoreshin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>r q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04119C">
        <w:rPr>
          <w:rFonts w:ascii="Times New Roman" w:hAnsi="Times New Roman"/>
          <w:sz w:val="24"/>
          <w:szCs w:val="24"/>
          <w:lang w:val="sq-AL"/>
        </w:rPr>
        <w:t xml:space="preserve">llime ushtarake. </w:t>
      </w:r>
    </w:p>
    <w:p w:rsidR="0004119C" w:rsidRPr="004C7201" w:rsidRDefault="0004119C" w:rsidP="004C7201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Sipas dosjes 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ç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shtjes, rezulton se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Shkurt 2013</w:t>
      </w:r>
      <w:r w:rsidR="003921D9">
        <w:rPr>
          <w:rFonts w:ascii="Times New Roman" w:hAnsi="Times New Roman"/>
          <w:sz w:val="24"/>
          <w:szCs w:val="24"/>
          <w:lang w:val="sq-AL"/>
        </w:rPr>
        <w:t>, ankuesit paraqit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n nj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rkes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r informacion tek autoritetet. Nj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letër e datës 7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ntor 2014, nga drejtori i Agjencis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r Rikthimin dhe Kompensimin e Pron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s (“drejtori i Agjencis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”), e cila u dorëzua 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nga Qeveria dhe pohonte se </w:t>
      </w:r>
      <w:r w:rsidR="003921D9">
        <w:rPr>
          <w:rFonts w:ascii="Times New Roman" w:hAnsi="Times New Roman"/>
          <w:sz w:val="24"/>
          <w:szCs w:val="24"/>
          <w:lang w:val="sq-AL"/>
        </w:rPr>
        <w:t>dosja e nj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97953">
        <w:rPr>
          <w:rFonts w:ascii="Times New Roman" w:hAnsi="Times New Roman"/>
          <w:sz w:val="24"/>
          <w:szCs w:val="24"/>
          <w:lang w:val="sq-AL"/>
        </w:rPr>
        <w:t>çë</w:t>
      </w:r>
      <w:r w:rsidR="003921D9">
        <w:rPr>
          <w:rFonts w:ascii="Times New Roman" w:hAnsi="Times New Roman"/>
          <w:sz w:val="24"/>
          <w:szCs w:val="24"/>
          <w:lang w:val="sq-AL"/>
        </w:rPr>
        <w:t>shtje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re me nr. 404, e datës 5 Maj 2011, lidhur me vendimin e Komisionit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 xml:space="preserve"> datës 28 Korrik 2006, kishte mbetur pezull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3921D9">
        <w:rPr>
          <w:rFonts w:ascii="Times New Roman" w:hAnsi="Times New Roman"/>
          <w:sz w:val="24"/>
          <w:szCs w:val="24"/>
          <w:lang w:val="sq-AL"/>
        </w:rPr>
        <w:t>r t’</w:t>
      </w:r>
      <w:r w:rsidR="00E650A2">
        <w:rPr>
          <w:rFonts w:ascii="Times New Roman" w:hAnsi="Times New Roman"/>
          <w:sz w:val="24"/>
          <w:szCs w:val="24"/>
          <w:lang w:val="sq-AL"/>
        </w:rPr>
        <w:t>u shqyrtuar, nuk mund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rb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nte prov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n e duhur se procedimet kishin mbetur pezull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munges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dokumenteve 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shtet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s. Qeveria nuk mundi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mbështetej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deklarat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dhe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dorëzonte baz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mjaftueshme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dhënash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vërejtjet e saj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mëtejshme, m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12 Janar 2015. M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tej, Qeveria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rs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>rit se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vitin 2010 dhe 2011, Gjykata Kushtetuese shfuqizoi nj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650A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B2932">
        <w:rPr>
          <w:rFonts w:ascii="Times New Roman" w:hAnsi="Times New Roman"/>
          <w:sz w:val="24"/>
          <w:szCs w:val="24"/>
          <w:lang w:val="sq-AL"/>
        </w:rPr>
        <w:t>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B2932">
        <w:rPr>
          <w:rFonts w:ascii="Times New Roman" w:hAnsi="Times New Roman"/>
          <w:sz w:val="24"/>
          <w:szCs w:val="24"/>
          <w:lang w:val="sq-AL"/>
        </w:rPr>
        <w:t>r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B2932">
        <w:rPr>
          <w:rFonts w:ascii="Times New Roman" w:hAnsi="Times New Roman"/>
          <w:sz w:val="24"/>
          <w:szCs w:val="24"/>
          <w:lang w:val="sq-AL"/>
        </w:rPr>
        <w:t xml:space="preserve"> parashikimesh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B2932">
        <w:rPr>
          <w:rFonts w:ascii="Times New Roman" w:hAnsi="Times New Roman"/>
          <w:sz w:val="24"/>
          <w:szCs w:val="24"/>
          <w:lang w:val="sq-AL"/>
        </w:rPr>
        <w:t xml:space="preserve"> Aktit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B293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644AB">
        <w:rPr>
          <w:rFonts w:ascii="Times New Roman" w:hAnsi="Times New Roman"/>
          <w:sz w:val="24"/>
          <w:szCs w:val="24"/>
          <w:lang w:val="sq-AL"/>
        </w:rPr>
        <w:t>Pron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644AB">
        <w:rPr>
          <w:rFonts w:ascii="Times New Roman" w:hAnsi="Times New Roman"/>
          <w:sz w:val="24"/>
          <w:szCs w:val="24"/>
          <w:lang w:val="sq-AL"/>
        </w:rPr>
        <w:t>s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 vitit 2004,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 ndryshuara, duke e autorizuar drejtorin e Agjencis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 rishqyrtonte vendimet e anuluese dhe shfuqizuese </w:t>
      </w:r>
      <w:r w:rsidR="004644AB">
        <w:rPr>
          <w:rFonts w:ascii="Times New Roman" w:hAnsi="Times New Roman"/>
          <w:i/>
          <w:sz w:val="24"/>
          <w:szCs w:val="24"/>
          <w:lang w:val="sq-AL"/>
        </w:rPr>
        <w:t>ex officio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 Komisionit</w:t>
      </w:r>
      <w:r w:rsidR="004644AB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(shiko </w:t>
      </w:r>
      <w:r w:rsidR="004C7201">
        <w:rPr>
          <w:rFonts w:ascii="Times New Roman" w:hAnsi="Times New Roman"/>
          <w:i/>
          <w:sz w:val="24"/>
          <w:szCs w:val="24"/>
          <w:lang w:val="sq-AL"/>
        </w:rPr>
        <w:t>Manushaqe Puto dhe të T</w:t>
      </w:r>
      <w:r w:rsidR="004644AB" w:rsidRPr="005E718D">
        <w:rPr>
          <w:rFonts w:ascii="Times New Roman" w:hAnsi="Times New Roman"/>
          <w:i/>
          <w:sz w:val="24"/>
          <w:szCs w:val="24"/>
          <w:lang w:val="sq-AL"/>
        </w:rPr>
        <w:t>jerët kundër Shqipërisë</w:t>
      </w:r>
      <w:r w:rsidR="004644AB" w:rsidRPr="005E718D">
        <w:rPr>
          <w:rFonts w:ascii="Times New Roman" w:hAnsi="Times New Roman"/>
          <w:sz w:val="24"/>
          <w:szCs w:val="24"/>
          <w:lang w:val="sq-AL"/>
        </w:rPr>
        <w:t xml:space="preserve"> (nr. 604/07, 43628/07,</w:t>
      </w:r>
      <w:r w:rsidR="004C7201">
        <w:rPr>
          <w:rFonts w:ascii="Times New Roman" w:hAnsi="Times New Roman"/>
          <w:sz w:val="24"/>
          <w:szCs w:val="24"/>
          <w:lang w:val="sq-AL"/>
        </w:rPr>
        <w:t xml:space="preserve"> 46684/07 dhe 34770/09, §§ 32</w:t>
      </w:r>
      <w:r w:rsidR="004644AB" w:rsidRPr="005E718D">
        <w:rPr>
          <w:rFonts w:ascii="Times New Roman" w:hAnsi="Times New Roman"/>
          <w:sz w:val="24"/>
          <w:szCs w:val="24"/>
          <w:lang w:val="sq-AL"/>
        </w:rPr>
        <w:t>, 31 Korrik 2012)</w:t>
      </w:r>
      <w:r w:rsidR="004644AB">
        <w:rPr>
          <w:rFonts w:ascii="Times New Roman" w:hAnsi="Times New Roman"/>
          <w:sz w:val="24"/>
          <w:szCs w:val="24"/>
          <w:lang w:val="sq-AL"/>
        </w:rPr>
        <w:t xml:space="preserve">. </w:t>
      </w:r>
      <w:r w:rsidR="00EF660D">
        <w:rPr>
          <w:rFonts w:ascii="Times New Roman" w:hAnsi="Times New Roman"/>
          <w:sz w:val="24"/>
          <w:szCs w:val="24"/>
          <w:lang w:val="sq-AL"/>
        </w:rPr>
        <w:t>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 xml:space="preserve"> tilla rrethana, Gjykata mendon se vendimi i Komisionit i datës 28 Korrik 2006,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>r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 xml:space="preserve"> cilin ankohen ankuesit, mbetet i pandryshuar dhe i pazbatuar.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>r 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>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EF660D">
        <w:rPr>
          <w:rFonts w:ascii="Times New Roman" w:hAnsi="Times New Roman"/>
          <w:sz w:val="24"/>
          <w:szCs w:val="24"/>
          <w:lang w:val="sq-AL"/>
        </w:rPr>
        <w:t xml:space="preserve"> arsye, Gjykata e hedh posht</w:t>
      </w:r>
      <w:r w:rsidR="004C7201">
        <w:rPr>
          <w:rFonts w:ascii="Times New Roman" w:hAnsi="Times New Roman"/>
          <w:sz w:val="24"/>
          <w:szCs w:val="24"/>
          <w:lang w:val="sq-AL"/>
        </w:rPr>
        <w:t>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997953" w:rsidRPr="004C7201">
        <w:rPr>
          <w:rFonts w:ascii="Times New Roman" w:hAnsi="Times New Roman"/>
          <w:sz w:val="24"/>
          <w:szCs w:val="24"/>
          <w:lang w:val="sq-AL"/>
        </w:rPr>
        <w:t>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>t</w:t>
      </w:r>
      <w:r w:rsidR="00997953" w:rsidRPr="004C7201">
        <w:rPr>
          <w:rFonts w:ascii="Times New Roman" w:hAnsi="Times New Roman"/>
          <w:sz w:val="24"/>
          <w:szCs w:val="24"/>
          <w:lang w:val="sq-AL"/>
        </w:rPr>
        <w:t>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 xml:space="preserve"> kundërshtim dhe gjykon se </w:t>
      </w:r>
      <w:r w:rsidR="00997953" w:rsidRPr="004C7201">
        <w:rPr>
          <w:rFonts w:ascii="Times New Roman" w:hAnsi="Times New Roman"/>
          <w:sz w:val="24"/>
          <w:szCs w:val="24"/>
          <w:lang w:val="sq-AL"/>
        </w:rPr>
        <w:t>çë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>shtjet e ngritura nga ky ankim janë objekt i praktik</w:t>
      </w:r>
      <w:r w:rsidR="00997953" w:rsidRPr="004C7201">
        <w:rPr>
          <w:rFonts w:ascii="Times New Roman" w:hAnsi="Times New Roman"/>
          <w:sz w:val="24"/>
          <w:szCs w:val="24"/>
          <w:lang w:val="sq-AL"/>
        </w:rPr>
        <w:t>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>s gjyqësore t</w:t>
      </w:r>
      <w:r w:rsidR="00997953" w:rsidRPr="004C7201">
        <w:rPr>
          <w:rFonts w:ascii="Times New Roman" w:hAnsi="Times New Roman"/>
          <w:sz w:val="24"/>
          <w:szCs w:val="24"/>
          <w:lang w:val="sq-AL"/>
        </w:rPr>
        <w:t>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997953" w:rsidRPr="004C7201">
        <w:rPr>
          <w:rFonts w:ascii="Times New Roman" w:hAnsi="Times New Roman"/>
          <w:sz w:val="24"/>
          <w:szCs w:val="24"/>
          <w:lang w:val="sq-AL"/>
        </w:rPr>
        <w:t>ë</w:t>
      </w:r>
      <w:r w:rsidR="00EF660D" w:rsidRPr="004C7201">
        <w:rPr>
          <w:rFonts w:ascii="Times New Roman" w:hAnsi="Times New Roman"/>
          <w:sz w:val="24"/>
          <w:szCs w:val="24"/>
          <w:lang w:val="sq-AL"/>
        </w:rPr>
        <w:t>-themeluar.</w:t>
      </w:r>
    </w:p>
    <w:p w:rsidR="004A0F50" w:rsidRDefault="004A0F50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to ankesa nuk jan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pabazuara, sipas kuptimit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s.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ato nuk jan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papranueshme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ndonj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shkak tjet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r.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arsye, ato duhen deklaruar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pranueshme. </w:t>
      </w:r>
    </w:p>
    <w:p w:rsidR="0076325A" w:rsidRPr="005E718D" w:rsidRDefault="0076325A" w:rsidP="0076325A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lastRenderedPageBreak/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4A0F50" w:rsidRDefault="004A0F50" w:rsidP="004A0F5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A0F50" w:rsidRPr="004A0F50" w:rsidRDefault="00B02EB6" w:rsidP="004A0F50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Cil</w:t>
      </w:r>
      <w:r w:rsidR="00355CF9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sit</w:t>
      </w:r>
      <w:r w:rsidR="00355CF9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4A0F50" w:rsidRDefault="004A0F50" w:rsidP="004A0F5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258EC" w:rsidRDefault="004258EC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Qeveria nuk i diskutoi cil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e pak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an</w:t>
      </w:r>
      <w:r w:rsidR="00B02EB6">
        <w:rPr>
          <w:rFonts w:ascii="Times New Roman" w:hAnsi="Times New Roman"/>
          <w:sz w:val="24"/>
          <w:szCs w:val="24"/>
          <w:lang w:val="sq-AL"/>
        </w:rPr>
        <w:t>kuesve</w:t>
      </w:r>
      <w:r w:rsidR="00623E98">
        <w:rPr>
          <w:rFonts w:ascii="Times New Roman" w:hAnsi="Times New Roman"/>
          <w:sz w:val="24"/>
          <w:szCs w:val="24"/>
          <w:lang w:val="sq-AL"/>
        </w:rPr>
        <w:t>.</w:t>
      </w:r>
    </w:p>
    <w:p w:rsidR="003E2DE8" w:rsidRDefault="004258EC" w:rsidP="004A0F5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sa i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rket gjetjeve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shtjet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parshme kund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Shqip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ris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,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Qeveria nuk paraqiti ndonj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argument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gar</w:t>
      </w:r>
      <w:r w:rsidR="00B02EB6">
        <w:rPr>
          <w:rFonts w:ascii="Times New Roman" w:hAnsi="Times New Roman"/>
          <w:sz w:val="24"/>
          <w:szCs w:val="24"/>
          <w:lang w:val="sq-AL"/>
        </w:rPr>
        <w:t>a</w:t>
      </w:r>
      <w:r w:rsidR="003E2DE8">
        <w:rPr>
          <w:rFonts w:ascii="Times New Roman" w:hAnsi="Times New Roman"/>
          <w:sz w:val="24"/>
          <w:szCs w:val="24"/>
          <w:lang w:val="sq-AL"/>
        </w:rPr>
        <w:t>ntuar distancimin e saj nga to (shiko midis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tjerave,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r, §§ 93-97 dhe referencat cituar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; dhe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fundmi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r, §§ 49-51;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Metalla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r, §§ 29-31; 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Siliqi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i/>
          <w:sz w:val="24"/>
          <w:szCs w:val="24"/>
          <w:lang w:val="sq-AL"/>
        </w:rPr>
        <w:t>t</w:t>
      </w:r>
      <w:r w:rsidR="003E2DE8"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r, §§ 19), Gjykata konstaton se moszbatimi i vendimeve vendase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>r kaq shum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vite nga ana e autoriteteve vendase, shkelte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drejtat e ankuesve sipas Nenit 6 § 1 dhe sipas Nenit 1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797478" w:rsidRDefault="003E2DE8" w:rsidP="00623E9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Gjithashtu, Gjykata ar</w:t>
      </w:r>
      <w:r w:rsidR="00B02EB6">
        <w:rPr>
          <w:rFonts w:ascii="Times New Roman" w:hAnsi="Times New Roman"/>
          <w:sz w:val="24"/>
          <w:szCs w:val="24"/>
          <w:lang w:val="sq-AL"/>
        </w:rPr>
        <w:t>rin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B02EB6">
        <w:rPr>
          <w:rFonts w:ascii="Times New Roman" w:hAnsi="Times New Roman"/>
          <w:sz w:val="24"/>
          <w:szCs w:val="24"/>
          <w:lang w:val="sq-AL"/>
        </w:rPr>
        <w:t>rfundimin se nuk ka pas</w:t>
      </w:r>
      <w:r>
        <w:rPr>
          <w:rFonts w:ascii="Times New Roman" w:hAnsi="Times New Roman"/>
          <w:sz w:val="24"/>
          <w:szCs w:val="24"/>
          <w:lang w:val="sq-AL"/>
        </w:rPr>
        <w:t>ur dhe se vazhdon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mos ket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asnj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 efikas vendas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mund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sonte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69621E">
        <w:rPr>
          <w:rFonts w:ascii="Times New Roman" w:hAnsi="Times New Roman"/>
          <w:sz w:val="24"/>
          <w:szCs w:val="24"/>
          <w:lang w:val="sq-AL"/>
        </w:rPr>
        <w:t xml:space="preserve"> ko</w:t>
      </w:r>
      <w:r w:rsidR="00661299">
        <w:rPr>
          <w:rFonts w:ascii="Times New Roman" w:hAnsi="Times New Roman"/>
          <w:sz w:val="24"/>
          <w:szCs w:val="24"/>
          <w:lang w:val="sq-AL"/>
        </w:rPr>
        <w:t>r</w:t>
      </w:r>
      <w:r>
        <w:rPr>
          <w:rFonts w:ascii="Times New Roman" w:hAnsi="Times New Roman"/>
          <w:sz w:val="24"/>
          <w:szCs w:val="24"/>
          <w:lang w:val="sq-AL"/>
        </w:rPr>
        <w:t>rigjim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rshtatsh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dhe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mjaftuesh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mozsbatimin e tejzgjatur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vendimeve vendase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cilat ako</w:t>
      </w:r>
      <w:r w:rsidR="00881C40">
        <w:rPr>
          <w:rFonts w:ascii="Times New Roman" w:hAnsi="Times New Roman"/>
          <w:sz w:val="24"/>
          <w:szCs w:val="24"/>
          <w:lang w:val="sq-AL"/>
        </w:rPr>
        <w:t>rdonin kompensim.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881C40">
        <w:rPr>
          <w:rFonts w:ascii="Times New Roman" w:hAnsi="Times New Roman"/>
          <w:sz w:val="24"/>
          <w:szCs w:val="24"/>
          <w:lang w:val="sq-AL"/>
        </w:rPr>
        <w:t>shtu, ka pas</w:t>
      </w:r>
      <w:r>
        <w:rPr>
          <w:rFonts w:ascii="Times New Roman" w:hAnsi="Times New Roman"/>
          <w:sz w:val="24"/>
          <w:szCs w:val="24"/>
          <w:lang w:val="sq-AL"/>
        </w:rPr>
        <w:t>ur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Nenit 13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s (shiko </w:t>
      </w:r>
      <w:r>
        <w:rPr>
          <w:rFonts w:ascii="Times New Roman" w:hAnsi="Times New Roman"/>
          <w:i/>
          <w:sz w:val="24"/>
          <w:szCs w:val="24"/>
          <w:lang w:val="sq-AL"/>
        </w:rPr>
        <w:t>Manushaqe Puton dhe t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355CF9">
        <w:rPr>
          <w:rFonts w:ascii="Times New Roman" w:hAnsi="Times New Roman"/>
          <w:i/>
          <w:sz w:val="24"/>
          <w:szCs w:val="24"/>
          <w:lang w:val="sq-AL"/>
        </w:rPr>
        <w:t>ë</w:t>
      </w:r>
      <w:r>
        <w:rPr>
          <w:rFonts w:ascii="Times New Roman" w:hAnsi="Times New Roman"/>
          <w:i/>
          <w:sz w:val="24"/>
          <w:szCs w:val="24"/>
          <w:lang w:val="sq-AL"/>
        </w:rPr>
        <w:t>t</w:t>
      </w:r>
      <w:r>
        <w:rPr>
          <w:rFonts w:ascii="Times New Roman" w:hAnsi="Times New Roman"/>
          <w:sz w:val="24"/>
          <w:szCs w:val="24"/>
          <w:lang w:val="sq-AL"/>
        </w:rPr>
        <w:t>, cituar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r, §§ 72-84 dhe refer</w:t>
      </w:r>
      <w:r w:rsidR="004C7201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>ncat cituar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)</w:t>
      </w:r>
      <w:r w:rsidR="00623E98">
        <w:rPr>
          <w:rFonts w:ascii="Times New Roman" w:hAnsi="Times New Roman"/>
          <w:sz w:val="24"/>
          <w:szCs w:val="24"/>
          <w:lang w:val="sq-AL"/>
        </w:rPr>
        <w:t>.</w:t>
      </w:r>
    </w:p>
    <w:p w:rsidR="00623E98" w:rsidRPr="00623E98" w:rsidRDefault="00623E98" w:rsidP="00623E98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142C" w:rsidRPr="00797478" w:rsidRDefault="00AC142C" w:rsidP="00797478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797478">
        <w:rPr>
          <w:rFonts w:ascii="Times New Roman" w:hAnsi="Times New Roman"/>
          <w:sz w:val="24"/>
          <w:szCs w:val="24"/>
          <w:lang w:val="sq-AL"/>
        </w:rPr>
        <w:t>SHKELJE E PRETENDUAR E NENIT 6 § 1 E KONVENT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F872F5" w:rsidRPr="00797478">
        <w:rPr>
          <w:rFonts w:ascii="Times New Roman" w:hAnsi="Times New Roman"/>
          <w:sz w:val="24"/>
          <w:szCs w:val="24"/>
          <w:lang w:val="sq-AL"/>
        </w:rPr>
        <w:t>Ë</w:t>
      </w:r>
      <w:r w:rsidRPr="00797478">
        <w:rPr>
          <w:rFonts w:ascii="Times New Roman" w:hAnsi="Times New Roman"/>
          <w:sz w:val="24"/>
          <w:szCs w:val="24"/>
          <w:lang w:val="sq-AL"/>
        </w:rPr>
        <w:t>ZGJATJEN E PROCEDIMEVE</w:t>
      </w:r>
    </w:p>
    <w:p w:rsidR="00AC142C" w:rsidRPr="005E718D" w:rsidRDefault="00AC142C" w:rsidP="00AC14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142C" w:rsidRPr="005E718D" w:rsidRDefault="00881C40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Ankuesit 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u ankuan sipas Nenit 6 §1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r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zgjatjen e procedurave si rezultat i moszbatimit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23E98">
        <w:rPr>
          <w:rFonts w:ascii="Times New Roman" w:hAnsi="Times New Roman"/>
          <w:sz w:val="24"/>
          <w:szCs w:val="24"/>
          <w:lang w:val="sq-AL"/>
        </w:rPr>
        <w:t xml:space="preserve"> vendimit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Komisionit. </w:t>
      </w:r>
    </w:p>
    <w:p w:rsidR="00AC142C" w:rsidRPr="005E718D" w:rsidRDefault="00AC142C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kjo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pabazuar sipas interpretimit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ren se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papranueshme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argument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dhe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 e deklaron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pranuesh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792693" w:rsidRPr="005E718D" w:rsidRDefault="004E3DF6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argumenton se sipas gjetjeve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t </w:t>
      </w:r>
      <w:r w:rsidR="00DF31E6">
        <w:rPr>
          <w:rFonts w:ascii="Times New Roman" w:hAnsi="Times New Roman"/>
          <w:sz w:val="24"/>
          <w:szCs w:val="24"/>
          <w:lang w:val="sq-AL"/>
        </w:rPr>
        <w:t>13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– 14</w:t>
      </w:r>
      <w:r w:rsidR="003E2DE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e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zgjatjes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procedurave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iderohet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rfshir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shtjen e mos</w:t>
      </w:r>
      <w:r w:rsidR="003E2DE8">
        <w:rPr>
          <w:rFonts w:ascii="Times New Roman" w:hAnsi="Times New Roman"/>
          <w:sz w:val="24"/>
          <w:szCs w:val="24"/>
          <w:lang w:val="sq-AL"/>
        </w:rPr>
        <w:t>zbatimit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(shiko,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r shembull, 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Kutić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r Kroacis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, nr. 48778/99, § 34, GJEDNJ 2002-II, dhe 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Popova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nr. 23697/02, § 44, 21 Dhjetor 2006).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arsye, gjykata mendon se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e nevojshme ta shqyrtoj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ve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ant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92693" w:rsidRPr="005E718D" w:rsidRDefault="00792693" w:rsidP="007926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4B419B">
      <w:pPr>
        <w:pStyle w:val="NoSpacing"/>
        <w:numPr>
          <w:ilvl w:val="0"/>
          <w:numId w:val="3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ZBATIMI I NENIT 41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</w:t>
      </w:r>
    </w:p>
    <w:p w:rsidR="00820D03" w:rsidRPr="005E718D" w:rsidRDefault="00820D03" w:rsidP="00820D03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41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6325A" w:rsidRDefault="0076325A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6325A" w:rsidRDefault="0076325A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6325A" w:rsidRPr="005E718D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lastRenderedPageBreak/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6325A" w:rsidRDefault="0076325A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Nëse Gjykata konstaton se ka pasur një shkelje të Konvent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 ose 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Protokolleve n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, dhe n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se ligji i brendshëm i Pal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 s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Lart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Kontraktuese 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në fjalë lejon që të bëhet vetëm kompensim i pjesshëm, nëse është e nevojshme, Gjykata duhet të ofrojë kompensim të drejtë për palën e dëmtuar.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D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MI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Parashtrimet e pal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ve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Ankuesit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C4B30" w:rsidRDefault="00820D03" w:rsidP="008C4B3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si ato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rmbledhura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§§ 57-58. </w:t>
      </w:r>
      <w:r w:rsidR="00DF31E6">
        <w:rPr>
          <w:rFonts w:ascii="Times New Roman" w:hAnsi="Times New Roman"/>
          <w:sz w:val="24"/>
          <w:szCs w:val="24"/>
          <w:lang w:val="sq-AL"/>
        </w:rPr>
        <w:t>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specifikisht, ata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rkuan </w:t>
      </w:r>
      <w:r w:rsidR="009238F1">
        <w:rPr>
          <w:rFonts w:ascii="Times New Roman" w:hAnsi="Times New Roman"/>
          <w:sz w:val="24"/>
          <w:szCs w:val="24"/>
          <w:lang w:val="sq-AL"/>
        </w:rPr>
        <w:t>7,054,285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Euro (“EUR”)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 e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rfaqes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me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rmas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640</w:t>
      </w:r>
      <w:r w:rsidR="00DF31E6">
        <w:rPr>
          <w:rFonts w:ascii="Times New Roman" w:hAnsi="Times New Roman"/>
          <w:sz w:val="24"/>
          <w:szCs w:val="24"/>
          <w:lang w:val="sq-AL"/>
        </w:rPr>
        <w:t>,000 m</w:t>
      </w:r>
      <w:r w:rsidR="00DF31E6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DF31E6">
        <w:rPr>
          <w:rFonts w:ascii="Times New Roman" w:hAnsi="Times New Roman"/>
          <w:sz w:val="24"/>
          <w:szCs w:val="24"/>
          <w:lang w:val="sq-AL"/>
        </w:rPr>
        <w:t>, bazuar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vitit 2013. Ata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rkuan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aplikohej </w:t>
      </w:r>
      <w:r w:rsidR="00997953">
        <w:rPr>
          <w:rFonts w:ascii="Times New Roman" w:hAnsi="Times New Roman"/>
          <w:sz w:val="24"/>
          <w:szCs w:val="24"/>
          <w:lang w:val="sq-AL"/>
        </w:rPr>
        <w:t>ç</w:t>
      </w:r>
      <w:r w:rsidR="00DF31E6">
        <w:rPr>
          <w:rFonts w:ascii="Times New Roman" w:hAnsi="Times New Roman"/>
          <w:sz w:val="24"/>
          <w:szCs w:val="24"/>
          <w:lang w:val="sq-AL"/>
        </w:rPr>
        <w:t>mimi i referenc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s prej </w:t>
      </w:r>
      <w:r w:rsidR="009238F1">
        <w:rPr>
          <w:rFonts w:ascii="Times New Roman" w:hAnsi="Times New Roman"/>
          <w:sz w:val="24"/>
          <w:szCs w:val="24"/>
          <w:lang w:val="sq-AL"/>
        </w:rPr>
        <w:t>1,646 l</w:t>
      </w:r>
      <w:r w:rsidR="00DF31E6">
        <w:rPr>
          <w:rFonts w:ascii="Times New Roman" w:hAnsi="Times New Roman"/>
          <w:sz w:val="24"/>
          <w:szCs w:val="24"/>
          <w:lang w:val="sq-AL"/>
        </w:rPr>
        <w:t>ek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shqiptar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(“T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GJITHA”)/m</w:t>
      </w:r>
      <w:r w:rsidR="00DF31E6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DF31E6">
        <w:rPr>
          <w:rFonts w:ascii="Times New Roman" w:hAnsi="Times New Roman"/>
          <w:sz w:val="24"/>
          <w:szCs w:val="24"/>
          <w:lang w:val="sq-AL"/>
        </w:rPr>
        <w:t>, si</w:t>
      </w:r>
      <w:r w:rsidR="00997953">
        <w:rPr>
          <w:rFonts w:ascii="Times New Roman" w:hAnsi="Times New Roman"/>
          <w:sz w:val="24"/>
          <w:szCs w:val="24"/>
          <w:lang w:val="sq-AL"/>
        </w:rPr>
        <w:t>ç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tregohet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vitit 2013. Ata parashtruan se zot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ronin </w:t>
      </w:r>
      <w:r w:rsidR="009238F1">
        <w:rPr>
          <w:rFonts w:ascii="Times New Roman" w:hAnsi="Times New Roman"/>
          <w:sz w:val="24"/>
          <w:szCs w:val="24"/>
          <w:lang w:val="sq-AL"/>
        </w:rPr>
        <w:t>pes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dhjet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gjasht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dhjetat e tok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s me p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rmas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640,000 m</w:t>
      </w:r>
      <w:r w:rsidR="009238F1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DF31E6">
        <w:rPr>
          <w:rFonts w:ascii="Times New Roman" w:hAnsi="Times New Roman"/>
          <w:sz w:val="24"/>
          <w:szCs w:val="24"/>
          <w:lang w:val="sq-AL"/>
        </w:rPr>
        <w:t>. Ata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rkuan </w:t>
      </w:r>
      <w:r w:rsidR="00DF31E6">
        <w:rPr>
          <w:rFonts w:ascii="Times New Roman" w:hAnsi="Times New Roman"/>
          <w:sz w:val="24"/>
          <w:szCs w:val="24"/>
          <w:lang w:val="sq-AL"/>
        </w:rPr>
        <w:t>3</w:t>
      </w:r>
      <w:r w:rsidR="009238F1">
        <w:rPr>
          <w:rFonts w:ascii="Times New Roman" w:hAnsi="Times New Roman"/>
          <w:sz w:val="24"/>
          <w:szCs w:val="24"/>
          <w:lang w:val="sq-AL"/>
        </w:rPr>
        <w:t>1</w:t>
      </w:r>
      <w:r w:rsidR="00DF31E6">
        <w:rPr>
          <w:rFonts w:ascii="Times New Roman" w:hAnsi="Times New Roman"/>
          <w:sz w:val="24"/>
          <w:szCs w:val="24"/>
          <w:lang w:val="sq-AL"/>
        </w:rPr>
        <w:t>5,000 euro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 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min jo monetar. </w:t>
      </w:r>
    </w:p>
    <w:p w:rsidR="009238F1" w:rsidRDefault="009238F1" w:rsidP="009238F1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C4B30" w:rsidRPr="00DF31E6" w:rsidRDefault="008C4B30" w:rsidP="00DF31E6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Qeveria </w:t>
      </w:r>
    </w:p>
    <w:p w:rsidR="008C4B30" w:rsidRDefault="008C4B30" w:rsidP="008C4B3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93F34" w:rsidRDefault="008C4B30" w:rsidP="007E62CB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Q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everia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ri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jtat parashtrime si ato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rmbledhura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vendim</w:t>
      </w:r>
      <w:r>
        <w:rPr>
          <w:rFonts w:ascii="Times New Roman" w:hAnsi="Times New Roman"/>
          <w:sz w:val="24"/>
          <w:szCs w:val="24"/>
          <w:lang w:val="sq-AL"/>
        </w:rPr>
        <w:t>in 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saj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Gjykate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="00EC3F27"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r, §§ 69-71. Duke pasur parasysh faktin se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 e konfiskimit,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rfaqja e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kishte qen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sore, Qeveria propozoi se bazuar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simit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 vitit 2014, duhej zbatuar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DF31E6">
        <w:rPr>
          <w:rFonts w:ascii="Times New Roman" w:hAnsi="Times New Roman"/>
          <w:sz w:val="24"/>
          <w:szCs w:val="24"/>
          <w:lang w:val="sq-AL"/>
        </w:rPr>
        <w:t>mimi i referenc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s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DF31E6">
        <w:rPr>
          <w:rFonts w:ascii="Times New Roman" w:hAnsi="Times New Roman"/>
          <w:sz w:val="24"/>
          <w:szCs w:val="24"/>
          <w:lang w:val="sq-AL"/>
        </w:rPr>
        <w:t xml:space="preserve">sore. </w:t>
      </w:r>
      <w:r w:rsidR="007E62CB">
        <w:rPr>
          <w:rFonts w:ascii="Times New Roman" w:hAnsi="Times New Roman"/>
          <w:sz w:val="24"/>
          <w:szCs w:val="24"/>
          <w:lang w:val="sq-AL"/>
        </w:rPr>
        <w:t>Duke qen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se zona kadestrale ku pozicionohej prona nuk </w:t>
      </w:r>
      <w:r w:rsidR="0069621E">
        <w:rPr>
          <w:rFonts w:ascii="Times New Roman" w:hAnsi="Times New Roman"/>
          <w:sz w:val="24"/>
          <w:szCs w:val="24"/>
          <w:lang w:val="sq-AL"/>
        </w:rPr>
        <w:t>pasqyronte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51CCF">
        <w:rPr>
          <w:rFonts w:ascii="Times New Roman" w:hAnsi="Times New Roman"/>
          <w:sz w:val="24"/>
          <w:szCs w:val="24"/>
          <w:lang w:val="sq-AL"/>
        </w:rPr>
        <w:t>ç</w:t>
      </w:r>
      <w:r w:rsidR="007E62CB">
        <w:rPr>
          <w:rFonts w:ascii="Times New Roman" w:hAnsi="Times New Roman"/>
          <w:sz w:val="24"/>
          <w:szCs w:val="24"/>
          <w:lang w:val="sq-AL"/>
        </w:rPr>
        <w:t>mim reference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sore, duhet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zbatohet 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 w:rsidR="007E62CB">
        <w:rPr>
          <w:rFonts w:ascii="Times New Roman" w:hAnsi="Times New Roman"/>
          <w:sz w:val="24"/>
          <w:szCs w:val="24"/>
          <w:lang w:val="sq-AL"/>
        </w:rPr>
        <w:t>mimi i referenc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sore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zon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 kadestrale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af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rt,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>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281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7E62CB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7E62CB">
        <w:rPr>
          <w:rFonts w:ascii="Times New Roman" w:hAnsi="Times New Roman"/>
          <w:sz w:val="24"/>
          <w:szCs w:val="24"/>
          <w:lang w:val="sq-AL"/>
        </w:rPr>
        <w:t>. Qeveria konfirmoi se ankuesit kishin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sz w:val="24"/>
          <w:szCs w:val="24"/>
          <w:lang w:val="sq-AL"/>
        </w:rPr>
        <w:t xml:space="preserve"> mbi </w:t>
      </w:r>
      <w:r w:rsidR="009238F1">
        <w:rPr>
          <w:rFonts w:ascii="Times New Roman" w:hAnsi="Times New Roman"/>
          <w:sz w:val="24"/>
          <w:szCs w:val="24"/>
          <w:lang w:val="sq-AL"/>
        </w:rPr>
        <w:t>pes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dhjet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 xml:space="preserve"> gjasht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dhjetat</w:t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51CCF">
        <w:rPr>
          <w:rFonts w:ascii="Times New Roman" w:hAnsi="Times New Roman"/>
          <w:sz w:val="24"/>
          <w:szCs w:val="24"/>
          <w:lang w:val="sq-AL"/>
        </w:rPr>
        <w:t xml:space="preserve">e </w:t>
      </w:r>
      <w:r w:rsidR="009238F1">
        <w:rPr>
          <w:rFonts w:ascii="Times New Roman" w:hAnsi="Times New Roman"/>
          <w:sz w:val="24"/>
          <w:szCs w:val="24"/>
          <w:lang w:val="sq-AL"/>
        </w:rPr>
        <w:t>pron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s</w:t>
      </w:r>
      <w:r w:rsidR="007E62CB">
        <w:rPr>
          <w:rFonts w:ascii="Times New Roman" w:hAnsi="Times New Roman"/>
          <w:sz w:val="24"/>
          <w:szCs w:val="24"/>
          <w:lang w:val="sq-AL"/>
        </w:rPr>
        <w:t>.</w:t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7E62CB" w:rsidRPr="007E62CB" w:rsidRDefault="007E62CB" w:rsidP="007E62CB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76ED5" w:rsidRPr="005E718D" w:rsidRDefault="00C76ED5" w:rsidP="00C76ED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Vler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simi i Gjykat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</w:t>
      </w:r>
    </w:p>
    <w:p w:rsidR="00C76ED5" w:rsidRPr="005E718D" w:rsidRDefault="00C76ED5" w:rsidP="00C76ED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76325A" w:rsidRPr="0076325A" w:rsidRDefault="00E55F6A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shqyrtoi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ra nga pal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vendimin e saj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§§ 78-87. Gjykata arriti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rfundimin se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mi monetar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rcaktohet bazuar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vitit 2008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90;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 125; dhe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Vrioni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E62CB">
        <w:rPr>
          <w:rFonts w:ascii="Times New Roman" w:hAnsi="Times New Roman"/>
          <w:i/>
          <w:sz w:val="24"/>
          <w:szCs w:val="24"/>
          <w:lang w:val="sq-AL"/>
        </w:rPr>
        <w:t xml:space="preserve"> T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r </w:t>
      </w:r>
    </w:p>
    <w:p w:rsidR="0076325A" w:rsidRDefault="0076325A" w:rsidP="0076325A">
      <w:pPr>
        <w:pStyle w:val="NoSpacing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76325A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76325A" w:rsidRPr="005E718D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lastRenderedPageBreak/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6325A" w:rsidRDefault="0076325A" w:rsidP="0076325A">
      <w:pPr>
        <w:pStyle w:val="NoSpacing"/>
        <w:spacing w:line="276" w:lineRule="auto"/>
        <w:ind w:left="720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6D5434" w:rsidRDefault="00E55F6A" w:rsidP="0076325A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(kompensim i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), nr. 35720/04 dhe 42832/06, §§ 33-39, 7 Dhjetor 2010). Gjykata nuk gjen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 t’u 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>distancuar nga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>to gjetje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E62CB" w:rsidRDefault="007E62CB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Gjykata 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ren se autoritetet njoh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ankuesve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kompensim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e nd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rtimit dhe jo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tok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bujq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sore, si</w:t>
      </w:r>
      <w:r w:rsidR="0069621E">
        <w:rPr>
          <w:rFonts w:ascii="Times New Roman" w:hAnsi="Times New Roman"/>
          <w:sz w:val="24"/>
          <w:szCs w:val="24"/>
          <w:lang w:val="sq-AL"/>
        </w:rPr>
        <w:t>ç</w:t>
      </w:r>
      <w:r>
        <w:rPr>
          <w:rFonts w:ascii="Times New Roman" w:hAnsi="Times New Roman"/>
          <w:sz w:val="24"/>
          <w:szCs w:val="24"/>
          <w:lang w:val="sq-AL"/>
        </w:rPr>
        <w:t xml:space="preserve"> u </w:t>
      </w:r>
      <w:r w:rsidR="009238F1">
        <w:rPr>
          <w:rFonts w:ascii="Times New Roman" w:hAnsi="Times New Roman"/>
          <w:sz w:val="24"/>
          <w:szCs w:val="24"/>
          <w:lang w:val="sq-AL"/>
        </w:rPr>
        <w:t>kund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9238F1">
        <w:rPr>
          <w:rFonts w:ascii="Times New Roman" w:hAnsi="Times New Roman"/>
          <w:sz w:val="24"/>
          <w:szCs w:val="24"/>
          <w:lang w:val="sq-AL"/>
        </w:rPr>
        <w:t>rshtua</w:t>
      </w:r>
      <w:r>
        <w:rPr>
          <w:rFonts w:ascii="Times New Roman" w:hAnsi="Times New Roman"/>
          <w:sz w:val="24"/>
          <w:szCs w:val="24"/>
          <w:lang w:val="sq-AL"/>
        </w:rPr>
        <w:t xml:space="preserve"> nga Qeveria. </w:t>
      </w:r>
    </w:p>
    <w:p w:rsidR="007E62CB" w:rsidRDefault="007E62CB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lidhje me materialin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saj, Gjykata </w:t>
      </w:r>
      <w:r w:rsidR="00A45B7A">
        <w:rPr>
          <w:rFonts w:ascii="Times New Roman" w:hAnsi="Times New Roman"/>
          <w:sz w:val="24"/>
          <w:szCs w:val="24"/>
          <w:lang w:val="sq-AL"/>
        </w:rPr>
        <w:t>e shikon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arsyeshme t’i akordoj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ankuesve EUR </w:t>
      </w:r>
      <w:r w:rsidR="009238F1">
        <w:rPr>
          <w:rFonts w:ascii="Times New Roman" w:hAnsi="Times New Roman"/>
          <w:sz w:val="24"/>
          <w:szCs w:val="24"/>
          <w:lang w:val="sq-AL"/>
        </w:rPr>
        <w:t>5,919,000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812477">
        <w:rPr>
          <w:rFonts w:ascii="Times New Roman" w:hAnsi="Times New Roman"/>
          <w:sz w:val="24"/>
          <w:szCs w:val="24"/>
          <w:lang w:val="sq-AL"/>
        </w:rPr>
        <w:t>pes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12477">
        <w:rPr>
          <w:rFonts w:ascii="Times New Roman" w:hAnsi="Times New Roman"/>
          <w:sz w:val="24"/>
          <w:szCs w:val="24"/>
          <w:lang w:val="sq-AL"/>
        </w:rPr>
        <w:t xml:space="preserve"> milion 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12477">
        <w:rPr>
          <w:rFonts w:ascii="Times New Roman" w:hAnsi="Times New Roman"/>
          <w:sz w:val="24"/>
          <w:szCs w:val="24"/>
          <w:lang w:val="sq-AL"/>
        </w:rPr>
        <w:t>nt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12477">
        <w:rPr>
          <w:rFonts w:ascii="Times New Roman" w:hAnsi="Times New Roman"/>
          <w:sz w:val="24"/>
          <w:szCs w:val="24"/>
          <w:lang w:val="sq-AL"/>
        </w:rPr>
        <w:t>qind 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661299">
        <w:rPr>
          <w:rFonts w:ascii="Times New Roman" w:hAnsi="Times New Roman"/>
          <w:sz w:val="24"/>
          <w:szCs w:val="24"/>
          <w:lang w:val="sq-AL"/>
        </w:rPr>
        <w:t>n</w:t>
      </w:r>
      <w:r w:rsidR="00812477">
        <w:rPr>
          <w:rFonts w:ascii="Times New Roman" w:hAnsi="Times New Roman"/>
          <w:sz w:val="24"/>
          <w:szCs w:val="24"/>
          <w:lang w:val="sq-AL"/>
        </w:rPr>
        <w:t>t</w:t>
      </w:r>
      <w:r w:rsidR="00661299">
        <w:rPr>
          <w:rFonts w:ascii="Times New Roman" w:hAnsi="Times New Roman"/>
          <w:sz w:val="24"/>
          <w:szCs w:val="24"/>
          <w:lang w:val="sq-AL"/>
        </w:rPr>
        <w:t>ë</w:t>
      </w:r>
      <w:r w:rsidR="00812477">
        <w:rPr>
          <w:rFonts w:ascii="Times New Roman" w:hAnsi="Times New Roman"/>
          <w:sz w:val="24"/>
          <w:szCs w:val="24"/>
          <w:lang w:val="sq-AL"/>
        </w:rPr>
        <w:t>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12477">
        <w:rPr>
          <w:rFonts w:ascii="Times New Roman" w:hAnsi="Times New Roman"/>
          <w:sz w:val="24"/>
          <w:szCs w:val="24"/>
          <w:lang w:val="sq-AL"/>
        </w:rPr>
        <w:t>dhjet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12477">
        <w:rPr>
          <w:rFonts w:ascii="Times New Roman" w:hAnsi="Times New Roman"/>
          <w:sz w:val="24"/>
          <w:szCs w:val="24"/>
          <w:lang w:val="sq-AL"/>
        </w:rPr>
        <w:t xml:space="preserve"> mij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>)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>r 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A45B7A">
        <w:rPr>
          <w:rFonts w:ascii="Times New Roman" w:hAnsi="Times New Roman"/>
          <w:sz w:val="24"/>
          <w:szCs w:val="24"/>
          <w:lang w:val="sq-AL"/>
        </w:rPr>
        <w:t xml:space="preserve">min monetar dhe jo monetar. </w:t>
      </w:r>
    </w:p>
    <w:p w:rsidR="005121E3" w:rsidRDefault="005121E3" w:rsidP="005121E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121E3" w:rsidRDefault="005121E3" w:rsidP="005121E3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Kostot dhe shpenzimet</w:t>
      </w:r>
    </w:p>
    <w:p w:rsidR="005121E3" w:rsidRDefault="005121E3" w:rsidP="005121E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11B2B" w:rsidRPr="005121E3" w:rsidRDefault="005121E3" w:rsidP="005121E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Ankuesit </w:t>
      </w:r>
      <w:r w:rsidR="00351C33">
        <w:rPr>
          <w:rFonts w:ascii="Times New Roman" w:hAnsi="Times New Roman"/>
          <w:sz w:val="24"/>
          <w:szCs w:val="24"/>
          <w:lang w:val="sq-AL"/>
        </w:rPr>
        <w:t>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rkuan 1,000 euro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r kostot dhe shpenzimet. Ata dor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zuan faturat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rkat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51C33">
        <w:rPr>
          <w:rFonts w:ascii="Times New Roman" w:hAnsi="Times New Roman"/>
          <w:sz w:val="24"/>
          <w:szCs w:val="24"/>
          <w:lang w:val="sq-AL"/>
        </w:rPr>
        <w:t>se.</w:t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FF615D" w:rsidRPr="005E718D" w:rsidRDefault="00351C33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Duke 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>cit</w:t>
      </w:r>
      <w:r>
        <w:rPr>
          <w:rFonts w:ascii="Times New Roman" w:hAnsi="Times New Roman"/>
          <w:sz w:val="24"/>
          <w:szCs w:val="24"/>
          <w:lang w:val="sq-AL"/>
        </w:rPr>
        <w:t>uar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>Gjyli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511B2B" w:rsidRPr="005E718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>(nr. 32907/07, § 72, 29 Shtator 2009), sipas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 cilës</w:t>
      </w:r>
      <w:r w:rsidR="00511B2B" w:rsidRPr="005E718D">
        <w:rPr>
          <w:rFonts w:ascii="Times New Roman" w:hAnsi="Times New Roman"/>
          <w:sz w:val="24"/>
          <w:szCs w:val="24"/>
          <w:lang w:val="sq-AL"/>
        </w:rPr>
        <w:t xml:space="preserve"> kostot dhe shpenzimet 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duhet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paguara faktikisht dhe domosdoshm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risht 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 arsyeshme, Qeveria ia 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la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shtjen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besim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vendosur shum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akord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o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het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rast. </w:t>
      </w:r>
    </w:p>
    <w:p w:rsidR="000B4AD6" w:rsidRPr="0088511F" w:rsidRDefault="00FF615D" w:rsidP="0079747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88511F">
        <w:rPr>
          <w:rFonts w:ascii="Times New Roman" w:hAnsi="Times New Roman"/>
          <w:sz w:val="24"/>
          <w:szCs w:val="24"/>
          <w:lang w:val="sq-AL"/>
        </w:rPr>
        <w:t xml:space="preserve">Sipas </w:t>
      </w:r>
      <w:r w:rsidR="00351C33" w:rsidRPr="0088511F">
        <w:rPr>
          <w:rFonts w:ascii="Times New Roman" w:hAnsi="Times New Roman"/>
          <w:sz w:val="24"/>
          <w:szCs w:val="24"/>
          <w:lang w:val="sq-AL"/>
        </w:rPr>
        <w:t>praktik</w:t>
      </w:r>
      <w:r w:rsidR="00355CF9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351C33" w:rsidRPr="0088511F">
        <w:rPr>
          <w:rFonts w:ascii="Times New Roman" w:hAnsi="Times New Roman"/>
          <w:sz w:val="24"/>
          <w:szCs w:val="24"/>
          <w:lang w:val="sq-AL"/>
        </w:rPr>
        <w:t>s gjyq</w:t>
      </w:r>
      <w:r w:rsidR="00355CF9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351C33" w:rsidRPr="0088511F">
        <w:rPr>
          <w:rFonts w:ascii="Times New Roman" w:hAnsi="Times New Roman"/>
          <w:sz w:val="24"/>
          <w:szCs w:val="24"/>
          <w:lang w:val="sq-AL"/>
        </w:rPr>
        <w:t>sore</w:t>
      </w:r>
      <w:r w:rsidRPr="0088511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>s, “nj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 xml:space="preserve"> ankues ka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>n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rimbursohet p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 kostot dhe shpenzimet vet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m p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 aq koh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sa tregohet se k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to jan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rtet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dhe sepse kan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nevojshme, dhe se jan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arsyeshme</w:t>
      </w:r>
      <w:r w:rsidR="000B4AD6" w:rsidRPr="0088511F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0B4AD6" w:rsidRPr="0088511F">
        <w:rPr>
          <w:rFonts w:ascii="Times New Roman" w:hAnsi="Times New Roman"/>
          <w:sz w:val="24"/>
          <w:szCs w:val="24"/>
          <w:lang w:val="sq-AL"/>
        </w:rPr>
        <w:t xml:space="preserve">r </w:t>
      </w:r>
      <w:r w:rsidR="00797478" w:rsidRPr="0088511F">
        <w:rPr>
          <w:rFonts w:ascii="Times New Roman" w:hAnsi="Times New Roman"/>
          <w:sz w:val="24"/>
          <w:szCs w:val="24"/>
          <w:lang w:val="sq-AL"/>
        </w:rPr>
        <w:t>ç</w:t>
      </w:r>
      <w:r w:rsidR="000B4AD6" w:rsidRPr="0088511F">
        <w:rPr>
          <w:rFonts w:ascii="Times New Roman" w:hAnsi="Times New Roman"/>
          <w:sz w:val="24"/>
          <w:szCs w:val="24"/>
          <w:lang w:val="sq-AL"/>
        </w:rPr>
        <w:t>do shum</w:t>
      </w:r>
      <w:r w:rsidR="00355CF9" w:rsidRPr="0088511F">
        <w:rPr>
          <w:rFonts w:ascii="Times New Roman" w:hAnsi="Times New Roman"/>
          <w:sz w:val="24"/>
          <w:szCs w:val="24"/>
          <w:lang w:val="sq-AL"/>
        </w:rPr>
        <w:t>ë</w:t>
      </w:r>
      <w:r w:rsidRPr="0088511F">
        <w:rPr>
          <w:rFonts w:ascii="Times New Roman" w:hAnsi="Times New Roman"/>
          <w:sz w:val="24"/>
          <w:szCs w:val="24"/>
          <w:lang w:val="sq-AL"/>
        </w:rPr>
        <w:t>”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="009F407D" w:rsidRPr="0088511F">
        <w:rPr>
          <w:rFonts w:ascii="Times New Roman" w:hAnsi="Times New Roman"/>
          <w:i/>
          <w:sz w:val="24"/>
          <w:szCs w:val="24"/>
          <w:lang w:val="sq-AL"/>
        </w:rPr>
        <w:t>Gjyli kund</w:t>
      </w:r>
      <w:r w:rsidR="00F872F5" w:rsidRPr="0088511F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88511F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88511F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r, § 72). 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88511F" w:rsidRPr="0088511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k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ndv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shtrim, Rregulli 60 §§ 2 dhe 3 i Rregullores s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 parashikon se ankuesit duhet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0B4AD6" w:rsidRPr="0088511F">
        <w:rPr>
          <w:rFonts w:ascii="Times New Roman" w:hAnsi="Times New Roman"/>
          <w:sz w:val="24"/>
          <w:szCs w:val="24"/>
          <w:lang w:val="sq-AL"/>
        </w:rPr>
        <w:t>a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lidhin me k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rkesat e tyre p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ç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do dokument mb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shtet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 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lidhur me 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çë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shtjen”. N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se kjo gj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nuk realizohet, Gjykata “mund t’i kund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rshtoj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rkesat plot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>sisht ose pjes</w:t>
      </w:r>
      <w:r w:rsidR="00F872F5" w:rsidRPr="0088511F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88511F">
        <w:rPr>
          <w:rFonts w:ascii="Times New Roman" w:hAnsi="Times New Roman"/>
          <w:sz w:val="24"/>
          <w:szCs w:val="24"/>
          <w:lang w:val="sq-AL"/>
        </w:rPr>
        <w:t xml:space="preserve">risht”. </w:t>
      </w:r>
    </w:p>
    <w:p w:rsidR="005C50E2" w:rsidRPr="000B4AD6" w:rsidRDefault="000B4AD6" w:rsidP="005121E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0B4AD6"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lidhje me gjetjet e saj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88511F"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0B4AD6">
        <w:rPr>
          <w:rFonts w:ascii="Times New Roman" w:hAnsi="Times New Roman"/>
          <w:sz w:val="24"/>
          <w:szCs w:val="24"/>
          <w:lang w:val="sq-AL"/>
        </w:rPr>
        <w:t>13</w:t>
      </w:r>
      <w:r w:rsidR="0088511F">
        <w:rPr>
          <w:rFonts w:ascii="Times New Roman" w:hAnsi="Times New Roman"/>
          <w:sz w:val="24"/>
          <w:szCs w:val="24"/>
          <w:lang w:val="sq-AL"/>
        </w:rPr>
        <w:t>-14</w:t>
      </w:r>
      <w:r w:rsidRPr="000B4AD6">
        <w:rPr>
          <w:rFonts w:ascii="Times New Roman" w:hAnsi="Times New Roman"/>
          <w:sz w:val="24"/>
          <w:szCs w:val="24"/>
          <w:lang w:val="sq-AL"/>
        </w:rPr>
        <w:t>, natyra 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rs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ritur e ankesave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ngritura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 xml:space="preserve"> ankimin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0B4AD6">
        <w:rPr>
          <w:rFonts w:ascii="Times New Roman" w:hAnsi="Times New Roman"/>
          <w:sz w:val="24"/>
          <w:szCs w:val="24"/>
          <w:lang w:val="sq-AL"/>
        </w:rPr>
        <w:t>rm,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rfaq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simi i disa prej ankuesve nga i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jti avokat dhe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n</w:t>
      </w:r>
      <w:r w:rsidR="004020EA">
        <w:rPr>
          <w:rFonts w:ascii="Times New Roman" w:hAnsi="Times New Roman"/>
          <w:sz w:val="24"/>
          <w:szCs w:val="24"/>
          <w:lang w:val="sq-AL"/>
        </w:rPr>
        <w:t>d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v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shtrimi i Gjykat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s se shumica e kostove dhe shpenzimeve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5121E3" w:rsidRPr="000B4AD6">
        <w:rPr>
          <w:rFonts w:ascii="Times New Roman" w:hAnsi="Times New Roman"/>
          <w:sz w:val="24"/>
          <w:szCs w:val="24"/>
          <w:lang w:val="sq-AL"/>
        </w:rPr>
        <w:t>rkuara n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>uk ishin t</w:t>
      </w:r>
      <w:r w:rsidR="00F872F5" w:rsidRPr="000B4AD6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 xml:space="preserve"> justifikueshme p</w:t>
      </w:r>
      <w:r w:rsidR="00F872F5" w:rsidRPr="000B4AD6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>r shum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>n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>, Gjykata e gjykon t</w:t>
      </w:r>
      <w:r w:rsidR="00F872F5" w:rsidRPr="000B4AD6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 xml:space="preserve"> arsyeshme </w:t>
      </w:r>
      <w:r w:rsidR="004020EA">
        <w:rPr>
          <w:rFonts w:ascii="Times New Roman" w:hAnsi="Times New Roman"/>
          <w:sz w:val="24"/>
          <w:szCs w:val="24"/>
          <w:lang w:val="sq-AL"/>
        </w:rPr>
        <w:t>t’i akordoj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 xml:space="preserve"> ankuesve 850 euro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4020EA">
        <w:rPr>
          <w:rFonts w:ascii="Times New Roman" w:hAnsi="Times New Roman"/>
          <w:sz w:val="24"/>
          <w:szCs w:val="24"/>
          <w:lang w:val="sq-AL"/>
        </w:rPr>
        <w:t>r kostot dhe shpenzimet.</w:t>
      </w:r>
      <w:r w:rsidR="005C50E2" w:rsidRPr="000B4AD6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C50E2" w:rsidRPr="005E718D" w:rsidRDefault="005C50E2" w:rsidP="005C50E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C50E2" w:rsidRPr="005E718D" w:rsidRDefault="0088511F" w:rsidP="005C50E2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Interesi i papaguar </w:t>
      </w:r>
    </w:p>
    <w:p w:rsidR="005C50E2" w:rsidRPr="005E718D" w:rsidRDefault="005C50E2" w:rsidP="005C50E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F5E75" w:rsidRPr="005E718D" w:rsidRDefault="005C50E2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 konsideron 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rshtatshme 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norma e interesit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papaguar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n marx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hinale huadh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 Qendrore Europiane,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 duhet t’i shtohen tre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rqind.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TO ARSYE, GJYKATA,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NYR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UNANIME, </w:t>
      </w:r>
    </w:p>
    <w:p w:rsidR="003D678A" w:rsidRDefault="003D678A" w:rsidP="00CB546B">
      <w:pPr>
        <w:pStyle w:val="ListParagraph"/>
        <w:ind w:left="0"/>
        <w:rPr>
          <w:rFonts w:ascii="Times New Roman" w:hAnsi="Times New Roman"/>
          <w:sz w:val="24"/>
          <w:szCs w:val="24"/>
          <w:lang w:val="sq-AL"/>
        </w:rPr>
      </w:pPr>
    </w:p>
    <w:p w:rsidR="0076325A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76325A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lastRenderedPageBreak/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6325A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AF5E75" w:rsidRPr="003D678A" w:rsidRDefault="003D678A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3D678A">
        <w:rPr>
          <w:rFonts w:ascii="Times New Roman" w:hAnsi="Times New Roman"/>
          <w:i/>
          <w:sz w:val="24"/>
          <w:szCs w:val="24"/>
          <w:lang w:val="sq-AL"/>
        </w:rPr>
        <w:t xml:space="preserve">I deklaron </w:t>
      </w:r>
      <w:r w:rsidRPr="003D678A">
        <w:rPr>
          <w:rFonts w:ascii="Times New Roman" w:hAnsi="Times New Roman"/>
          <w:sz w:val="24"/>
          <w:szCs w:val="24"/>
          <w:lang w:val="sq-AL"/>
        </w:rPr>
        <w:t>ankimet e mbetura bazuar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Pr="003D678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Nenet 6 § 1 dhe 13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l</w:t>
      </w:r>
      <w:r w:rsidR="00CB546B">
        <w:rPr>
          <w:rFonts w:ascii="Times New Roman" w:hAnsi="Times New Roman"/>
          <w:sz w:val="24"/>
          <w:szCs w:val="24"/>
          <w:lang w:val="sq-AL"/>
        </w:rPr>
        <w:t>idhje me moszbatimin e vendimit vendas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dhe koh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>zgjatjen e procedurave t</w:t>
      </w:r>
      <w:r w:rsidR="00F872F5" w:rsidRPr="003D678A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3D678A">
        <w:rPr>
          <w:rFonts w:ascii="Times New Roman" w:hAnsi="Times New Roman"/>
          <w:sz w:val="24"/>
          <w:szCs w:val="24"/>
          <w:lang w:val="sq-AL"/>
        </w:rPr>
        <w:t xml:space="preserve"> pranueshme;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AE2181" w:rsidRDefault="00AF5E75" w:rsidP="003D678A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5E718D">
        <w:rPr>
          <w:rFonts w:ascii="Times New Roman" w:hAnsi="Times New Roman"/>
          <w:sz w:val="24"/>
          <w:szCs w:val="24"/>
          <w:lang w:val="sq-AL"/>
        </w:rPr>
        <w:t>se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ka pasur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Neneve </w:t>
      </w:r>
      <w:r w:rsidR="003D678A" w:rsidRPr="003D678A">
        <w:rPr>
          <w:rFonts w:ascii="Times New Roman" w:hAnsi="Times New Roman"/>
          <w:sz w:val="24"/>
          <w:szCs w:val="24"/>
          <w:lang w:val="sq-AL"/>
        </w:rPr>
        <w:t>6 § 1 dhe 13 të Konventës si edhe të Nenit 1 të Protokollit Nr. 1 të Konventës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3D678A">
        <w:rPr>
          <w:rFonts w:ascii="Times New Roman" w:hAnsi="Times New Roman"/>
          <w:sz w:val="24"/>
          <w:szCs w:val="24"/>
          <w:lang w:val="sq-AL"/>
        </w:rPr>
        <w:t>;</w:t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3D678A" w:rsidRPr="003D678A" w:rsidRDefault="003D678A" w:rsidP="003D67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E2181" w:rsidRDefault="00AE2181" w:rsidP="00AE2181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3B2C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se nuk 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e nevojshme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shqyrtohet ankesa sipas kuptimit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zgjatjen e procedurave; </w:t>
      </w:r>
    </w:p>
    <w:p w:rsidR="003D678A" w:rsidRPr="00473B2C" w:rsidRDefault="003D678A" w:rsidP="003D678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E2181" w:rsidRPr="005E718D" w:rsidRDefault="00AE2181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Gjykon</w:t>
      </w:r>
    </w:p>
    <w:p w:rsidR="00CB546B" w:rsidRDefault="00AE2181" w:rsidP="00AE2181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Se Shteti i paditur duhet </w:t>
      </w:r>
      <w:r w:rsidR="00CB546B">
        <w:rPr>
          <w:rFonts w:ascii="Times New Roman" w:hAnsi="Times New Roman"/>
          <w:sz w:val="24"/>
          <w:szCs w:val="24"/>
          <w:lang w:val="sq-AL"/>
        </w:rPr>
        <w:t>t’i paguaj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8511F">
        <w:rPr>
          <w:rFonts w:ascii="Times New Roman" w:hAnsi="Times New Roman"/>
          <w:sz w:val="24"/>
          <w:szCs w:val="24"/>
          <w:lang w:val="sq-AL"/>
        </w:rPr>
        <w:t>bashkërisht ankuesit</w:t>
      </w:r>
      <w:r w:rsidR="00CB546B">
        <w:rPr>
          <w:rFonts w:ascii="Times New Roman" w:hAnsi="Times New Roman"/>
          <w:sz w:val="24"/>
          <w:szCs w:val="24"/>
          <w:lang w:val="sq-AL"/>
        </w:rPr>
        <w:t>, brenda tre muajve</w:t>
      </w:r>
      <w:r w:rsidR="00EB617E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1"/>
      </w:r>
      <w:r w:rsidR="00CB546B">
        <w:rPr>
          <w:rFonts w:ascii="Times New Roman" w:hAnsi="Times New Roman"/>
          <w:sz w:val="24"/>
          <w:szCs w:val="24"/>
          <w:lang w:val="sq-AL"/>
        </w:rPr>
        <w:t>, shumat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>poshtme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konvertohen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>n monetare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Shtetit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paditur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>n e zbatueshme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n e kompensimit: </w:t>
      </w:r>
    </w:p>
    <w:p w:rsidR="00C921E8" w:rsidRPr="0088511F" w:rsidRDefault="0088511F" w:rsidP="0088511F">
      <w:pPr>
        <w:pStyle w:val="NoSpacing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5,919,000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euro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 (</w:t>
      </w:r>
      <w:r>
        <w:rPr>
          <w:rFonts w:ascii="Times New Roman" w:hAnsi="Times New Roman"/>
          <w:sz w:val="24"/>
          <w:szCs w:val="24"/>
          <w:lang w:val="sq-AL"/>
        </w:rPr>
        <w:t>pes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661299">
        <w:rPr>
          <w:rFonts w:ascii="Times New Roman" w:hAnsi="Times New Roman"/>
          <w:sz w:val="24"/>
          <w:szCs w:val="24"/>
          <w:lang w:val="sq-AL"/>
        </w:rPr>
        <w:t xml:space="preserve"> milion</w:t>
      </w:r>
      <w:r>
        <w:rPr>
          <w:rFonts w:ascii="Times New Roman" w:hAnsi="Times New Roman"/>
          <w:sz w:val="24"/>
          <w:szCs w:val="24"/>
          <w:lang w:val="sq-AL"/>
        </w:rPr>
        <w:t xml:space="preserve"> 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qind e n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mb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dhjet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mij</w:t>
      </w:r>
      <w:r w:rsidR="00997953">
        <w:rPr>
          <w:rFonts w:ascii="Times New Roman" w:hAnsi="Times New Roman"/>
          <w:sz w:val="24"/>
          <w:szCs w:val="24"/>
          <w:lang w:val="sq-AL"/>
        </w:rPr>
        <w:t>ë</w:t>
      </w:r>
      <w:r w:rsidR="00CB546B">
        <w:rPr>
          <w:rFonts w:ascii="Times New Roman" w:hAnsi="Times New Roman"/>
          <w:sz w:val="24"/>
          <w:szCs w:val="24"/>
          <w:lang w:val="sq-AL"/>
        </w:rPr>
        <w:t xml:space="preserve">) 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plus </w:t>
      </w:r>
      <w:r w:rsidR="00797478">
        <w:rPr>
          <w:rFonts w:ascii="Times New Roman" w:hAnsi="Times New Roman"/>
          <w:sz w:val="24"/>
          <w:szCs w:val="24"/>
          <w:lang w:val="sq-AL"/>
        </w:rPr>
        <w:t>çdo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taks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e tarifueshme</w:t>
      </w:r>
      <w:r w:rsidR="00355CF9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2"/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>r d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EB617E">
        <w:rPr>
          <w:rFonts w:ascii="Times New Roman" w:hAnsi="Times New Roman"/>
          <w:sz w:val="24"/>
          <w:szCs w:val="24"/>
          <w:lang w:val="sq-AL"/>
        </w:rPr>
        <w:t xml:space="preserve">min monetar dhe jo monetar. </w:t>
      </w:r>
    </w:p>
    <w:p w:rsidR="00EB617E" w:rsidRPr="00C921E8" w:rsidRDefault="00EB617E" w:rsidP="00C921E8">
      <w:pPr>
        <w:pStyle w:val="NoSpacing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C921E8">
        <w:rPr>
          <w:rFonts w:ascii="Times New Roman" w:hAnsi="Times New Roman"/>
          <w:sz w:val="24"/>
          <w:szCs w:val="24"/>
          <w:lang w:val="sq-AL"/>
        </w:rPr>
        <w:t>850 euro (tet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>qind e pes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>dhjet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) plus </w:t>
      </w:r>
      <w:r w:rsidR="00797478" w:rsidRPr="00C921E8">
        <w:rPr>
          <w:rFonts w:ascii="Times New Roman" w:hAnsi="Times New Roman"/>
          <w:sz w:val="24"/>
          <w:szCs w:val="24"/>
          <w:lang w:val="sq-AL"/>
        </w:rPr>
        <w:t>ç</w:t>
      </w:r>
      <w:r w:rsidRPr="00C921E8">
        <w:rPr>
          <w:rFonts w:ascii="Times New Roman" w:hAnsi="Times New Roman"/>
          <w:sz w:val="24"/>
          <w:szCs w:val="24"/>
          <w:lang w:val="sq-AL"/>
        </w:rPr>
        <w:t>do taks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 e tarifueshme p</w:t>
      </w:r>
      <w:r w:rsidR="00355CF9" w:rsidRPr="00C921E8">
        <w:rPr>
          <w:rFonts w:ascii="Times New Roman" w:hAnsi="Times New Roman"/>
          <w:sz w:val="24"/>
          <w:szCs w:val="24"/>
          <w:lang w:val="sq-AL"/>
        </w:rPr>
        <w:t>ë</w:t>
      </w:r>
      <w:r w:rsidRPr="00C921E8">
        <w:rPr>
          <w:rFonts w:ascii="Times New Roman" w:hAnsi="Times New Roman"/>
          <w:sz w:val="24"/>
          <w:szCs w:val="24"/>
          <w:lang w:val="sq-AL"/>
        </w:rPr>
        <w:t xml:space="preserve">r kostot dhe shpenzimet; </w:t>
      </w:r>
    </w:p>
    <w:p w:rsidR="00EB617E" w:rsidRDefault="00EB617E" w:rsidP="00EB617E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Se q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nga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rfundimi i periudh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tre-mujore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rmendur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 deri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kompensim, interesi i thjesht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duhet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paguhet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shumat e 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sip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rme 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 w:rsidR="0076325A">
        <w:rPr>
          <w:rFonts w:ascii="Times New Roman" w:hAnsi="Times New Roman"/>
          <w:sz w:val="24"/>
          <w:szCs w:val="24"/>
          <w:lang w:val="sq-AL"/>
        </w:rPr>
        <w:t xml:space="preserve"> barasvler</w:t>
      </w:r>
      <w:r>
        <w:rPr>
          <w:rFonts w:ascii="Times New Roman" w:hAnsi="Times New Roman"/>
          <w:sz w:val="24"/>
          <w:szCs w:val="24"/>
          <w:lang w:val="sq-AL"/>
        </w:rPr>
        <w:t>shme me norm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 huadh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n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se marxhinale 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Qendrore Evropiane gjat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peri</w:t>
      </w:r>
      <w:r w:rsidR="00C921E8">
        <w:rPr>
          <w:rFonts w:ascii="Times New Roman" w:hAnsi="Times New Roman"/>
          <w:sz w:val="24"/>
          <w:szCs w:val="24"/>
          <w:lang w:val="sq-AL"/>
        </w:rPr>
        <w:t>u</w:t>
      </w:r>
      <w:r>
        <w:rPr>
          <w:rFonts w:ascii="Times New Roman" w:hAnsi="Times New Roman"/>
          <w:sz w:val="24"/>
          <w:szCs w:val="24"/>
          <w:lang w:val="sq-AL"/>
        </w:rPr>
        <w:t>dh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vones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s plus pik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tre p</w:t>
      </w:r>
      <w:r w:rsidR="00355CF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rqind; </w:t>
      </w:r>
    </w:p>
    <w:p w:rsidR="00797478" w:rsidRDefault="00797478" w:rsidP="00797478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i/>
          <w:sz w:val="24"/>
          <w:szCs w:val="24"/>
          <w:lang w:val="sq-AL"/>
        </w:rPr>
        <w:t xml:space="preserve">Rrëzon </w:t>
      </w:r>
      <w:r>
        <w:rPr>
          <w:rFonts w:ascii="Times New Roman" w:hAnsi="Times New Roman"/>
          <w:sz w:val="24"/>
          <w:szCs w:val="24"/>
          <w:lang w:val="sq-AL"/>
        </w:rPr>
        <w:t xml:space="preserve">pjesën e mbetur të kërkesës së ankuesve për kompensim të drejtë. </w:t>
      </w:r>
    </w:p>
    <w:p w:rsidR="003C39D7" w:rsidRDefault="003C39D7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DA5183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>rgatitur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anglisht dhe njoftuar me shkrim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C39D7">
        <w:rPr>
          <w:rFonts w:ascii="Times New Roman" w:hAnsi="Times New Roman"/>
          <w:sz w:val="24"/>
          <w:szCs w:val="24"/>
          <w:lang w:val="sq-AL"/>
        </w:rPr>
        <w:t>7 Prill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2016, sipas Rregullit 77 §§ 2 dhe 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73B2C" w:rsidRP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3C39D7" w:rsidRDefault="003C39D7" w:rsidP="003C39D7">
      <w:pPr>
        <w:pStyle w:val="NoSpacing"/>
        <w:tabs>
          <w:tab w:val="left" w:pos="6725"/>
        </w:tabs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</w:p>
    <w:p w:rsidR="00C9214E" w:rsidRPr="005E718D" w:rsidRDefault="00883FCB" w:rsidP="00883F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André </w:t>
      </w:r>
      <w:r w:rsidR="003E4508">
        <w:rPr>
          <w:rFonts w:ascii="Times New Roman" w:hAnsi="Times New Roman"/>
          <w:sz w:val="24"/>
          <w:szCs w:val="24"/>
          <w:lang w:val="sq-AL"/>
        </w:rPr>
        <w:t>W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ampach </w:t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  <w:t>Kristina Pardalos</w:t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96A6D" w:rsidRPr="005E718D" w:rsidRDefault="00883FCB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vend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regjistrar</w:t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="00FB461C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Presidente</w:t>
      </w: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3C39D7" w:rsidRDefault="003C39D7" w:rsidP="00883FCB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76325A" w:rsidRPr="005E718D" w:rsidRDefault="0076325A" w:rsidP="0076325A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>
        <w:rPr>
          <w:rFonts w:ascii="Times New Roman" w:hAnsi="Times New Roman"/>
          <w:sz w:val="18"/>
          <w:szCs w:val="18"/>
          <w:lang w:val="sq-AL"/>
        </w:rPr>
        <w:t>VENDIMI KARAGJOZI</w:t>
      </w:r>
      <w:r w:rsidRPr="005E718D">
        <w:rPr>
          <w:rFonts w:ascii="Times New Roman" w:hAnsi="Times New Roman"/>
          <w:sz w:val="18"/>
          <w:szCs w:val="18"/>
          <w:lang w:val="sq-AL"/>
        </w:rPr>
        <w:t xml:space="preserve"> DHE TË TJERËT KUNDËR SHQIPËRISË</w:t>
      </w:r>
    </w:p>
    <w:p w:rsidR="0076325A" w:rsidRDefault="0076325A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883FCB" w:rsidRPr="005E718D" w:rsidRDefault="00883FCB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SHTOJCA 1 – LISTA E ANKUESVE </w:t>
      </w:r>
    </w:p>
    <w:p w:rsidR="00883FCB" w:rsidRPr="005E718D" w:rsidRDefault="00883FCB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070"/>
        <w:gridCol w:w="2160"/>
        <w:gridCol w:w="1620"/>
        <w:gridCol w:w="1980"/>
      </w:tblGrid>
      <w:tr w:rsidR="00355CF9" w:rsidRPr="005E718D" w:rsidTr="00355CF9">
        <w:tc>
          <w:tcPr>
            <w:tcW w:w="252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dhe numri i çështjes</w:t>
            </w:r>
          </w:p>
        </w:tc>
        <w:tc>
          <w:tcPr>
            <w:tcW w:w="207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i ankuesit (viti i lindjes)</w:t>
            </w:r>
          </w:p>
        </w:tc>
        <w:tc>
          <w:tcPr>
            <w:tcW w:w="216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Shteti ku banojnë</w:t>
            </w:r>
          </w:p>
        </w:tc>
        <w:tc>
          <w:tcPr>
            <w:tcW w:w="162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Përfaqësuar nga</w:t>
            </w:r>
          </w:p>
        </w:tc>
        <w:tc>
          <w:tcPr>
            <w:tcW w:w="1980" w:type="dxa"/>
          </w:tcPr>
          <w:p w:rsidR="00355CF9" w:rsidRPr="005E718D" w:rsidRDefault="00355CF9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Data e prezantimit</w:t>
            </w:r>
          </w:p>
        </w:tc>
      </w:tr>
      <w:tr w:rsidR="00355CF9" w:rsidRPr="005E718D" w:rsidTr="00355CF9">
        <w:tc>
          <w:tcPr>
            <w:tcW w:w="2520" w:type="dxa"/>
          </w:tcPr>
          <w:p w:rsidR="00355CF9" w:rsidRPr="005E718D" w:rsidRDefault="00DA24F8" w:rsidP="00355CF9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Karagjozi</w:t>
            </w:r>
            <w:r w:rsidR="00355CF9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dhe të Tjerët</w:t>
            </w:r>
            <w:r w:rsidR="00355CF9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, </w:t>
            </w:r>
            <w:r w:rsidR="00355CF9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nr. 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32382</w:t>
            </w:r>
            <w:r w:rsidR="00355CF9">
              <w:rPr>
                <w:rFonts w:ascii="Times New Roman" w:hAnsi="Times New Roman"/>
                <w:sz w:val="20"/>
                <w:szCs w:val="20"/>
                <w:lang w:val="sq-AL"/>
              </w:rPr>
              <w:t>/11</w:t>
            </w:r>
          </w:p>
        </w:tc>
        <w:tc>
          <w:tcPr>
            <w:tcW w:w="2070" w:type="dxa"/>
          </w:tcPr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Eni Kokona (1976)</w:t>
            </w:r>
          </w:p>
          <w:p w:rsidR="00355CF9" w:rsidRDefault="00DA24F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Lindita Kokona (1948</w:t>
            </w:r>
            <w:r w:rsidR="00355CF9"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Xhejni Kokona (1978)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Nirvana Rradheshi (1951)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Shpresa Halimi (1969)</w:t>
            </w:r>
          </w:p>
          <w:p w:rsidR="00DA24F8" w:rsidRDefault="00DA24F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Dhurata Bungo mbiemri i vajz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ris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Karagjozi (1937)</w:t>
            </w: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Deshira Efovia</w:t>
            </w: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mbiemri i vajz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ris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Karagjozi (1936)</w:t>
            </w: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Suzana Gjebrea mbiemri i vajz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ris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Çami (</w:t>
            </w:r>
            <w:r w:rsidR="003E4508">
              <w:rPr>
                <w:rFonts w:ascii="Times New Roman" w:hAnsi="Times New Roman"/>
                <w:sz w:val="20"/>
                <w:szCs w:val="20"/>
                <w:lang w:val="sq-AL"/>
              </w:rPr>
              <w:t>1958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Hiqmet Çami (1924)</w:t>
            </w: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Hasibe Kulla mbiemri i vajz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ris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Çami(1966)</w:t>
            </w:r>
          </w:p>
          <w:p w:rsidR="00A96BAF" w:rsidRDefault="00A96BAF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Besnik Çami (</w:t>
            </w:r>
            <w:r w:rsidR="00607C3E">
              <w:rPr>
                <w:rFonts w:ascii="Times New Roman" w:hAnsi="Times New Roman"/>
                <w:sz w:val="20"/>
                <w:szCs w:val="20"/>
                <w:lang w:val="sq-AL"/>
              </w:rPr>
              <w:t>1961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Agim Karagjozi (1927)</w:t>
            </w: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Albert Karagjozi (1934)</w:t>
            </w: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Vesim Karagjozi (1931)</w:t>
            </w: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Bukuroshe Dobi mbiemri i vajz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ris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Karagjozi (1929)</w:t>
            </w: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Armand Viçani (1958)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Miranda Vi</w:t>
            </w:r>
            <w:r>
              <w:rPr>
                <w:rFonts w:ascii="Sylfaen" w:hAnsi="Sylfaen"/>
                <w:sz w:val="20"/>
                <w:szCs w:val="20"/>
                <w:lang w:val="sq-AL"/>
              </w:rPr>
              <w:t xml:space="preserve">çani 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mbiemri i vajz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>ris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Telegrafi (1949)</w:t>
            </w:r>
          </w:p>
          <w:p w:rsidR="00607C3E" w:rsidRDefault="00607C3E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 xml:space="preserve">Diana Kaltani 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mbiemri i vajzërisë Halimi (1936)</w:t>
            </w:r>
          </w:p>
          <w:p w:rsidR="00607C3E" w:rsidRDefault="0099795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Ermal Halimi (1959)</w:t>
            </w:r>
          </w:p>
          <w:p w:rsidR="00997953" w:rsidRDefault="0099795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Karolina Halimi (1935)</w:t>
            </w:r>
          </w:p>
          <w:p w:rsidR="00355CF9" w:rsidRPr="00997953" w:rsidRDefault="00997953" w:rsidP="00BC3F0A">
            <w:pPr>
              <w:pStyle w:val="NoSpacing"/>
              <w:spacing w:line="276" w:lineRule="auto"/>
              <w:rPr>
                <w:rFonts w:ascii="Sylfaen" w:hAnsi="Sylfae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Ariel Halimi (1963)</w:t>
            </w:r>
            <w:r w:rsidR="00355CF9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160" w:type="dxa"/>
          </w:tcPr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  <w:r w:rsidR="00A96BAF">
              <w:rPr>
                <w:rFonts w:ascii="Times New Roman" w:hAnsi="Times New Roman"/>
                <w:sz w:val="20"/>
                <w:szCs w:val="20"/>
                <w:lang w:val="sq-AL"/>
              </w:rPr>
              <w:t>t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96BAF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Amerik</w:t>
            </w:r>
            <w:r w:rsidR="00997953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96BAF">
              <w:rPr>
                <w:rFonts w:ascii="Times New Roman" w:hAnsi="Times New Roman"/>
                <w:sz w:val="20"/>
                <w:szCs w:val="20"/>
                <w:lang w:val="sq-AL"/>
              </w:rPr>
              <w:t>s</w:t>
            </w:r>
          </w:p>
          <w:p w:rsidR="003E4508" w:rsidRDefault="003E4508" w:rsidP="003E450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55CF9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E4508" w:rsidRDefault="003E4508" w:rsidP="003E450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4508" w:rsidRDefault="003E4508" w:rsidP="003E4508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Kanada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Kanada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 të Amerikës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 të Amerikës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 të Amerikës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 të Amerikës</w:t>
            </w:r>
          </w:p>
          <w:p w:rsidR="003E4508" w:rsidRDefault="003E450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Shtetet e Bashkuara të Amerikës</w:t>
            </w: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Kanada</w:t>
            </w: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  <w:p w:rsidR="00661299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661299" w:rsidRPr="005E718D" w:rsidRDefault="006612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Shqipëri</w:t>
            </w:r>
          </w:p>
        </w:tc>
        <w:tc>
          <w:tcPr>
            <w:tcW w:w="1620" w:type="dxa"/>
          </w:tcPr>
          <w:p w:rsidR="00355CF9" w:rsidRPr="005E718D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S. Puto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, avokat </w:t>
            </w:r>
          </w:p>
        </w:tc>
        <w:tc>
          <w:tcPr>
            <w:tcW w:w="1980" w:type="dxa"/>
          </w:tcPr>
          <w:p w:rsidR="00355CF9" w:rsidRPr="005E718D" w:rsidRDefault="00355CF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>
              <w:rPr>
                <w:rFonts w:ascii="Times New Roman" w:hAnsi="Times New Roman"/>
                <w:sz w:val="20"/>
                <w:szCs w:val="20"/>
                <w:lang w:val="sq-AL"/>
              </w:rPr>
              <w:t>14 Mars 2011</w:t>
            </w:r>
          </w:p>
        </w:tc>
      </w:tr>
    </w:tbl>
    <w:p w:rsidR="00AA7C93" w:rsidRPr="005E718D" w:rsidRDefault="00AA7C93" w:rsidP="0076325A">
      <w:pPr>
        <w:pStyle w:val="NoSpacing"/>
        <w:spacing w:line="276" w:lineRule="auto"/>
        <w:rPr>
          <w:rFonts w:ascii="Times New Roman" w:hAnsi="Times New Roman"/>
          <w:b/>
          <w:sz w:val="24"/>
          <w:szCs w:val="24"/>
          <w:lang w:val="sq-AL"/>
        </w:rPr>
      </w:pPr>
    </w:p>
    <w:sectPr w:rsidR="00AA7C93" w:rsidRPr="005E718D" w:rsidSect="00943D1A">
      <w:headerReference w:type="default" r:id="rId8"/>
      <w:footerReference w:type="default" r:id="rId9"/>
      <w:pgSz w:w="12240" w:h="15840"/>
      <w:pgMar w:top="99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0FE" w:rsidRDefault="004B30FE">
      <w:pPr>
        <w:spacing w:after="0" w:line="240" w:lineRule="auto"/>
      </w:pPr>
      <w:r>
        <w:separator/>
      </w:r>
    </w:p>
  </w:endnote>
  <w:endnote w:type="continuationSeparator" w:id="0">
    <w:p w:rsidR="004B30FE" w:rsidRDefault="004B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77" w:rsidRDefault="00812477">
    <w:pPr>
      <w:pStyle w:val="Footer"/>
      <w:jc w:val="center"/>
      <w:rPr>
        <w:b/>
        <w:i/>
        <w:color w:val="000080"/>
        <w:sz w:val="22"/>
      </w:rPr>
    </w:pPr>
  </w:p>
  <w:p w:rsidR="00812477" w:rsidRPr="008941FC" w:rsidRDefault="00812477">
    <w:pPr>
      <w:pStyle w:val="Footer"/>
      <w:pBdr>
        <w:top w:val="single" w:sz="4" w:space="1" w:color="auto"/>
      </w:pBdr>
      <w:jc w:val="center"/>
      <w:rPr>
        <w:b/>
        <w:i/>
        <w:color w:val="000080"/>
        <w:sz w:val="22"/>
        <w:lang w:val="it-IT"/>
      </w:rPr>
    </w:pPr>
    <w:r w:rsidRPr="008941FC">
      <w:rPr>
        <w:b/>
        <w:i/>
        <w:color w:val="000080"/>
        <w:sz w:val="22"/>
        <w:lang w:val="it-IT"/>
      </w:rPr>
      <w:t>Shërbimi i Përkthimit Zyrtar, Ministria e Drejtësisë, Republika e Shqipërisë</w:t>
    </w:r>
  </w:p>
  <w:p w:rsidR="00812477" w:rsidRDefault="00812477">
    <w:pPr>
      <w:pStyle w:val="Footer"/>
      <w:jc w:val="center"/>
      <w:rPr>
        <w:b/>
        <w:i/>
        <w:color w:val="000080"/>
        <w:sz w:val="22"/>
      </w:rPr>
    </w:pPr>
    <w:r>
      <w:rPr>
        <w:b/>
        <w:i/>
        <w:color w:val="000080"/>
        <w:sz w:val="22"/>
      </w:rPr>
      <w:t>Service des Traductions Officielles du Ministére de la Justice de la République d’Albanie</w:t>
    </w:r>
  </w:p>
  <w:p w:rsidR="00812477" w:rsidRDefault="00812477">
    <w:pPr>
      <w:pStyle w:val="Footer"/>
      <w:jc w:val="center"/>
      <w:rPr>
        <w:b/>
        <w:i/>
        <w:color w:val="000080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  <w:sz w:val="22"/>
          </w:rPr>
          <w:t>Republic</w:t>
        </w:r>
      </w:smartTag>
      <w:r>
        <w:rPr>
          <w:b/>
          <w:i/>
          <w:color w:val="000080"/>
          <w:sz w:val="22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  <w:sz w:val="22"/>
          </w:rPr>
          <w:t>Albania</w:t>
        </w:r>
      </w:smartTag>
    </w:smartTag>
    <w:r>
      <w:rPr>
        <w:b/>
        <w:i/>
        <w:color w:val="000080"/>
        <w:sz w:val="22"/>
      </w:rPr>
      <w:t>, Ministry of Justice, Official Translations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0FE" w:rsidRDefault="004B30FE">
      <w:pPr>
        <w:spacing w:after="0" w:line="240" w:lineRule="auto"/>
      </w:pPr>
      <w:r>
        <w:separator/>
      </w:r>
    </w:p>
  </w:footnote>
  <w:footnote w:type="continuationSeparator" w:id="0">
    <w:p w:rsidR="004B30FE" w:rsidRDefault="004B30FE">
      <w:pPr>
        <w:spacing w:after="0" w:line="240" w:lineRule="auto"/>
      </w:pPr>
      <w:r>
        <w:continuationSeparator/>
      </w:r>
    </w:p>
  </w:footnote>
  <w:footnote w:id="1">
    <w:p w:rsidR="00812477" w:rsidRPr="00797478" w:rsidRDefault="00812477" w:rsidP="00797478">
      <w:pPr>
        <w:pStyle w:val="NoSpacing"/>
        <w:rPr>
          <w:rFonts w:ascii="Times New Roman" w:hAnsi="Times New Roman"/>
          <w:sz w:val="20"/>
          <w:szCs w:val="20"/>
        </w:rPr>
      </w:pPr>
      <w:r w:rsidRPr="00797478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97478">
        <w:rPr>
          <w:rFonts w:ascii="Times New Roman" w:hAnsi="Times New Roman"/>
          <w:sz w:val="20"/>
          <w:szCs w:val="20"/>
        </w:rPr>
        <w:t xml:space="preserve"> Korigjuar m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26 Prill 2016: 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sht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hequr pjesa “q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nga data n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cil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n vendimi b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het i form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s s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prer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n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rputhje me Nenin 44 § 2 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Konvent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s”. </w:t>
      </w:r>
    </w:p>
  </w:footnote>
  <w:footnote w:id="2">
    <w:p w:rsidR="00812477" w:rsidRDefault="00812477" w:rsidP="00797478">
      <w:pPr>
        <w:pStyle w:val="NoSpacing"/>
      </w:pPr>
      <w:r w:rsidRPr="00797478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797478">
        <w:rPr>
          <w:rFonts w:ascii="Times New Roman" w:hAnsi="Times New Roman"/>
          <w:sz w:val="20"/>
          <w:szCs w:val="20"/>
        </w:rPr>
        <w:t xml:space="preserve"> Korigjuar m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26 Prill 2016: 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>sht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shtuar </w:t>
      </w:r>
      <w:r>
        <w:rPr>
          <w:rFonts w:ascii="Times New Roman" w:hAnsi="Times New Roman"/>
          <w:sz w:val="20"/>
          <w:szCs w:val="20"/>
        </w:rPr>
        <w:t>pjesa “plus ç</w:t>
      </w:r>
      <w:r w:rsidRPr="00797478">
        <w:rPr>
          <w:rFonts w:ascii="Times New Roman" w:hAnsi="Times New Roman"/>
          <w:sz w:val="20"/>
          <w:szCs w:val="20"/>
        </w:rPr>
        <w:t>do taks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q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mund 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jet</w:t>
      </w:r>
      <w:r>
        <w:rPr>
          <w:rFonts w:ascii="Times New Roman" w:hAnsi="Times New Roman"/>
          <w:sz w:val="20"/>
          <w:szCs w:val="20"/>
        </w:rPr>
        <w:t>ë</w:t>
      </w:r>
      <w:r w:rsidRPr="00797478">
        <w:rPr>
          <w:rFonts w:ascii="Times New Roman" w:hAnsi="Times New Roman"/>
          <w:sz w:val="20"/>
          <w:szCs w:val="20"/>
        </w:rPr>
        <w:t xml:space="preserve"> e tarifueshme”.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77" w:rsidRDefault="00812477">
    <w:pPr>
      <w:pStyle w:val="Header"/>
      <w:pBdr>
        <w:bottom w:val="single" w:sz="4" w:space="1" w:color="auto"/>
      </w:pBdr>
      <w:rPr>
        <w:b/>
        <w:color w:val="000080"/>
        <w:sz w:val="18"/>
      </w:rPr>
    </w:pPr>
    <w:r>
      <w:rPr>
        <w:b/>
        <w:color w:val="000080"/>
        <w:sz w:val="18"/>
      </w:rPr>
      <w:t>PERKTHIM ZYRTAR</w:t>
    </w:r>
    <w:r w:rsidR="00DA16C9">
      <w:rPr>
        <w:b/>
        <w:color w:val="000080"/>
        <w:sz w:val="18"/>
      </w:rPr>
      <w:tab/>
    </w:r>
    <w:r w:rsidR="00FB461C">
      <w:rPr>
        <w:b/>
        <w:color w:val="000080"/>
        <w:sz w:val="18"/>
      </w:rPr>
      <w:t xml:space="preserve"> </w:t>
    </w:r>
    <w:r>
      <w:rPr>
        <w:b/>
        <w:color w:val="000080"/>
        <w:sz w:val="18"/>
      </w:rPr>
      <w:t>TRADUCTION OFFICIELLE</w:t>
    </w:r>
    <w:r>
      <w:rPr>
        <w:b/>
        <w:color w:val="000080"/>
        <w:sz w:val="18"/>
      </w:rPr>
      <w:tab/>
    </w:r>
    <w:r w:rsidR="00FB461C">
      <w:rPr>
        <w:b/>
        <w:color w:val="000080"/>
        <w:sz w:val="18"/>
      </w:rPr>
      <w:t xml:space="preserve"> </w:t>
    </w:r>
    <w:r>
      <w:rPr>
        <w:b/>
        <w:color w:val="000080"/>
        <w:sz w:val="18"/>
      </w:rPr>
      <w:t>OFFICIAL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51D"/>
    <w:multiLevelType w:val="hybridMultilevel"/>
    <w:tmpl w:val="9E64F980"/>
    <w:lvl w:ilvl="0" w:tplc="667E5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2232"/>
    <w:multiLevelType w:val="hybridMultilevel"/>
    <w:tmpl w:val="FBE41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17A"/>
    <w:multiLevelType w:val="hybridMultilevel"/>
    <w:tmpl w:val="3C5275F4"/>
    <w:lvl w:ilvl="0" w:tplc="41B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584"/>
    <w:multiLevelType w:val="hybridMultilevel"/>
    <w:tmpl w:val="079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D3B"/>
    <w:multiLevelType w:val="hybridMultilevel"/>
    <w:tmpl w:val="91F60A16"/>
    <w:lvl w:ilvl="0" w:tplc="661A6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43DB"/>
    <w:multiLevelType w:val="hybridMultilevel"/>
    <w:tmpl w:val="A2CAAE26"/>
    <w:lvl w:ilvl="0" w:tplc="7BF4D9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887"/>
    <w:multiLevelType w:val="hybridMultilevel"/>
    <w:tmpl w:val="269A608C"/>
    <w:lvl w:ilvl="0" w:tplc="F77E268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D16"/>
    <w:multiLevelType w:val="hybridMultilevel"/>
    <w:tmpl w:val="ECC83918"/>
    <w:lvl w:ilvl="0" w:tplc="9F04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536"/>
    <w:multiLevelType w:val="hybridMultilevel"/>
    <w:tmpl w:val="CC70907A"/>
    <w:lvl w:ilvl="0" w:tplc="1654D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301"/>
    <w:multiLevelType w:val="hybridMultilevel"/>
    <w:tmpl w:val="3F143254"/>
    <w:lvl w:ilvl="0" w:tplc="6BC85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45665"/>
    <w:multiLevelType w:val="hybridMultilevel"/>
    <w:tmpl w:val="EAAEA66C"/>
    <w:lvl w:ilvl="0" w:tplc="9C24B85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E39B5"/>
    <w:multiLevelType w:val="hybridMultilevel"/>
    <w:tmpl w:val="069E2BC8"/>
    <w:lvl w:ilvl="0" w:tplc="9684B9D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01FB3"/>
    <w:multiLevelType w:val="hybridMultilevel"/>
    <w:tmpl w:val="079E9B42"/>
    <w:lvl w:ilvl="0" w:tplc="BC1AA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A0F"/>
    <w:multiLevelType w:val="hybridMultilevel"/>
    <w:tmpl w:val="9B56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47FE"/>
    <w:multiLevelType w:val="hybridMultilevel"/>
    <w:tmpl w:val="9D648F66"/>
    <w:lvl w:ilvl="0" w:tplc="40C09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1825"/>
    <w:multiLevelType w:val="hybridMultilevel"/>
    <w:tmpl w:val="015C6370"/>
    <w:lvl w:ilvl="0" w:tplc="1D8A96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6FC"/>
    <w:multiLevelType w:val="hybridMultilevel"/>
    <w:tmpl w:val="3A08A340"/>
    <w:lvl w:ilvl="0" w:tplc="DAA2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639E5"/>
    <w:multiLevelType w:val="hybridMultilevel"/>
    <w:tmpl w:val="631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42DA4"/>
    <w:multiLevelType w:val="hybridMultilevel"/>
    <w:tmpl w:val="9672139C"/>
    <w:lvl w:ilvl="0" w:tplc="696842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D4D6F"/>
    <w:multiLevelType w:val="hybridMultilevel"/>
    <w:tmpl w:val="F2E0150C"/>
    <w:lvl w:ilvl="0" w:tplc="9EDCDC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F77C5"/>
    <w:multiLevelType w:val="hybridMultilevel"/>
    <w:tmpl w:val="247891B4"/>
    <w:lvl w:ilvl="0" w:tplc="C4C2DF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24DFF"/>
    <w:multiLevelType w:val="hybridMultilevel"/>
    <w:tmpl w:val="03344A7A"/>
    <w:lvl w:ilvl="0" w:tplc="E97491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410A2"/>
    <w:multiLevelType w:val="hybridMultilevel"/>
    <w:tmpl w:val="B6240D6E"/>
    <w:lvl w:ilvl="0" w:tplc="690A27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12822"/>
    <w:multiLevelType w:val="hybridMultilevel"/>
    <w:tmpl w:val="12C21FFE"/>
    <w:lvl w:ilvl="0" w:tplc="9E5811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446B5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96EAB"/>
    <w:multiLevelType w:val="hybridMultilevel"/>
    <w:tmpl w:val="A3F6889C"/>
    <w:lvl w:ilvl="0" w:tplc="0B344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93694"/>
    <w:multiLevelType w:val="hybridMultilevel"/>
    <w:tmpl w:val="232CC784"/>
    <w:lvl w:ilvl="0" w:tplc="8B3049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67421"/>
    <w:multiLevelType w:val="hybridMultilevel"/>
    <w:tmpl w:val="B9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30302"/>
    <w:multiLevelType w:val="hybridMultilevel"/>
    <w:tmpl w:val="0168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A43BB"/>
    <w:multiLevelType w:val="hybridMultilevel"/>
    <w:tmpl w:val="F8DCCC88"/>
    <w:lvl w:ilvl="0" w:tplc="3BF6C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A1285"/>
    <w:multiLevelType w:val="hybridMultilevel"/>
    <w:tmpl w:val="DE889540"/>
    <w:lvl w:ilvl="0" w:tplc="03EC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B67913"/>
    <w:multiLevelType w:val="hybridMultilevel"/>
    <w:tmpl w:val="88B04F98"/>
    <w:lvl w:ilvl="0" w:tplc="95B02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E6372"/>
    <w:multiLevelType w:val="hybridMultilevel"/>
    <w:tmpl w:val="D97E3C50"/>
    <w:lvl w:ilvl="0" w:tplc="41885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E7588"/>
    <w:multiLevelType w:val="hybridMultilevel"/>
    <w:tmpl w:val="2F5C58BA"/>
    <w:lvl w:ilvl="0" w:tplc="2E1E8A5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1F517D"/>
    <w:multiLevelType w:val="hybridMultilevel"/>
    <w:tmpl w:val="C94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C2ED4"/>
    <w:multiLevelType w:val="hybridMultilevel"/>
    <w:tmpl w:val="9CEC94E8"/>
    <w:lvl w:ilvl="0" w:tplc="1BA261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E04A0"/>
    <w:multiLevelType w:val="hybridMultilevel"/>
    <w:tmpl w:val="8DF0A0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33D1E"/>
    <w:multiLevelType w:val="hybridMultilevel"/>
    <w:tmpl w:val="4C745660"/>
    <w:lvl w:ilvl="0" w:tplc="DCAE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23F69"/>
    <w:multiLevelType w:val="hybridMultilevel"/>
    <w:tmpl w:val="31E80EAE"/>
    <w:lvl w:ilvl="0" w:tplc="0BD6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047FF"/>
    <w:multiLevelType w:val="hybridMultilevel"/>
    <w:tmpl w:val="88DE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F62D2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8"/>
  </w:num>
  <w:num w:numId="4">
    <w:abstractNumId w:val="28"/>
  </w:num>
  <w:num w:numId="5">
    <w:abstractNumId w:val="5"/>
  </w:num>
  <w:num w:numId="6">
    <w:abstractNumId w:val="34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36"/>
  </w:num>
  <w:num w:numId="12">
    <w:abstractNumId w:val="31"/>
  </w:num>
  <w:num w:numId="13">
    <w:abstractNumId w:val="29"/>
  </w:num>
  <w:num w:numId="14">
    <w:abstractNumId w:val="27"/>
  </w:num>
  <w:num w:numId="15">
    <w:abstractNumId w:val="37"/>
  </w:num>
  <w:num w:numId="16">
    <w:abstractNumId w:val="23"/>
  </w:num>
  <w:num w:numId="17">
    <w:abstractNumId w:val="1"/>
  </w:num>
  <w:num w:numId="18">
    <w:abstractNumId w:val="17"/>
  </w:num>
  <w:num w:numId="19">
    <w:abstractNumId w:val="39"/>
  </w:num>
  <w:num w:numId="20">
    <w:abstractNumId w:val="13"/>
  </w:num>
  <w:num w:numId="21">
    <w:abstractNumId w:val="4"/>
  </w:num>
  <w:num w:numId="22">
    <w:abstractNumId w:val="0"/>
  </w:num>
  <w:num w:numId="23">
    <w:abstractNumId w:val="9"/>
  </w:num>
  <w:num w:numId="24">
    <w:abstractNumId w:val="38"/>
  </w:num>
  <w:num w:numId="25">
    <w:abstractNumId w:val="14"/>
  </w:num>
  <w:num w:numId="26">
    <w:abstractNumId w:val="30"/>
  </w:num>
  <w:num w:numId="27">
    <w:abstractNumId w:val="26"/>
  </w:num>
  <w:num w:numId="28">
    <w:abstractNumId w:val="19"/>
  </w:num>
  <w:num w:numId="29">
    <w:abstractNumId w:val="15"/>
  </w:num>
  <w:num w:numId="30">
    <w:abstractNumId w:val="21"/>
  </w:num>
  <w:num w:numId="31">
    <w:abstractNumId w:val="22"/>
  </w:num>
  <w:num w:numId="32">
    <w:abstractNumId w:val="20"/>
  </w:num>
  <w:num w:numId="33">
    <w:abstractNumId w:val="11"/>
  </w:num>
  <w:num w:numId="34">
    <w:abstractNumId w:val="6"/>
  </w:num>
  <w:num w:numId="35">
    <w:abstractNumId w:val="35"/>
  </w:num>
  <w:num w:numId="36">
    <w:abstractNumId w:val="7"/>
  </w:num>
  <w:num w:numId="37">
    <w:abstractNumId w:val="25"/>
  </w:num>
  <w:num w:numId="38">
    <w:abstractNumId w:val="40"/>
  </w:num>
  <w:num w:numId="39">
    <w:abstractNumId w:val="32"/>
  </w:num>
  <w:num w:numId="40">
    <w:abstractNumId w:val="18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12051"/>
    <w:rsid w:val="00015063"/>
    <w:rsid w:val="00023323"/>
    <w:rsid w:val="0004119C"/>
    <w:rsid w:val="000444CF"/>
    <w:rsid w:val="00044A7F"/>
    <w:rsid w:val="00053DBA"/>
    <w:rsid w:val="0006552E"/>
    <w:rsid w:val="0007781E"/>
    <w:rsid w:val="00082876"/>
    <w:rsid w:val="0008773D"/>
    <w:rsid w:val="000B2AAA"/>
    <w:rsid w:val="000B4AD6"/>
    <w:rsid w:val="000B548C"/>
    <w:rsid w:val="000C034B"/>
    <w:rsid w:val="000D0F12"/>
    <w:rsid w:val="000D4FA4"/>
    <w:rsid w:val="000D6946"/>
    <w:rsid w:val="000E6598"/>
    <w:rsid w:val="000F4FCB"/>
    <w:rsid w:val="000F504B"/>
    <w:rsid w:val="00107079"/>
    <w:rsid w:val="00115B71"/>
    <w:rsid w:val="001210D4"/>
    <w:rsid w:val="00121D80"/>
    <w:rsid w:val="0012280E"/>
    <w:rsid w:val="001448C5"/>
    <w:rsid w:val="00145EAE"/>
    <w:rsid w:val="00146314"/>
    <w:rsid w:val="00162892"/>
    <w:rsid w:val="00164CDB"/>
    <w:rsid w:val="001679FB"/>
    <w:rsid w:val="00187AE0"/>
    <w:rsid w:val="001A6E7A"/>
    <w:rsid w:val="001C3851"/>
    <w:rsid w:val="001C3B2D"/>
    <w:rsid w:val="001C6914"/>
    <w:rsid w:val="001C7759"/>
    <w:rsid w:val="001E3EC0"/>
    <w:rsid w:val="001E5712"/>
    <w:rsid w:val="001E70E2"/>
    <w:rsid w:val="001F6A1F"/>
    <w:rsid w:val="002050A9"/>
    <w:rsid w:val="00206AED"/>
    <w:rsid w:val="00212CFD"/>
    <w:rsid w:val="00216B76"/>
    <w:rsid w:val="002211BB"/>
    <w:rsid w:val="00221BFC"/>
    <w:rsid w:val="0025093B"/>
    <w:rsid w:val="00257F32"/>
    <w:rsid w:val="002871E1"/>
    <w:rsid w:val="0029139B"/>
    <w:rsid w:val="0029526F"/>
    <w:rsid w:val="002A03FB"/>
    <w:rsid w:val="002A47E5"/>
    <w:rsid w:val="002B60F2"/>
    <w:rsid w:val="002B6921"/>
    <w:rsid w:val="002B6922"/>
    <w:rsid w:val="002D538F"/>
    <w:rsid w:val="002D53D8"/>
    <w:rsid w:val="002D7A68"/>
    <w:rsid w:val="002F0CE1"/>
    <w:rsid w:val="003133F4"/>
    <w:rsid w:val="00322C08"/>
    <w:rsid w:val="00325771"/>
    <w:rsid w:val="00332E4E"/>
    <w:rsid w:val="00337C06"/>
    <w:rsid w:val="00347C2F"/>
    <w:rsid w:val="00351C33"/>
    <w:rsid w:val="00355770"/>
    <w:rsid w:val="00355CF9"/>
    <w:rsid w:val="003633A9"/>
    <w:rsid w:val="003635A3"/>
    <w:rsid w:val="00376D01"/>
    <w:rsid w:val="00376EC8"/>
    <w:rsid w:val="00382E9A"/>
    <w:rsid w:val="0039144C"/>
    <w:rsid w:val="003921D9"/>
    <w:rsid w:val="003A0A5A"/>
    <w:rsid w:val="003B0B56"/>
    <w:rsid w:val="003B4CEB"/>
    <w:rsid w:val="003B7926"/>
    <w:rsid w:val="003C39D7"/>
    <w:rsid w:val="003D5741"/>
    <w:rsid w:val="003D678A"/>
    <w:rsid w:val="003E2DE8"/>
    <w:rsid w:val="003E4508"/>
    <w:rsid w:val="003F3D57"/>
    <w:rsid w:val="003F6895"/>
    <w:rsid w:val="004020EA"/>
    <w:rsid w:val="0041383B"/>
    <w:rsid w:val="00421BE3"/>
    <w:rsid w:val="004258EC"/>
    <w:rsid w:val="004306F0"/>
    <w:rsid w:val="00442CBC"/>
    <w:rsid w:val="00447300"/>
    <w:rsid w:val="004518E8"/>
    <w:rsid w:val="00463FEA"/>
    <w:rsid w:val="00464080"/>
    <w:rsid w:val="004644AB"/>
    <w:rsid w:val="004644E8"/>
    <w:rsid w:val="00473B2C"/>
    <w:rsid w:val="00480936"/>
    <w:rsid w:val="00491D7C"/>
    <w:rsid w:val="004A0F50"/>
    <w:rsid w:val="004A4A3C"/>
    <w:rsid w:val="004B1B94"/>
    <w:rsid w:val="004B2932"/>
    <w:rsid w:val="004B30FE"/>
    <w:rsid w:val="004B419B"/>
    <w:rsid w:val="004C7201"/>
    <w:rsid w:val="004E3DF6"/>
    <w:rsid w:val="00504A91"/>
    <w:rsid w:val="00511B2B"/>
    <w:rsid w:val="005121E3"/>
    <w:rsid w:val="00512785"/>
    <w:rsid w:val="00513CDA"/>
    <w:rsid w:val="00524048"/>
    <w:rsid w:val="00541326"/>
    <w:rsid w:val="00546A49"/>
    <w:rsid w:val="00555B35"/>
    <w:rsid w:val="00560971"/>
    <w:rsid w:val="00564E90"/>
    <w:rsid w:val="00565FDE"/>
    <w:rsid w:val="00580265"/>
    <w:rsid w:val="0058656B"/>
    <w:rsid w:val="00594548"/>
    <w:rsid w:val="00595F9D"/>
    <w:rsid w:val="005A7C47"/>
    <w:rsid w:val="005C2879"/>
    <w:rsid w:val="005C32CA"/>
    <w:rsid w:val="005C50E2"/>
    <w:rsid w:val="005D3536"/>
    <w:rsid w:val="005E0D82"/>
    <w:rsid w:val="005E58C0"/>
    <w:rsid w:val="005E6818"/>
    <w:rsid w:val="005E718D"/>
    <w:rsid w:val="00607C3E"/>
    <w:rsid w:val="0061187C"/>
    <w:rsid w:val="00614324"/>
    <w:rsid w:val="00623E98"/>
    <w:rsid w:val="0062547F"/>
    <w:rsid w:val="0064326E"/>
    <w:rsid w:val="00651CCF"/>
    <w:rsid w:val="00657C85"/>
    <w:rsid w:val="00660E69"/>
    <w:rsid w:val="00661299"/>
    <w:rsid w:val="006613A9"/>
    <w:rsid w:val="0066307B"/>
    <w:rsid w:val="00664A70"/>
    <w:rsid w:val="00664B3F"/>
    <w:rsid w:val="00690F02"/>
    <w:rsid w:val="00695F92"/>
    <w:rsid w:val="0069621E"/>
    <w:rsid w:val="00696322"/>
    <w:rsid w:val="006B4D7C"/>
    <w:rsid w:val="006D1BE1"/>
    <w:rsid w:val="006D400C"/>
    <w:rsid w:val="006D4966"/>
    <w:rsid w:val="006D5434"/>
    <w:rsid w:val="006D6EC4"/>
    <w:rsid w:val="006E642D"/>
    <w:rsid w:val="006E7AD8"/>
    <w:rsid w:val="006F14AB"/>
    <w:rsid w:val="006F461A"/>
    <w:rsid w:val="00702BBD"/>
    <w:rsid w:val="00703AF3"/>
    <w:rsid w:val="0071036F"/>
    <w:rsid w:val="00721194"/>
    <w:rsid w:val="00724FD5"/>
    <w:rsid w:val="00734476"/>
    <w:rsid w:val="007363A3"/>
    <w:rsid w:val="00736D2E"/>
    <w:rsid w:val="0075286F"/>
    <w:rsid w:val="00761075"/>
    <w:rsid w:val="0076325A"/>
    <w:rsid w:val="007814DE"/>
    <w:rsid w:val="00790272"/>
    <w:rsid w:val="00792693"/>
    <w:rsid w:val="00797478"/>
    <w:rsid w:val="007A7A36"/>
    <w:rsid w:val="007C34A0"/>
    <w:rsid w:val="007C425E"/>
    <w:rsid w:val="007D1E70"/>
    <w:rsid w:val="007E0DD2"/>
    <w:rsid w:val="007E4D20"/>
    <w:rsid w:val="007E62CB"/>
    <w:rsid w:val="007F3B52"/>
    <w:rsid w:val="007F4E80"/>
    <w:rsid w:val="007F6EE5"/>
    <w:rsid w:val="007F7DF8"/>
    <w:rsid w:val="00806306"/>
    <w:rsid w:val="0080693F"/>
    <w:rsid w:val="00812477"/>
    <w:rsid w:val="00820157"/>
    <w:rsid w:val="00820D03"/>
    <w:rsid w:val="008312EC"/>
    <w:rsid w:val="00847368"/>
    <w:rsid w:val="00855361"/>
    <w:rsid w:val="00857113"/>
    <w:rsid w:val="008705D2"/>
    <w:rsid w:val="00871C20"/>
    <w:rsid w:val="00881C40"/>
    <w:rsid w:val="0088200F"/>
    <w:rsid w:val="00883EAF"/>
    <w:rsid w:val="00883FCB"/>
    <w:rsid w:val="0088511F"/>
    <w:rsid w:val="008859E6"/>
    <w:rsid w:val="008A1F16"/>
    <w:rsid w:val="008C4B30"/>
    <w:rsid w:val="008C589B"/>
    <w:rsid w:val="008D11E7"/>
    <w:rsid w:val="008D3632"/>
    <w:rsid w:val="008E5A72"/>
    <w:rsid w:val="008E6660"/>
    <w:rsid w:val="008F47FD"/>
    <w:rsid w:val="008F7F47"/>
    <w:rsid w:val="00904CEF"/>
    <w:rsid w:val="009173F8"/>
    <w:rsid w:val="009238F1"/>
    <w:rsid w:val="009268B1"/>
    <w:rsid w:val="009318F2"/>
    <w:rsid w:val="009336B0"/>
    <w:rsid w:val="0093517D"/>
    <w:rsid w:val="00943D1A"/>
    <w:rsid w:val="009537F1"/>
    <w:rsid w:val="00961D77"/>
    <w:rsid w:val="00962A2F"/>
    <w:rsid w:val="009764C9"/>
    <w:rsid w:val="00981514"/>
    <w:rsid w:val="00983FB6"/>
    <w:rsid w:val="00996786"/>
    <w:rsid w:val="00997953"/>
    <w:rsid w:val="009B227F"/>
    <w:rsid w:val="009B2C53"/>
    <w:rsid w:val="009D0076"/>
    <w:rsid w:val="009E0152"/>
    <w:rsid w:val="009E2202"/>
    <w:rsid w:val="009F2082"/>
    <w:rsid w:val="009F407D"/>
    <w:rsid w:val="00A21EE0"/>
    <w:rsid w:val="00A26DB1"/>
    <w:rsid w:val="00A45B7A"/>
    <w:rsid w:val="00A54E5D"/>
    <w:rsid w:val="00A61498"/>
    <w:rsid w:val="00A73AC0"/>
    <w:rsid w:val="00A742C1"/>
    <w:rsid w:val="00A80370"/>
    <w:rsid w:val="00A92637"/>
    <w:rsid w:val="00A93BBF"/>
    <w:rsid w:val="00A96BAF"/>
    <w:rsid w:val="00AA7C93"/>
    <w:rsid w:val="00AC142C"/>
    <w:rsid w:val="00AC3F85"/>
    <w:rsid w:val="00AC4988"/>
    <w:rsid w:val="00AC54AA"/>
    <w:rsid w:val="00AE2181"/>
    <w:rsid w:val="00AF090A"/>
    <w:rsid w:val="00AF1B7F"/>
    <w:rsid w:val="00AF5E75"/>
    <w:rsid w:val="00B02EB6"/>
    <w:rsid w:val="00B05DCF"/>
    <w:rsid w:val="00B066B2"/>
    <w:rsid w:val="00B17827"/>
    <w:rsid w:val="00B227D6"/>
    <w:rsid w:val="00B30D80"/>
    <w:rsid w:val="00B33470"/>
    <w:rsid w:val="00B42213"/>
    <w:rsid w:val="00B749CA"/>
    <w:rsid w:val="00B76093"/>
    <w:rsid w:val="00B864C7"/>
    <w:rsid w:val="00B91363"/>
    <w:rsid w:val="00B9155A"/>
    <w:rsid w:val="00B94936"/>
    <w:rsid w:val="00BA1076"/>
    <w:rsid w:val="00BA3340"/>
    <w:rsid w:val="00BA5E0A"/>
    <w:rsid w:val="00BA7AB9"/>
    <w:rsid w:val="00BC3F0A"/>
    <w:rsid w:val="00BC6470"/>
    <w:rsid w:val="00BD1EF9"/>
    <w:rsid w:val="00BD3FD6"/>
    <w:rsid w:val="00BE1CC4"/>
    <w:rsid w:val="00BE666A"/>
    <w:rsid w:val="00C0093E"/>
    <w:rsid w:val="00C10165"/>
    <w:rsid w:val="00C10F95"/>
    <w:rsid w:val="00C11AFA"/>
    <w:rsid w:val="00C17370"/>
    <w:rsid w:val="00C23747"/>
    <w:rsid w:val="00C40F0E"/>
    <w:rsid w:val="00C66202"/>
    <w:rsid w:val="00C76ED5"/>
    <w:rsid w:val="00C81A67"/>
    <w:rsid w:val="00C9214E"/>
    <w:rsid w:val="00C921E8"/>
    <w:rsid w:val="00CA1A0A"/>
    <w:rsid w:val="00CB546B"/>
    <w:rsid w:val="00CB72F1"/>
    <w:rsid w:val="00CC50B9"/>
    <w:rsid w:val="00CE5FCB"/>
    <w:rsid w:val="00D04F68"/>
    <w:rsid w:val="00D05E80"/>
    <w:rsid w:val="00D1089D"/>
    <w:rsid w:val="00D1374E"/>
    <w:rsid w:val="00D21322"/>
    <w:rsid w:val="00D228D1"/>
    <w:rsid w:val="00D234ED"/>
    <w:rsid w:val="00D31BEB"/>
    <w:rsid w:val="00D31C20"/>
    <w:rsid w:val="00D40784"/>
    <w:rsid w:val="00D56209"/>
    <w:rsid w:val="00D702E1"/>
    <w:rsid w:val="00D714D0"/>
    <w:rsid w:val="00D77C08"/>
    <w:rsid w:val="00D90CBB"/>
    <w:rsid w:val="00D9265A"/>
    <w:rsid w:val="00D96A6D"/>
    <w:rsid w:val="00DA045E"/>
    <w:rsid w:val="00DA16C9"/>
    <w:rsid w:val="00DA24F8"/>
    <w:rsid w:val="00DA5183"/>
    <w:rsid w:val="00DA5C5E"/>
    <w:rsid w:val="00DE4929"/>
    <w:rsid w:val="00DE78E0"/>
    <w:rsid w:val="00DF31E6"/>
    <w:rsid w:val="00E0020E"/>
    <w:rsid w:val="00E011DF"/>
    <w:rsid w:val="00E021C0"/>
    <w:rsid w:val="00E0275B"/>
    <w:rsid w:val="00E0595E"/>
    <w:rsid w:val="00E35BC9"/>
    <w:rsid w:val="00E512C7"/>
    <w:rsid w:val="00E5431C"/>
    <w:rsid w:val="00E55F6A"/>
    <w:rsid w:val="00E60B8A"/>
    <w:rsid w:val="00E650A2"/>
    <w:rsid w:val="00E745FA"/>
    <w:rsid w:val="00E760CE"/>
    <w:rsid w:val="00E81399"/>
    <w:rsid w:val="00E90E48"/>
    <w:rsid w:val="00E91FC4"/>
    <w:rsid w:val="00E92E73"/>
    <w:rsid w:val="00E934E1"/>
    <w:rsid w:val="00EA7200"/>
    <w:rsid w:val="00EA7C72"/>
    <w:rsid w:val="00EB617E"/>
    <w:rsid w:val="00EC3F27"/>
    <w:rsid w:val="00EC7531"/>
    <w:rsid w:val="00ED0D48"/>
    <w:rsid w:val="00EF3BF5"/>
    <w:rsid w:val="00EF660D"/>
    <w:rsid w:val="00EF6A7F"/>
    <w:rsid w:val="00F00162"/>
    <w:rsid w:val="00F119BF"/>
    <w:rsid w:val="00F1552A"/>
    <w:rsid w:val="00F22046"/>
    <w:rsid w:val="00F23AEF"/>
    <w:rsid w:val="00F4303F"/>
    <w:rsid w:val="00F4351C"/>
    <w:rsid w:val="00F4394C"/>
    <w:rsid w:val="00F57CFD"/>
    <w:rsid w:val="00F626D8"/>
    <w:rsid w:val="00F7262A"/>
    <w:rsid w:val="00F76CF2"/>
    <w:rsid w:val="00F807F8"/>
    <w:rsid w:val="00F81469"/>
    <w:rsid w:val="00F825F0"/>
    <w:rsid w:val="00F872F5"/>
    <w:rsid w:val="00F92846"/>
    <w:rsid w:val="00F93BCF"/>
    <w:rsid w:val="00F93F34"/>
    <w:rsid w:val="00FA0830"/>
    <w:rsid w:val="00FA1D59"/>
    <w:rsid w:val="00FB461C"/>
    <w:rsid w:val="00FB5C90"/>
    <w:rsid w:val="00FC74D0"/>
    <w:rsid w:val="00FC7AD9"/>
    <w:rsid w:val="00FD104C"/>
    <w:rsid w:val="00FD5A78"/>
    <w:rsid w:val="00FD616D"/>
    <w:rsid w:val="00FD68D8"/>
    <w:rsid w:val="00FE2885"/>
    <w:rsid w:val="00FE3103"/>
    <w:rsid w:val="00FE3324"/>
    <w:rsid w:val="00FE4966"/>
    <w:rsid w:val="00FF197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9C72E-0CB2-4E4E-8855-FA1A4A9B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EC0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AE0"/>
    <w:pPr>
      <w:ind w:left="720"/>
    </w:pPr>
  </w:style>
  <w:style w:type="table" w:styleId="TableGrid">
    <w:name w:val="Table Grid"/>
    <w:basedOn w:val="TableNormal"/>
    <w:uiPriority w:val="59"/>
    <w:rsid w:val="0088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61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17E"/>
  </w:style>
  <w:style w:type="character" w:styleId="FootnoteReference">
    <w:name w:val="footnote reference"/>
    <w:uiPriority w:val="99"/>
    <w:semiHidden/>
    <w:unhideWhenUsed/>
    <w:rsid w:val="00EB61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4309-5010-46F6-9D43-B491513D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dritantelhaj@gmail.com</cp:lastModifiedBy>
  <cp:revision>2</cp:revision>
  <dcterms:created xsi:type="dcterms:W3CDTF">2020-07-01T13:33:00Z</dcterms:created>
  <dcterms:modified xsi:type="dcterms:W3CDTF">2020-07-01T13:33:00Z</dcterms:modified>
</cp:coreProperties>
</file>