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33" w:rsidRPr="00BC0CD3" w:rsidRDefault="00294210" w:rsidP="00BC0CD3">
      <w:pPr>
        <w:tabs>
          <w:tab w:val="left" w:pos="5529"/>
        </w:tabs>
        <w:jc w:val="center"/>
        <w:rPr>
          <w:rFonts w:ascii="Times New Roman" w:hAnsi="Times New Roman"/>
          <w:sz w:val="24"/>
          <w:szCs w:val="24"/>
          <w:lang w:val="sq-AL"/>
        </w:rPr>
      </w:pPr>
      <w:bookmarkStart w:id="0" w:name="_GoBack"/>
      <w:bookmarkEnd w:id="0"/>
      <w:r w:rsidRPr="00BC0CD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093210" cy="2085340"/>
            <wp:effectExtent l="0" t="0" r="0" b="0"/>
            <wp:docPr id="1" name="Picture 1" descr="TranspDocHeaderBig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DocHeaderBig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10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33" w:rsidRPr="00BC0CD3" w:rsidRDefault="00681D33" w:rsidP="00BC0CD3">
      <w:pPr>
        <w:jc w:val="center"/>
        <w:rPr>
          <w:rFonts w:ascii="Times New Roman" w:hAnsi="Times New Roman"/>
          <w:sz w:val="24"/>
          <w:szCs w:val="24"/>
          <w:lang w:val="sq-AL"/>
        </w:rPr>
      </w:pPr>
      <w:r w:rsidRPr="00BC0CD3">
        <w:rPr>
          <w:rFonts w:ascii="Times New Roman" w:hAnsi="Times New Roman"/>
          <w:sz w:val="24"/>
          <w:szCs w:val="24"/>
          <w:lang w:val="sq-AL"/>
        </w:rPr>
        <w:t>SEKSIONI I KATËRT</w:t>
      </w:r>
      <w:r w:rsidR="00C81DD4" w:rsidRPr="00BC0CD3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681D33" w:rsidRPr="00BC0CD3" w:rsidRDefault="00681D33" w:rsidP="00BC0CD3">
      <w:pPr>
        <w:rPr>
          <w:rFonts w:ascii="Times New Roman" w:hAnsi="Times New Roman"/>
          <w:sz w:val="24"/>
          <w:szCs w:val="24"/>
          <w:lang w:val="sq-AL"/>
        </w:rPr>
      </w:pPr>
    </w:p>
    <w:p w:rsidR="00681D33" w:rsidRPr="00BC0CD3" w:rsidRDefault="00681D33" w:rsidP="00BC0CD3">
      <w:pPr>
        <w:jc w:val="center"/>
        <w:outlineLvl w:val="0"/>
        <w:rPr>
          <w:rFonts w:ascii="Times New Roman" w:hAnsi="Times New Roman"/>
          <w:b/>
          <w:sz w:val="24"/>
          <w:szCs w:val="24"/>
          <w:lang w:val="sq-AL"/>
        </w:rPr>
      </w:pPr>
      <w:r w:rsidRPr="00BC0CD3">
        <w:rPr>
          <w:rFonts w:ascii="Times New Roman" w:hAnsi="Times New Roman"/>
          <w:b/>
          <w:sz w:val="24"/>
          <w:szCs w:val="24"/>
          <w:lang w:val="sq-AL"/>
        </w:rPr>
        <w:t xml:space="preserve">ÇËSHTJA </w:t>
      </w:r>
      <w:r w:rsidR="00FD675C" w:rsidRPr="00BC0CD3">
        <w:rPr>
          <w:rFonts w:ascii="Times New Roman" w:hAnsi="Times New Roman"/>
          <w:b/>
          <w:sz w:val="24"/>
          <w:szCs w:val="24"/>
          <w:lang w:val="sq-AL"/>
        </w:rPr>
        <w:t>LULI</w:t>
      </w:r>
      <w:r w:rsidRPr="00BC0CD3">
        <w:rPr>
          <w:rFonts w:ascii="Times New Roman" w:hAnsi="Times New Roman"/>
          <w:b/>
          <w:sz w:val="24"/>
          <w:szCs w:val="24"/>
          <w:lang w:val="sq-AL"/>
        </w:rPr>
        <w:t xml:space="preserve"> KUNDËR SHQIPËRISË</w:t>
      </w:r>
      <w:r w:rsidR="003F669C" w:rsidRPr="00BC0CD3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:rsidR="00681D33" w:rsidRPr="00BC0CD3" w:rsidRDefault="00681D33" w:rsidP="00BC0CD3">
      <w:pPr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681D33" w:rsidRPr="00BC0CD3" w:rsidRDefault="00681D33" w:rsidP="00BC0CD3">
      <w:pPr>
        <w:jc w:val="center"/>
        <w:rPr>
          <w:rFonts w:ascii="Times New Roman" w:hAnsi="Times New Roman"/>
          <w:i/>
          <w:sz w:val="24"/>
          <w:szCs w:val="24"/>
          <w:lang w:val="sq-AL"/>
        </w:rPr>
      </w:pPr>
      <w:r w:rsidRPr="00BC0CD3">
        <w:rPr>
          <w:rFonts w:ascii="Times New Roman" w:hAnsi="Times New Roman"/>
          <w:i/>
          <w:sz w:val="24"/>
          <w:szCs w:val="24"/>
          <w:lang w:val="sq-AL"/>
        </w:rPr>
        <w:t>(Ankim</w:t>
      </w:r>
      <w:r w:rsidR="00C81DD4" w:rsidRPr="00BC0CD3">
        <w:rPr>
          <w:rFonts w:ascii="Times New Roman" w:hAnsi="Times New Roman"/>
          <w:i/>
          <w:sz w:val="24"/>
          <w:szCs w:val="24"/>
          <w:lang w:val="sq-AL"/>
        </w:rPr>
        <w:t>i</w:t>
      </w:r>
      <w:r w:rsidRPr="00BC0CD3">
        <w:rPr>
          <w:rFonts w:ascii="Times New Roman" w:hAnsi="Times New Roman"/>
          <w:i/>
          <w:sz w:val="24"/>
          <w:szCs w:val="24"/>
          <w:lang w:val="sq-AL"/>
        </w:rPr>
        <w:t xml:space="preserve"> nr. </w:t>
      </w:r>
      <w:r w:rsidR="00FD675C" w:rsidRPr="00BC0CD3">
        <w:rPr>
          <w:rFonts w:ascii="Times New Roman" w:hAnsi="Times New Roman"/>
          <w:i/>
          <w:sz w:val="24"/>
          <w:szCs w:val="24"/>
          <w:lang w:val="sq-AL"/>
        </w:rPr>
        <w:t>30601/08</w:t>
      </w:r>
      <w:r w:rsidRPr="00BC0CD3">
        <w:rPr>
          <w:rFonts w:ascii="Times New Roman" w:hAnsi="Times New Roman"/>
          <w:i/>
          <w:sz w:val="24"/>
          <w:szCs w:val="24"/>
          <w:lang w:val="sq-AL"/>
        </w:rPr>
        <w:t>)</w:t>
      </w:r>
    </w:p>
    <w:p w:rsidR="00681D33" w:rsidRPr="00BC0CD3" w:rsidRDefault="00681D33" w:rsidP="00BC0CD3">
      <w:pPr>
        <w:rPr>
          <w:rFonts w:ascii="Times New Roman" w:hAnsi="Times New Roman"/>
          <w:sz w:val="24"/>
          <w:szCs w:val="24"/>
          <w:lang w:val="sq-AL"/>
        </w:rPr>
      </w:pPr>
    </w:p>
    <w:p w:rsidR="00681D33" w:rsidRPr="00BC0CD3" w:rsidRDefault="00681D33" w:rsidP="00BC0CD3">
      <w:pPr>
        <w:jc w:val="center"/>
        <w:outlineLvl w:val="0"/>
        <w:rPr>
          <w:rFonts w:ascii="Times New Roman" w:hAnsi="Times New Roman"/>
          <w:sz w:val="24"/>
          <w:szCs w:val="24"/>
          <w:lang w:val="sq-AL"/>
        </w:rPr>
      </w:pPr>
      <w:r w:rsidRPr="00BC0CD3">
        <w:rPr>
          <w:rFonts w:ascii="Times New Roman" w:hAnsi="Times New Roman"/>
          <w:sz w:val="24"/>
          <w:szCs w:val="24"/>
          <w:lang w:val="sq-AL"/>
        </w:rPr>
        <w:t>VENDIM</w:t>
      </w:r>
    </w:p>
    <w:p w:rsidR="00681D33" w:rsidRPr="00BC0CD3" w:rsidRDefault="00681D33" w:rsidP="00BC0CD3">
      <w:pPr>
        <w:jc w:val="center"/>
        <w:outlineLvl w:val="0"/>
        <w:rPr>
          <w:rFonts w:ascii="Times New Roman" w:hAnsi="Times New Roman"/>
          <w:sz w:val="24"/>
          <w:szCs w:val="24"/>
          <w:lang w:val="sq-AL"/>
        </w:rPr>
      </w:pPr>
    </w:p>
    <w:p w:rsidR="00681D33" w:rsidRPr="00BC0CD3" w:rsidRDefault="00681D33" w:rsidP="00BC0CD3">
      <w:pPr>
        <w:jc w:val="center"/>
        <w:outlineLvl w:val="0"/>
        <w:rPr>
          <w:rFonts w:ascii="Times New Roman" w:hAnsi="Times New Roman"/>
          <w:sz w:val="24"/>
          <w:szCs w:val="24"/>
          <w:lang w:val="sq-AL"/>
        </w:rPr>
      </w:pPr>
      <w:r w:rsidRPr="00BC0CD3">
        <w:rPr>
          <w:rFonts w:ascii="Times New Roman" w:hAnsi="Times New Roman"/>
          <w:sz w:val="24"/>
          <w:szCs w:val="24"/>
          <w:lang w:val="sq-AL"/>
        </w:rPr>
        <w:t>STRASBURG</w:t>
      </w:r>
    </w:p>
    <w:p w:rsidR="00681D33" w:rsidRPr="00BC0CD3" w:rsidRDefault="00681D33" w:rsidP="00BC0CD3">
      <w:pPr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681D33" w:rsidRPr="00BC0CD3" w:rsidRDefault="00FD675C" w:rsidP="00BC0CD3">
      <w:pPr>
        <w:jc w:val="center"/>
        <w:rPr>
          <w:rFonts w:ascii="Times New Roman" w:hAnsi="Times New Roman"/>
          <w:sz w:val="24"/>
          <w:szCs w:val="24"/>
          <w:lang w:val="sq-AL"/>
        </w:rPr>
      </w:pPr>
      <w:r w:rsidRPr="00BC0CD3">
        <w:rPr>
          <w:rFonts w:ascii="Times New Roman" w:hAnsi="Times New Roman"/>
          <w:sz w:val="24"/>
          <w:szCs w:val="24"/>
          <w:lang w:val="sq-AL"/>
        </w:rPr>
        <w:t xml:space="preserve">15 Shtator 2015 </w:t>
      </w:r>
    </w:p>
    <w:p w:rsidR="00681D33" w:rsidRPr="00BC0CD3" w:rsidRDefault="00681D33" w:rsidP="00BC0CD3">
      <w:pPr>
        <w:rPr>
          <w:rFonts w:ascii="Times New Roman" w:hAnsi="Times New Roman"/>
          <w:sz w:val="24"/>
          <w:szCs w:val="24"/>
          <w:lang w:val="sq-AL"/>
        </w:rPr>
      </w:pPr>
    </w:p>
    <w:p w:rsidR="0042244A" w:rsidRPr="00BC0CD3" w:rsidRDefault="0042244A" w:rsidP="00BC0CD3">
      <w:pPr>
        <w:rPr>
          <w:rFonts w:ascii="Times New Roman" w:hAnsi="Times New Roman"/>
          <w:sz w:val="24"/>
          <w:szCs w:val="24"/>
          <w:lang w:val="sq-AL"/>
        </w:rPr>
      </w:pPr>
    </w:p>
    <w:p w:rsidR="007A595D" w:rsidRPr="00BC0CD3" w:rsidRDefault="007A595D" w:rsidP="00BC0CD3">
      <w:pPr>
        <w:rPr>
          <w:rFonts w:ascii="Times New Roman" w:hAnsi="Times New Roman"/>
          <w:sz w:val="24"/>
          <w:szCs w:val="24"/>
          <w:lang w:val="sq-AL"/>
        </w:rPr>
      </w:pPr>
    </w:p>
    <w:p w:rsidR="00681D33" w:rsidRPr="00BC0CD3" w:rsidRDefault="00681D33" w:rsidP="00BC0CD3">
      <w:pPr>
        <w:pStyle w:val="JuPara"/>
        <w:spacing w:line="276" w:lineRule="auto"/>
        <w:ind w:firstLine="0"/>
        <w:jc w:val="center"/>
        <w:rPr>
          <w:szCs w:val="24"/>
          <w:u w:val="single"/>
          <w:lang w:val="sq-AL"/>
        </w:rPr>
      </w:pPr>
    </w:p>
    <w:p w:rsidR="00681D33" w:rsidRDefault="00681D33" w:rsidP="00BC0CD3">
      <w:pPr>
        <w:pStyle w:val="JuPara"/>
        <w:spacing w:line="276" w:lineRule="auto"/>
        <w:ind w:firstLine="0"/>
        <w:jc w:val="center"/>
        <w:rPr>
          <w:i/>
          <w:szCs w:val="24"/>
          <w:lang w:val="sq-AL"/>
        </w:rPr>
      </w:pPr>
      <w:r w:rsidRPr="00BC0CD3">
        <w:rPr>
          <w:i/>
          <w:szCs w:val="24"/>
          <w:lang w:val="sq-AL"/>
        </w:rPr>
        <w:t xml:space="preserve">Ky vendim </w:t>
      </w:r>
      <w:r w:rsidR="00011DEC">
        <w:rPr>
          <w:i/>
          <w:szCs w:val="24"/>
          <w:lang w:val="sq-AL"/>
        </w:rPr>
        <w:t>ë</w:t>
      </w:r>
      <w:r w:rsidR="00FD675C" w:rsidRPr="00BC0CD3">
        <w:rPr>
          <w:i/>
          <w:szCs w:val="24"/>
          <w:lang w:val="sq-AL"/>
        </w:rPr>
        <w:t>sht</w:t>
      </w:r>
      <w:r w:rsidR="00011DEC">
        <w:rPr>
          <w:i/>
          <w:szCs w:val="24"/>
          <w:lang w:val="sq-AL"/>
        </w:rPr>
        <w:t>ë</w:t>
      </w:r>
      <w:r w:rsidR="00FD675C" w:rsidRPr="00BC0CD3">
        <w:rPr>
          <w:i/>
          <w:szCs w:val="24"/>
          <w:lang w:val="sq-AL"/>
        </w:rPr>
        <w:t xml:space="preserve"> i form</w:t>
      </w:r>
      <w:r w:rsidR="00011DEC">
        <w:rPr>
          <w:i/>
          <w:szCs w:val="24"/>
          <w:lang w:val="sq-AL"/>
        </w:rPr>
        <w:t>ë</w:t>
      </w:r>
      <w:r w:rsidR="00FD675C" w:rsidRPr="00BC0CD3">
        <w:rPr>
          <w:i/>
          <w:szCs w:val="24"/>
          <w:lang w:val="sq-AL"/>
        </w:rPr>
        <w:t>s s</w:t>
      </w:r>
      <w:r w:rsidR="00011DEC">
        <w:rPr>
          <w:i/>
          <w:szCs w:val="24"/>
          <w:lang w:val="sq-AL"/>
        </w:rPr>
        <w:t>ë</w:t>
      </w:r>
      <w:r w:rsidR="00FD675C" w:rsidRPr="00BC0CD3">
        <w:rPr>
          <w:i/>
          <w:szCs w:val="24"/>
          <w:lang w:val="sq-AL"/>
        </w:rPr>
        <w:t xml:space="preserve"> prer</w:t>
      </w:r>
      <w:r w:rsidR="00011DEC">
        <w:rPr>
          <w:i/>
          <w:szCs w:val="24"/>
          <w:lang w:val="sq-AL"/>
        </w:rPr>
        <w:t>ë</w:t>
      </w:r>
      <w:r w:rsidR="00FD675C" w:rsidRPr="00BC0CD3">
        <w:rPr>
          <w:i/>
          <w:szCs w:val="24"/>
          <w:lang w:val="sq-AL"/>
        </w:rPr>
        <w:t xml:space="preserve">, por </w:t>
      </w:r>
      <w:r w:rsidRPr="00BC0CD3">
        <w:rPr>
          <w:i/>
          <w:szCs w:val="24"/>
          <w:lang w:val="sq-AL"/>
        </w:rPr>
        <w:t>mund t’i nënshtrohet rishikimit redaktues.</w:t>
      </w:r>
    </w:p>
    <w:p w:rsidR="00596618" w:rsidRDefault="00596618" w:rsidP="00BC0CD3">
      <w:pPr>
        <w:pStyle w:val="JuPara"/>
        <w:spacing w:line="276" w:lineRule="auto"/>
        <w:ind w:firstLine="0"/>
        <w:jc w:val="center"/>
        <w:rPr>
          <w:i/>
          <w:szCs w:val="24"/>
          <w:lang w:val="sq-AL"/>
        </w:rPr>
      </w:pPr>
    </w:p>
    <w:p w:rsidR="00596618" w:rsidRPr="00596618" w:rsidRDefault="00596618" w:rsidP="00BC0CD3">
      <w:pPr>
        <w:pStyle w:val="JuPara"/>
        <w:spacing w:line="276" w:lineRule="auto"/>
        <w:ind w:firstLine="0"/>
        <w:jc w:val="center"/>
        <w:rPr>
          <w:sz w:val="16"/>
          <w:szCs w:val="16"/>
          <w:lang w:val="sq-AL"/>
        </w:rPr>
      </w:pPr>
      <w:r w:rsidRPr="00596618">
        <w:rPr>
          <w:sz w:val="16"/>
          <w:szCs w:val="16"/>
          <w:lang w:val="sq-AL"/>
        </w:rPr>
        <w:lastRenderedPageBreak/>
        <w:t>VENDIMI LULI KUNDËR SHQIPËRISË</w:t>
      </w:r>
    </w:p>
    <w:p w:rsidR="00681D33" w:rsidRPr="00BC0CD3" w:rsidRDefault="00681D33" w:rsidP="00BC0CD3">
      <w:pPr>
        <w:pStyle w:val="JuPara"/>
        <w:spacing w:line="276" w:lineRule="auto"/>
        <w:ind w:firstLine="0"/>
        <w:rPr>
          <w:i/>
          <w:szCs w:val="24"/>
          <w:lang w:val="sq-AL"/>
        </w:rPr>
      </w:pPr>
    </w:p>
    <w:p w:rsidR="00681D33" w:rsidRPr="00BC0CD3" w:rsidRDefault="00681D33" w:rsidP="00BC0CD3">
      <w:pPr>
        <w:pStyle w:val="JuPara"/>
        <w:spacing w:line="276" w:lineRule="auto"/>
        <w:ind w:firstLine="0"/>
        <w:rPr>
          <w:i/>
          <w:szCs w:val="24"/>
          <w:lang w:val="sq-AL"/>
        </w:rPr>
      </w:pPr>
    </w:p>
    <w:p w:rsidR="00681D33" w:rsidRPr="00BC0CD3" w:rsidRDefault="00681D33" w:rsidP="00BC0CD3">
      <w:pPr>
        <w:pStyle w:val="JuCase"/>
        <w:spacing w:line="276" w:lineRule="auto"/>
        <w:rPr>
          <w:szCs w:val="24"/>
          <w:lang w:val="sq-AL"/>
        </w:rPr>
      </w:pPr>
      <w:r w:rsidRPr="00BC0CD3">
        <w:rPr>
          <w:szCs w:val="24"/>
          <w:lang w:val="sq-AL"/>
        </w:rPr>
        <w:t xml:space="preserve">Në çështjen </w:t>
      </w:r>
      <w:r w:rsidR="00FD675C" w:rsidRPr="00BC0CD3">
        <w:rPr>
          <w:szCs w:val="24"/>
          <w:lang w:val="sq-AL"/>
        </w:rPr>
        <w:t>Luli</w:t>
      </w:r>
      <w:r w:rsidR="006121D5" w:rsidRPr="00BC0CD3">
        <w:rPr>
          <w:szCs w:val="24"/>
          <w:lang w:val="sq-AL"/>
        </w:rPr>
        <w:t xml:space="preserve"> kundër </w:t>
      </w:r>
      <w:r w:rsidRPr="00BC0CD3">
        <w:rPr>
          <w:szCs w:val="24"/>
          <w:lang w:val="sq-AL"/>
        </w:rPr>
        <w:t>Shqipërisë,</w:t>
      </w:r>
      <w:r w:rsidR="006121D5" w:rsidRPr="00BC0CD3">
        <w:rPr>
          <w:szCs w:val="24"/>
          <w:lang w:val="sq-AL"/>
        </w:rPr>
        <w:t xml:space="preserve"> </w:t>
      </w:r>
    </w:p>
    <w:p w:rsidR="00681D33" w:rsidRPr="00BC0CD3" w:rsidRDefault="00681D33" w:rsidP="00BC0CD3">
      <w:pPr>
        <w:pStyle w:val="JuPara"/>
        <w:spacing w:line="276" w:lineRule="auto"/>
        <w:rPr>
          <w:szCs w:val="24"/>
          <w:lang w:val="sq-AL"/>
        </w:rPr>
      </w:pPr>
      <w:r w:rsidRPr="00BC0CD3">
        <w:rPr>
          <w:szCs w:val="24"/>
          <w:lang w:val="sq-AL"/>
        </w:rPr>
        <w:t xml:space="preserve">Gjykata Europiane e të Drejtave të Njeriut (Seksioni i Katërt), duke gjykuar si </w:t>
      </w:r>
      <w:r w:rsidR="00FD675C" w:rsidRPr="00BC0CD3">
        <w:rPr>
          <w:szCs w:val="24"/>
          <w:lang w:val="sq-AL"/>
        </w:rPr>
        <w:t>Komitet i</w:t>
      </w:r>
      <w:r w:rsidRPr="00BC0CD3">
        <w:rPr>
          <w:szCs w:val="24"/>
          <w:lang w:val="sq-AL"/>
        </w:rPr>
        <w:t xml:space="preserve"> përbërë nga:</w:t>
      </w:r>
    </w:p>
    <w:p w:rsidR="00681D33" w:rsidRPr="00BC0CD3" w:rsidRDefault="00681D33" w:rsidP="00BC0CD3">
      <w:pPr>
        <w:pStyle w:val="JuJudges"/>
        <w:spacing w:line="276" w:lineRule="auto"/>
        <w:rPr>
          <w:szCs w:val="24"/>
          <w:lang w:val="sq-AL"/>
        </w:rPr>
      </w:pPr>
      <w:r w:rsidRPr="00BC0CD3">
        <w:rPr>
          <w:szCs w:val="24"/>
          <w:lang w:val="sq-AL"/>
        </w:rPr>
        <w:tab/>
      </w:r>
      <w:r w:rsidR="00FD675C" w:rsidRPr="00BC0CD3">
        <w:rPr>
          <w:szCs w:val="24"/>
          <w:lang w:val="sq-AL"/>
        </w:rPr>
        <w:t>Paul Mahoney</w:t>
      </w:r>
      <w:r w:rsidRPr="00BC0CD3">
        <w:rPr>
          <w:szCs w:val="24"/>
          <w:lang w:val="sq-AL"/>
        </w:rPr>
        <w:t>,</w:t>
      </w:r>
      <w:r w:rsidRPr="00BC0CD3">
        <w:rPr>
          <w:i/>
          <w:szCs w:val="24"/>
          <w:lang w:val="sq-AL"/>
        </w:rPr>
        <w:t xml:space="preserve"> President,</w:t>
      </w:r>
      <w:r w:rsidRPr="00BC0CD3">
        <w:rPr>
          <w:i/>
          <w:szCs w:val="24"/>
          <w:lang w:val="sq-AL"/>
        </w:rPr>
        <w:br/>
      </w:r>
      <w:r w:rsidRPr="00BC0CD3">
        <w:rPr>
          <w:szCs w:val="24"/>
          <w:lang w:val="sq-AL"/>
        </w:rPr>
        <w:tab/>
      </w:r>
      <w:r w:rsidR="00FD675C" w:rsidRPr="00BC0CD3">
        <w:rPr>
          <w:szCs w:val="24"/>
          <w:lang w:val="sq-AL"/>
        </w:rPr>
        <w:t>Ledi Bianku</w:t>
      </w:r>
      <w:r w:rsidRPr="00BC0CD3">
        <w:rPr>
          <w:szCs w:val="24"/>
          <w:lang w:val="sq-AL"/>
        </w:rPr>
        <w:t>,</w:t>
      </w:r>
      <w:r w:rsidRPr="00BC0CD3">
        <w:rPr>
          <w:i/>
          <w:szCs w:val="24"/>
          <w:lang w:val="sq-AL"/>
        </w:rPr>
        <w:br/>
      </w:r>
      <w:r w:rsidR="006121D5" w:rsidRPr="00BC0CD3">
        <w:rPr>
          <w:szCs w:val="24"/>
          <w:lang w:val="sq-AL"/>
        </w:rPr>
        <w:t xml:space="preserve">          </w:t>
      </w:r>
      <w:r w:rsidR="00FD675C" w:rsidRPr="00BC0CD3">
        <w:rPr>
          <w:szCs w:val="24"/>
          <w:lang w:val="sq-AL"/>
        </w:rPr>
        <w:t xml:space="preserve">Krzysztof </w:t>
      </w:r>
      <w:r w:rsidR="00011DEC">
        <w:rPr>
          <w:szCs w:val="24"/>
          <w:lang w:val="sq-AL"/>
        </w:rPr>
        <w:t>W</w:t>
      </w:r>
      <w:r w:rsidR="00FD675C" w:rsidRPr="00BC0CD3">
        <w:rPr>
          <w:szCs w:val="24"/>
          <w:lang w:val="sq-AL"/>
        </w:rPr>
        <w:t xml:space="preserve">oktyczek, </w:t>
      </w:r>
      <w:r w:rsidRPr="00BC0CD3">
        <w:rPr>
          <w:i/>
          <w:szCs w:val="24"/>
          <w:lang w:val="sq-AL"/>
        </w:rPr>
        <w:t>gjykatës,</w:t>
      </w:r>
      <w:r w:rsidRPr="00BC0CD3">
        <w:rPr>
          <w:szCs w:val="24"/>
          <w:lang w:val="sq-AL"/>
        </w:rPr>
        <w:br/>
        <w:t xml:space="preserve">dhe </w:t>
      </w:r>
      <w:r w:rsidR="00E9358A" w:rsidRPr="00BC0CD3">
        <w:rPr>
          <w:szCs w:val="24"/>
          <w:lang w:val="sq-AL"/>
        </w:rPr>
        <w:t>Fatoş Aracı</w:t>
      </w:r>
      <w:r w:rsidRPr="00BC0CD3">
        <w:rPr>
          <w:rStyle w:val="JuJudgesChar"/>
          <w:szCs w:val="24"/>
          <w:lang w:val="sq-AL"/>
        </w:rPr>
        <w:t xml:space="preserve">, </w:t>
      </w:r>
      <w:r w:rsidR="00555F41" w:rsidRPr="00555F41">
        <w:rPr>
          <w:rStyle w:val="JuJudgesChar"/>
          <w:i/>
          <w:szCs w:val="24"/>
          <w:lang w:val="sq-AL"/>
        </w:rPr>
        <w:t>Z</w:t>
      </w:r>
      <w:r w:rsidR="00011DEC">
        <w:rPr>
          <w:rStyle w:val="JuJudgesChar"/>
          <w:i/>
          <w:szCs w:val="24"/>
          <w:lang w:val="sq-AL"/>
        </w:rPr>
        <w:t>ë</w:t>
      </w:r>
      <w:r w:rsidR="00555F41" w:rsidRPr="00555F41">
        <w:rPr>
          <w:rStyle w:val="JuJudgesChar"/>
          <w:i/>
          <w:szCs w:val="24"/>
          <w:lang w:val="sq-AL"/>
        </w:rPr>
        <w:t>vend</w:t>
      </w:r>
      <w:r w:rsidR="00011DEC">
        <w:rPr>
          <w:rStyle w:val="JuJudgesChar"/>
          <w:i/>
          <w:szCs w:val="24"/>
          <w:lang w:val="sq-AL"/>
        </w:rPr>
        <w:t>ë</w:t>
      </w:r>
      <w:r w:rsidR="00555F41" w:rsidRPr="00555F41">
        <w:rPr>
          <w:rStyle w:val="JuJudgesChar"/>
          <w:i/>
          <w:szCs w:val="24"/>
          <w:lang w:val="sq-AL"/>
        </w:rPr>
        <w:t>s</w:t>
      </w:r>
      <w:r w:rsidR="00555F41">
        <w:rPr>
          <w:rStyle w:val="JuJudgesChar"/>
          <w:szCs w:val="24"/>
          <w:lang w:val="sq-AL"/>
        </w:rPr>
        <w:t xml:space="preserve"> </w:t>
      </w:r>
      <w:r w:rsidRPr="00BC0CD3">
        <w:rPr>
          <w:i/>
          <w:szCs w:val="24"/>
          <w:lang w:val="sq-AL"/>
        </w:rPr>
        <w:t>Regjistrues i Seksionit,</w:t>
      </w:r>
    </w:p>
    <w:p w:rsidR="007A595D" w:rsidRPr="00BC0CD3" w:rsidRDefault="007A595D" w:rsidP="00BC0CD3">
      <w:pPr>
        <w:pStyle w:val="JuJudges"/>
        <w:spacing w:line="276" w:lineRule="auto"/>
        <w:rPr>
          <w:szCs w:val="24"/>
          <w:lang w:val="sq-AL"/>
        </w:rPr>
      </w:pPr>
    </w:p>
    <w:p w:rsidR="00681D33" w:rsidRPr="00BC0CD3" w:rsidRDefault="00681D33" w:rsidP="00BC0CD3">
      <w:pPr>
        <w:pStyle w:val="JuPara"/>
        <w:spacing w:line="276" w:lineRule="auto"/>
        <w:rPr>
          <w:szCs w:val="24"/>
          <w:lang w:val="sq-AL"/>
        </w:rPr>
      </w:pPr>
      <w:r w:rsidRPr="00BC0CD3">
        <w:rPr>
          <w:szCs w:val="24"/>
          <w:lang w:val="sq-AL"/>
        </w:rPr>
        <w:t xml:space="preserve">Pas shqyrtimit me dyer të mbyllura më </w:t>
      </w:r>
      <w:r w:rsidR="00FD675C" w:rsidRPr="00BC0CD3">
        <w:rPr>
          <w:szCs w:val="24"/>
          <w:lang w:val="sq-AL"/>
        </w:rPr>
        <w:t>25 Gusht 2015</w:t>
      </w:r>
      <w:r w:rsidRPr="00BC0CD3">
        <w:rPr>
          <w:szCs w:val="24"/>
          <w:lang w:val="sq-AL"/>
        </w:rPr>
        <w:t>,</w:t>
      </w:r>
    </w:p>
    <w:p w:rsidR="00681D33" w:rsidRPr="00BC0CD3" w:rsidRDefault="00681D33" w:rsidP="00BC0CD3">
      <w:pPr>
        <w:pStyle w:val="JuPara"/>
        <w:spacing w:line="276" w:lineRule="auto"/>
        <w:rPr>
          <w:szCs w:val="24"/>
          <w:lang w:val="sq-AL"/>
        </w:rPr>
      </w:pPr>
      <w:r w:rsidRPr="00BC0CD3">
        <w:rPr>
          <w:szCs w:val="24"/>
          <w:lang w:val="sq-AL"/>
        </w:rPr>
        <w:t>Shpall vendimin e mëposhtëm të miratuar në atë datë:</w:t>
      </w:r>
    </w:p>
    <w:p w:rsidR="00681D33" w:rsidRPr="00BC0CD3" w:rsidRDefault="00681D33" w:rsidP="00BC0CD3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:rsidR="009604FA" w:rsidRPr="00BC0CD3" w:rsidRDefault="00316AC2" w:rsidP="00BC0CD3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C0CD3">
        <w:rPr>
          <w:rFonts w:ascii="Times New Roman" w:hAnsi="Times New Roman"/>
          <w:sz w:val="24"/>
          <w:szCs w:val="24"/>
          <w:lang w:val="sq-AL"/>
        </w:rPr>
        <w:t>PROCEDURA</w:t>
      </w:r>
    </w:p>
    <w:p w:rsidR="002045F8" w:rsidRPr="00BC0CD3" w:rsidRDefault="00316AC2" w:rsidP="00BC0CD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C0CD3">
        <w:rPr>
          <w:rFonts w:ascii="Times New Roman" w:hAnsi="Times New Roman"/>
          <w:sz w:val="24"/>
          <w:szCs w:val="24"/>
          <w:lang w:val="sq-AL"/>
        </w:rPr>
        <w:t>Ç</w:t>
      </w:r>
      <w:r w:rsidR="00681D33" w:rsidRPr="00BC0CD3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shtja e ka zanafill</w:t>
      </w:r>
      <w:r w:rsidR="00681D33" w:rsidRPr="00BC0CD3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n n</w:t>
      </w:r>
      <w:r w:rsidR="00681D33" w:rsidRPr="00BC0CD3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37FAA" w:rsidRPr="00BC0CD3">
        <w:rPr>
          <w:rFonts w:ascii="Times New Roman" w:hAnsi="Times New Roman"/>
          <w:sz w:val="24"/>
          <w:szCs w:val="24"/>
          <w:lang w:val="sq-AL"/>
        </w:rPr>
        <w:t>ankimin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(nr.</w:t>
      </w:r>
      <w:r w:rsidR="002045F8" w:rsidRPr="00BC0CD3">
        <w:rPr>
          <w:rFonts w:ascii="Times New Roman" w:hAnsi="Times New Roman"/>
          <w:sz w:val="24"/>
          <w:szCs w:val="24"/>
          <w:lang w:val="sq-AL"/>
        </w:rPr>
        <w:t>30601/08</w:t>
      </w:r>
      <w:r w:rsidRPr="00BC0CD3">
        <w:rPr>
          <w:rFonts w:ascii="Times New Roman" w:hAnsi="Times New Roman"/>
          <w:sz w:val="24"/>
          <w:szCs w:val="24"/>
          <w:lang w:val="sq-AL"/>
        </w:rPr>
        <w:t>)</w:t>
      </w:r>
      <w:r w:rsidR="002045F8" w:rsidRPr="00BC0CD3"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BC0CD3">
        <w:rPr>
          <w:rFonts w:ascii="Times New Roman" w:hAnsi="Times New Roman"/>
          <w:sz w:val="24"/>
          <w:szCs w:val="24"/>
          <w:lang w:val="sq-AL"/>
        </w:rPr>
        <w:t>r Republik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BC0CD3">
        <w:rPr>
          <w:rFonts w:ascii="Times New Roman" w:hAnsi="Times New Roman"/>
          <w:sz w:val="24"/>
          <w:szCs w:val="24"/>
          <w:lang w:val="sq-AL"/>
        </w:rPr>
        <w:t>s 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BC0CD3">
        <w:rPr>
          <w:rFonts w:ascii="Times New Roman" w:hAnsi="Times New Roman"/>
          <w:sz w:val="24"/>
          <w:szCs w:val="24"/>
          <w:lang w:val="sq-AL"/>
        </w:rPr>
        <w:t xml:space="preserve"> Shqip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BC0CD3">
        <w:rPr>
          <w:rFonts w:ascii="Times New Roman" w:hAnsi="Times New Roman"/>
          <w:sz w:val="24"/>
          <w:szCs w:val="24"/>
          <w:lang w:val="sq-AL"/>
        </w:rPr>
        <w:t>ris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BC0CD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BC0CD3">
        <w:rPr>
          <w:rFonts w:ascii="Times New Roman" w:hAnsi="Times New Roman"/>
          <w:sz w:val="24"/>
          <w:szCs w:val="24"/>
          <w:lang w:val="sq-AL"/>
        </w:rPr>
        <w:t xml:space="preserve"> depozituar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BC0CD3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BC0CD3">
        <w:rPr>
          <w:rFonts w:ascii="Times New Roman" w:hAnsi="Times New Roman"/>
          <w:sz w:val="24"/>
          <w:szCs w:val="24"/>
          <w:lang w:val="sq-AL"/>
        </w:rPr>
        <w:t xml:space="preserve"> sipas Nenit 34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BC0CD3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BC0CD3">
        <w:rPr>
          <w:rFonts w:ascii="Times New Roman" w:hAnsi="Times New Roman"/>
          <w:sz w:val="24"/>
          <w:szCs w:val="24"/>
          <w:lang w:val="sq-AL"/>
        </w:rPr>
        <w:t>s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BC0CD3">
        <w:rPr>
          <w:rFonts w:ascii="Times New Roman" w:hAnsi="Times New Roman"/>
          <w:sz w:val="24"/>
          <w:szCs w:val="24"/>
          <w:lang w:val="sq-AL"/>
        </w:rPr>
        <w:t>r Mbrojtjen 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BC0CD3">
        <w:rPr>
          <w:rFonts w:ascii="Times New Roman" w:hAnsi="Times New Roman"/>
          <w:sz w:val="24"/>
          <w:szCs w:val="24"/>
          <w:lang w:val="sq-AL"/>
        </w:rPr>
        <w:t xml:space="preserve"> Drejtave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BC0CD3">
        <w:rPr>
          <w:rFonts w:ascii="Times New Roman" w:hAnsi="Times New Roman"/>
          <w:sz w:val="24"/>
          <w:szCs w:val="24"/>
          <w:lang w:val="sq-AL"/>
        </w:rPr>
        <w:t xml:space="preserve"> Njeriut dhe Lirive Themelore (“Konventa”), nga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BC0CD3">
        <w:rPr>
          <w:rFonts w:ascii="Times New Roman" w:hAnsi="Times New Roman"/>
          <w:sz w:val="24"/>
          <w:szCs w:val="24"/>
          <w:lang w:val="sq-AL"/>
        </w:rPr>
        <w:t xml:space="preserve"> shtetas shqiptar, Z.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BC0CD3">
        <w:rPr>
          <w:rFonts w:ascii="Times New Roman" w:hAnsi="Times New Roman"/>
          <w:sz w:val="24"/>
          <w:szCs w:val="24"/>
          <w:lang w:val="sq-AL"/>
        </w:rPr>
        <w:t>llumb Luli (“ankuesi”),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045F8" w:rsidRPr="00BC0CD3">
        <w:rPr>
          <w:rFonts w:ascii="Times New Roman" w:hAnsi="Times New Roman"/>
          <w:sz w:val="24"/>
          <w:szCs w:val="24"/>
          <w:lang w:val="sq-AL"/>
        </w:rPr>
        <w:t xml:space="preserve"> 23 Janar 2008. </w:t>
      </w:r>
    </w:p>
    <w:p w:rsidR="00706844" w:rsidRPr="00BC0CD3" w:rsidRDefault="00706844" w:rsidP="00BC0CD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C0CD3">
        <w:rPr>
          <w:rFonts w:ascii="Times New Roman" w:hAnsi="Times New Roman"/>
          <w:sz w:val="24"/>
          <w:szCs w:val="24"/>
          <w:lang w:val="sq-AL"/>
        </w:rPr>
        <w:t>Ankuesi u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rfaq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sua nga Z. A. Tartari, avokat i cili e ushtron aktivitetin e tij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Tiran</w:t>
      </w:r>
      <w:r w:rsidR="00011DEC">
        <w:rPr>
          <w:rFonts w:ascii="Times New Roman" w:hAnsi="Times New Roman"/>
          <w:sz w:val="24"/>
          <w:szCs w:val="24"/>
          <w:lang w:val="sq-AL"/>
        </w:rPr>
        <w:t>ë. Qeveria shqiptare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(“Qeveria”) u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rfaq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sua nga Agjent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t e saj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at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hersh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m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Zyr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s 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Avokatit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Shtetit, Znj. E. Hajro dhe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vijim nga Znj. L. Mandia. </w:t>
      </w:r>
    </w:p>
    <w:p w:rsidR="00706844" w:rsidRPr="00BC0CD3" w:rsidRDefault="00706844" w:rsidP="00BC0CD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C0CD3">
        <w:rPr>
          <w:rFonts w:ascii="Times New Roman" w:hAnsi="Times New Roman"/>
          <w:sz w:val="24"/>
          <w:szCs w:val="24"/>
          <w:lang w:val="sq-AL"/>
        </w:rPr>
        <w:t>M</w:t>
      </w:r>
      <w:r w:rsidR="00011DEC">
        <w:rPr>
          <w:rFonts w:ascii="Times New Roman" w:hAnsi="Times New Roman"/>
          <w:sz w:val="24"/>
          <w:szCs w:val="24"/>
          <w:lang w:val="sq-AL"/>
        </w:rPr>
        <w:t>ë 25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Janar 2010, ankesa iu komunikua Qeveris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706844" w:rsidRPr="00BC0CD3" w:rsidRDefault="00706844" w:rsidP="00BC0CD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06844" w:rsidRPr="00BC0CD3" w:rsidRDefault="00706844" w:rsidP="00BC0CD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06844" w:rsidRPr="00BC0CD3" w:rsidRDefault="00706844" w:rsidP="00BC0CD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C0CD3">
        <w:rPr>
          <w:rFonts w:ascii="Times New Roman" w:hAnsi="Times New Roman"/>
          <w:sz w:val="24"/>
          <w:szCs w:val="24"/>
          <w:lang w:val="sq-AL"/>
        </w:rPr>
        <w:t>FAKTET</w:t>
      </w:r>
    </w:p>
    <w:p w:rsidR="00706844" w:rsidRPr="00BC0CD3" w:rsidRDefault="00706844" w:rsidP="00BC0CD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06844" w:rsidRPr="00BC0CD3" w:rsidRDefault="00706844" w:rsidP="00BC0CD3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C0CD3">
        <w:rPr>
          <w:rFonts w:ascii="Times New Roman" w:hAnsi="Times New Roman"/>
          <w:sz w:val="24"/>
          <w:szCs w:val="24"/>
          <w:lang w:val="sq-AL"/>
        </w:rPr>
        <w:t>RRETHANAT E Ç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SHTJES</w:t>
      </w:r>
    </w:p>
    <w:p w:rsidR="00706844" w:rsidRPr="00BC0CD3" w:rsidRDefault="00706844" w:rsidP="00BC0CD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06844" w:rsidRPr="00BC0CD3" w:rsidRDefault="00706844" w:rsidP="00BC0CD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C0CD3">
        <w:rPr>
          <w:rFonts w:ascii="Times New Roman" w:hAnsi="Times New Roman"/>
          <w:sz w:val="24"/>
          <w:szCs w:val="24"/>
          <w:lang w:val="sq-AL"/>
        </w:rPr>
        <w:t>Ankuesi ka lindur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vitin 1961 dhe banon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Tiran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596618" w:rsidRDefault="00EF6DAE" w:rsidP="00BC0CD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C0CD3">
        <w:rPr>
          <w:rFonts w:ascii="Times New Roman" w:hAnsi="Times New Roman"/>
          <w:sz w:val="24"/>
          <w:szCs w:val="24"/>
          <w:lang w:val="sq-AL"/>
        </w:rPr>
        <w:t>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31 Maj 1996, Komisioni i Tiran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s i njohu ankuesit dhe trash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gimtar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ve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tjer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n e trash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guar ndaj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truall</w:t>
      </w:r>
      <w:r w:rsidR="00011DEC">
        <w:rPr>
          <w:rFonts w:ascii="Times New Roman" w:hAnsi="Times New Roman"/>
          <w:sz w:val="24"/>
          <w:szCs w:val="24"/>
          <w:lang w:val="sq-AL"/>
        </w:rPr>
        <w:t>i</w:t>
      </w:r>
      <w:r w:rsidRPr="00BC0CD3">
        <w:rPr>
          <w:rFonts w:ascii="Times New Roman" w:hAnsi="Times New Roman"/>
          <w:sz w:val="24"/>
          <w:szCs w:val="24"/>
          <w:lang w:val="sq-AL"/>
        </w:rPr>
        <w:t>, me sip</w:t>
      </w:r>
      <w:r w:rsidR="00011DEC">
        <w:rPr>
          <w:rFonts w:ascii="Times New Roman" w:hAnsi="Times New Roman"/>
          <w:sz w:val="24"/>
          <w:szCs w:val="24"/>
          <w:lang w:val="sq-AL"/>
        </w:rPr>
        <w:t xml:space="preserve">ërfaqen prej </w:t>
      </w:r>
      <w:r w:rsidRPr="00BC0CD3">
        <w:rPr>
          <w:rFonts w:ascii="Times New Roman" w:hAnsi="Times New Roman"/>
          <w:sz w:val="24"/>
          <w:szCs w:val="24"/>
          <w:lang w:val="sq-AL"/>
        </w:rPr>
        <w:t>2</w:t>
      </w:r>
      <w:r w:rsidR="00011DEC">
        <w:rPr>
          <w:rFonts w:ascii="Times New Roman" w:hAnsi="Times New Roman"/>
          <w:sz w:val="24"/>
          <w:szCs w:val="24"/>
          <w:lang w:val="sq-AL"/>
        </w:rPr>
        <w:t>3</w:t>
      </w:r>
      <w:r w:rsidRPr="00BC0CD3">
        <w:rPr>
          <w:rFonts w:ascii="Times New Roman" w:hAnsi="Times New Roman"/>
          <w:sz w:val="24"/>
          <w:szCs w:val="24"/>
          <w:lang w:val="sq-AL"/>
        </w:rPr>
        <w:t>,500 m</w:t>
      </w:r>
      <w:r w:rsidRPr="00BC0CD3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BC0CD3">
        <w:rPr>
          <w:rFonts w:ascii="Times New Roman" w:hAnsi="Times New Roman"/>
          <w:sz w:val="24"/>
          <w:szCs w:val="24"/>
          <w:lang w:val="sq-AL"/>
        </w:rPr>
        <w:t>, nga i cili u rikthye 5,000 m</w:t>
      </w:r>
      <w:r w:rsidRPr="00BC0CD3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(“vendimi i par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i Komisionit”). Ata do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kompensoheshin me an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trualli ekuivalent brenda pron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s 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tyre,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truall me sip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rfaqen prej 966 m</w:t>
      </w:r>
      <w:r w:rsidRPr="00BC0CD3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(“trualli i par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”), nga i cili 188 m</w:t>
      </w:r>
      <w:r w:rsidRPr="00BC0CD3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ishte z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nga nd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rtime pa leje. </w:t>
      </w:r>
      <w:r w:rsidR="004A7588" w:rsidRPr="00BC0CD3">
        <w:rPr>
          <w:rFonts w:ascii="Times New Roman" w:hAnsi="Times New Roman"/>
          <w:sz w:val="24"/>
          <w:szCs w:val="24"/>
          <w:lang w:val="sq-AL"/>
        </w:rPr>
        <w:t>Banor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A7588" w:rsidRPr="00BC0CD3">
        <w:rPr>
          <w:rFonts w:ascii="Times New Roman" w:hAnsi="Times New Roman"/>
          <w:sz w:val="24"/>
          <w:szCs w:val="24"/>
          <w:lang w:val="sq-AL"/>
        </w:rPr>
        <w:t>ve q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A7588" w:rsidRPr="00BC0CD3">
        <w:rPr>
          <w:rFonts w:ascii="Times New Roman" w:hAnsi="Times New Roman"/>
          <w:sz w:val="24"/>
          <w:szCs w:val="24"/>
          <w:lang w:val="sq-AL"/>
        </w:rPr>
        <w:t xml:space="preserve"> kishin z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A7588" w:rsidRPr="00BC0CD3">
        <w:rPr>
          <w:rFonts w:ascii="Times New Roman" w:hAnsi="Times New Roman"/>
          <w:sz w:val="24"/>
          <w:szCs w:val="24"/>
          <w:lang w:val="sq-AL"/>
        </w:rPr>
        <w:t>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A7588" w:rsidRPr="00BC0CD3">
        <w:rPr>
          <w:rFonts w:ascii="Times New Roman" w:hAnsi="Times New Roman"/>
          <w:sz w:val="24"/>
          <w:szCs w:val="24"/>
          <w:lang w:val="sq-AL"/>
        </w:rPr>
        <w:t xml:space="preserve"> tok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A7588" w:rsidRPr="00BC0CD3">
        <w:rPr>
          <w:rFonts w:ascii="Times New Roman" w:hAnsi="Times New Roman"/>
          <w:sz w:val="24"/>
          <w:szCs w:val="24"/>
          <w:lang w:val="sq-AL"/>
        </w:rPr>
        <w:t>n iu ishte dh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A7588" w:rsidRPr="00BC0CD3">
        <w:rPr>
          <w:rFonts w:ascii="Times New Roman" w:hAnsi="Times New Roman"/>
          <w:sz w:val="24"/>
          <w:szCs w:val="24"/>
          <w:lang w:val="sq-AL"/>
        </w:rPr>
        <w:t>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A7588" w:rsidRPr="00BC0CD3">
        <w:rPr>
          <w:rFonts w:ascii="Times New Roman" w:hAnsi="Times New Roman"/>
          <w:sz w:val="24"/>
          <w:szCs w:val="24"/>
          <w:lang w:val="sq-AL"/>
        </w:rPr>
        <w:t xml:space="preserve"> e drejta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A7588" w:rsidRPr="00BC0CD3">
        <w:rPr>
          <w:rFonts w:ascii="Times New Roman" w:hAnsi="Times New Roman"/>
          <w:sz w:val="24"/>
          <w:szCs w:val="24"/>
          <w:lang w:val="sq-AL"/>
        </w:rPr>
        <w:t>r ta bler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A7588" w:rsidRPr="00BC0CD3">
        <w:rPr>
          <w:rFonts w:ascii="Times New Roman" w:hAnsi="Times New Roman"/>
          <w:sz w:val="24"/>
          <w:szCs w:val="24"/>
          <w:lang w:val="sq-AL"/>
        </w:rPr>
        <w:t xml:space="preserve"> truallin me sip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A7588" w:rsidRPr="00BC0CD3">
        <w:rPr>
          <w:rFonts w:ascii="Times New Roman" w:hAnsi="Times New Roman"/>
          <w:sz w:val="24"/>
          <w:szCs w:val="24"/>
          <w:lang w:val="sq-AL"/>
        </w:rPr>
        <w:t>rfaqe prej 188 m</w:t>
      </w:r>
      <w:r w:rsidR="004A7588" w:rsidRPr="00BC0CD3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011DEC">
        <w:rPr>
          <w:rFonts w:ascii="Times New Roman" w:hAnsi="Times New Roman"/>
          <w:sz w:val="24"/>
          <w:szCs w:val="24"/>
          <w:lang w:val="sq-AL"/>
        </w:rPr>
        <w:t xml:space="preserve"> ose ta merrnin me qi</w:t>
      </w:r>
      <w:r w:rsidR="004A7588" w:rsidRPr="00BC0CD3">
        <w:rPr>
          <w:rFonts w:ascii="Times New Roman" w:hAnsi="Times New Roman"/>
          <w:sz w:val="24"/>
          <w:szCs w:val="24"/>
          <w:lang w:val="sq-AL"/>
        </w:rPr>
        <w:t xml:space="preserve">ra bazuar </w:t>
      </w:r>
    </w:p>
    <w:p w:rsidR="00596618" w:rsidRPr="00596618" w:rsidRDefault="00596618" w:rsidP="00596618">
      <w:pPr>
        <w:pStyle w:val="JuPara"/>
        <w:spacing w:line="276" w:lineRule="auto"/>
        <w:ind w:left="720" w:firstLine="0"/>
        <w:jc w:val="center"/>
        <w:rPr>
          <w:sz w:val="16"/>
          <w:szCs w:val="16"/>
          <w:lang w:val="sq-AL"/>
        </w:rPr>
      </w:pPr>
      <w:r w:rsidRPr="00596618">
        <w:rPr>
          <w:sz w:val="16"/>
          <w:szCs w:val="16"/>
          <w:lang w:val="sq-AL"/>
        </w:rPr>
        <w:lastRenderedPageBreak/>
        <w:t>VENDIMI LULI KUNDËR SHQIPËRISË</w:t>
      </w:r>
    </w:p>
    <w:p w:rsidR="00596618" w:rsidRDefault="00596618" w:rsidP="00596618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2C169C" w:rsidRPr="00BC0CD3" w:rsidRDefault="004A7588" w:rsidP="00596618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BC0CD3">
        <w:rPr>
          <w:rFonts w:ascii="Times New Roman" w:hAnsi="Times New Roman"/>
          <w:sz w:val="24"/>
          <w:szCs w:val="24"/>
          <w:lang w:val="sq-AL"/>
        </w:rPr>
        <w:t>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marr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veshje t</w:t>
      </w:r>
      <w:r w:rsidR="00011DEC">
        <w:rPr>
          <w:rFonts w:ascii="Times New Roman" w:hAnsi="Times New Roman"/>
          <w:sz w:val="24"/>
          <w:szCs w:val="24"/>
          <w:lang w:val="sq-AL"/>
        </w:rPr>
        <w:t>ë finalizuar midis p</w:t>
      </w:r>
      <w:r w:rsidRPr="00BC0CD3">
        <w:rPr>
          <w:rFonts w:ascii="Times New Roman" w:hAnsi="Times New Roman"/>
          <w:sz w:val="24"/>
          <w:szCs w:val="24"/>
          <w:lang w:val="sq-AL"/>
        </w:rPr>
        <w:t>al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ve. Gjithashtu, ajo njohu edhe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n e refuzimit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par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r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nd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rtes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publike me sip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rfaqe prej 444 m</w:t>
      </w:r>
      <w:r w:rsidRPr="00BC0CD3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pozicionuar brenda truallit me sip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rfaqe prej 966 m</w:t>
      </w:r>
      <w:r w:rsidRPr="00BC0CD3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BC0CD3">
        <w:rPr>
          <w:rFonts w:ascii="Times New Roman" w:hAnsi="Times New Roman"/>
          <w:sz w:val="24"/>
          <w:szCs w:val="24"/>
          <w:lang w:val="sq-AL"/>
        </w:rPr>
        <w:t>.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tej, 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 xml:space="preserve">ajo </w:t>
      </w:r>
      <w:r w:rsidRPr="00BC0CD3">
        <w:rPr>
          <w:rFonts w:ascii="Times New Roman" w:hAnsi="Times New Roman"/>
          <w:sz w:val="24"/>
          <w:szCs w:val="24"/>
          <w:lang w:val="sq-AL"/>
        </w:rPr>
        <w:t>vendosi q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ankuesi dhe </w:t>
      </w:r>
      <w:r w:rsidR="00011DEC" w:rsidRPr="00BC0CD3">
        <w:rPr>
          <w:rFonts w:ascii="Times New Roman" w:hAnsi="Times New Roman"/>
          <w:sz w:val="24"/>
          <w:szCs w:val="24"/>
          <w:lang w:val="sq-AL"/>
        </w:rPr>
        <w:t>trashëgimta</w:t>
      </w:r>
      <w:r w:rsidR="00011DEC">
        <w:rPr>
          <w:rFonts w:ascii="Times New Roman" w:hAnsi="Times New Roman"/>
          <w:sz w:val="24"/>
          <w:szCs w:val="24"/>
          <w:lang w:val="sq-AL"/>
        </w:rPr>
        <w:t>r</w:t>
      </w:r>
      <w:r w:rsidR="00011DEC" w:rsidRPr="00BC0CD3">
        <w:rPr>
          <w:rFonts w:ascii="Times New Roman" w:hAnsi="Times New Roman"/>
          <w:sz w:val="24"/>
          <w:szCs w:val="24"/>
          <w:lang w:val="sq-AL"/>
        </w:rPr>
        <w:t>ët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e tjer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do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kompensoheshin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nga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nyrat e parashikuara me ligj me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truall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 xml:space="preserve"> tjet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>r me sip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>rfaqe prej 3,961 m</w:t>
      </w:r>
      <w:r w:rsidR="002C169C" w:rsidRPr="00BC0CD3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 xml:space="preserve"> (“trualli i dyt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>”).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 xml:space="preserve"> fund, ajo vendosi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 xml:space="preserve"> shqyrtonte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 xml:space="preserve"> drejtat e trash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>guara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>r pron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>si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 xml:space="preserve"> ankuesit dhe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 xml:space="preserve"> trash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>gimtar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>ve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 xml:space="preserve"> tjer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 xml:space="preserve"> lidhje me pjes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>n e mbetur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 xml:space="preserve"> truallit me sip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>rfaqen prej 13,454 m</w:t>
      </w:r>
      <w:r w:rsidR="002C169C" w:rsidRPr="00BC0CD3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 xml:space="preserve"> faz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 xml:space="preserve"> von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 xml:space="preserve"> (“trualli i tret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>”). Deri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 xml:space="preserve"> sot, nuk 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>sht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 xml:space="preserve"> marr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 xml:space="preserve"> asnj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 xml:space="preserve"> vendim nga Komisioni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 xml:space="preserve"> lidhje me truallin e mbetur me sip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>rfaqe prej 13,454 m</w:t>
      </w:r>
      <w:r w:rsidR="002C169C" w:rsidRPr="00BC0CD3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2C169C" w:rsidRPr="00BC0CD3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C062FD" w:rsidRDefault="002C169C" w:rsidP="00BC0CD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C0CD3">
        <w:rPr>
          <w:rFonts w:ascii="Times New Roman" w:hAnsi="Times New Roman"/>
          <w:sz w:val="24"/>
          <w:szCs w:val="24"/>
          <w:lang w:val="sq-AL"/>
        </w:rPr>
        <w:t>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30 prill 1997, e drejta </w:t>
      </w:r>
      <w:r w:rsidR="00011DEC">
        <w:rPr>
          <w:rFonts w:ascii="Times New Roman" w:hAnsi="Times New Roman"/>
          <w:sz w:val="24"/>
          <w:szCs w:val="24"/>
          <w:lang w:val="sq-AL"/>
        </w:rPr>
        <w:t xml:space="preserve">e trashëguar </w:t>
      </w:r>
      <w:r w:rsidRPr="00BC0CD3">
        <w:rPr>
          <w:rFonts w:ascii="Times New Roman" w:hAnsi="Times New Roman"/>
          <w:sz w:val="24"/>
          <w:szCs w:val="24"/>
          <w:lang w:val="sq-AL"/>
        </w:rPr>
        <w:t>e ankuesit dhe e trash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gimtar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ve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tjer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mbi </w:t>
      </w:r>
      <w:r w:rsidR="00011DEC" w:rsidRPr="00BC0CD3">
        <w:rPr>
          <w:rFonts w:ascii="Times New Roman" w:hAnsi="Times New Roman"/>
          <w:sz w:val="24"/>
          <w:szCs w:val="24"/>
          <w:lang w:val="sq-AL"/>
        </w:rPr>
        <w:t>truallin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me sip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rfaqen prej 6,154 m</w:t>
      </w:r>
      <w:r w:rsidRPr="00BC0CD3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BC0CD3">
        <w:rPr>
          <w:rFonts w:ascii="Times New Roman" w:hAnsi="Times New Roman"/>
          <w:sz w:val="24"/>
          <w:szCs w:val="24"/>
          <w:lang w:val="sq-AL"/>
        </w:rPr>
        <w:t>,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n ishte pjes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trualli i par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, u regjistrua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regjistrin e tok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s.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dh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>nat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fjal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hedhura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 regjistrin e tok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BC0CD3">
        <w:rPr>
          <w:rFonts w:ascii="Times New Roman" w:hAnsi="Times New Roman"/>
          <w:sz w:val="24"/>
          <w:szCs w:val="24"/>
          <w:lang w:val="sq-AL"/>
        </w:rPr>
        <w:t xml:space="preserve">s </w:t>
      </w:r>
      <w:r w:rsidR="00BC0CD3" w:rsidRPr="00BC0CD3">
        <w:rPr>
          <w:rFonts w:ascii="Times New Roman" w:hAnsi="Times New Roman"/>
          <w:sz w:val="24"/>
          <w:szCs w:val="24"/>
          <w:lang w:val="sq-AL"/>
        </w:rPr>
        <w:t>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BC0CD3" w:rsidRPr="00BC0CD3">
        <w:rPr>
          <w:rFonts w:ascii="Times New Roman" w:hAnsi="Times New Roman"/>
          <w:sz w:val="24"/>
          <w:szCs w:val="24"/>
          <w:lang w:val="sq-AL"/>
        </w:rPr>
        <w:t>rcaktojn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BC0CD3" w:rsidRPr="00BC0CD3">
        <w:rPr>
          <w:rFonts w:ascii="Times New Roman" w:hAnsi="Times New Roman"/>
          <w:sz w:val="24"/>
          <w:szCs w:val="24"/>
          <w:lang w:val="sq-AL"/>
        </w:rPr>
        <w:t xml:space="preserve"> si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BC0CD3" w:rsidRPr="00BC0CD3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BC0CD3" w:rsidRPr="00BC0CD3">
        <w:rPr>
          <w:rFonts w:ascii="Times New Roman" w:hAnsi="Times New Roman"/>
          <w:sz w:val="24"/>
          <w:szCs w:val="24"/>
          <w:lang w:val="sq-AL"/>
        </w:rPr>
        <w:t>:</w:t>
      </w:r>
    </w:p>
    <w:p w:rsidR="00BC0CD3" w:rsidRDefault="00BC0CD3" w:rsidP="00BC0CD3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0"/>
          <w:szCs w:val="20"/>
          <w:lang w:val="sq-AL"/>
        </w:rPr>
        <w:t>“M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30 Prill 1997, nj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truall i paz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me sip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rfaqe prej 5,000 m</w:t>
      </w:r>
      <w:r>
        <w:rPr>
          <w:rFonts w:ascii="Times New Roman" w:hAnsi="Times New Roman"/>
          <w:sz w:val="20"/>
          <w:szCs w:val="20"/>
          <w:vertAlign w:val="superscript"/>
          <w:lang w:val="sq-AL"/>
        </w:rPr>
        <w:t>2</w:t>
      </w:r>
      <w:r>
        <w:rPr>
          <w:rFonts w:ascii="Times New Roman" w:hAnsi="Times New Roman"/>
          <w:sz w:val="20"/>
          <w:szCs w:val="20"/>
          <w:lang w:val="sq-AL"/>
        </w:rPr>
        <w:t xml:space="preserve"> u regjistrua 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regjistrin e tok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s</w:t>
      </w:r>
      <w:r w:rsidR="00011DEC">
        <w:rPr>
          <w:rFonts w:ascii="Times New Roman" w:hAnsi="Times New Roman"/>
          <w:sz w:val="20"/>
          <w:szCs w:val="20"/>
          <w:lang w:val="sq-AL"/>
        </w:rPr>
        <w:t>;</w:t>
      </w:r>
      <w:r>
        <w:rPr>
          <w:rFonts w:ascii="Times New Roman" w:hAnsi="Times New Roman"/>
          <w:sz w:val="20"/>
          <w:szCs w:val="20"/>
          <w:lang w:val="sq-AL"/>
        </w:rPr>
        <w:t xml:space="preserve"> nj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truall i paz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me sip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rfaqe prej 966 m</w:t>
      </w:r>
      <w:r>
        <w:rPr>
          <w:rFonts w:ascii="Times New Roman" w:hAnsi="Times New Roman"/>
          <w:sz w:val="20"/>
          <w:szCs w:val="20"/>
          <w:vertAlign w:val="superscript"/>
          <w:lang w:val="sq-AL"/>
        </w:rPr>
        <w:t>2</w:t>
      </w:r>
      <w:r>
        <w:rPr>
          <w:rFonts w:ascii="Times New Roman" w:hAnsi="Times New Roman"/>
          <w:sz w:val="20"/>
          <w:szCs w:val="20"/>
          <w:lang w:val="sq-AL"/>
        </w:rPr>
        <w:t>, i cila u kompensua me an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nj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trualli ekuivalent brenda pron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s s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tyre ...”</w:t>
      </w:r>
    </w:p>
    <w:p w:rsidR="00BC0CD3" w:rsidRDefault="00BC0CD3" w:rsidP="00BC0CD3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C0CD3" w:rsidRDefault="00BC0CD3" w:rsidP="00BC0CD3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Deri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sot, </w:t>
      </w:r>
      <w:r w:rsidR="007F5FDE">
        <w:rPr>
          <w:rFonts w:ascii="Times New Roman" w:hAnsi="Times New Roman"/>
          <w:sz w:val="24"/>
          <w:szCs w:val="24"/>
          <w:lang w:val="sq-AL"/>
        </w:rPr>
        <w:t xml:space="preserve">ankuesit nuk i 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F5FDE">
        <w:rPr>
          <w:rFonts w:ascii="Times New Roman" w:hAnsi="Times New Roman"/>
          <w:sz w:val="24"/>
          <w:szCs w:val="24"/>
          <w:lang w:val="sq-AL"/>
        </w:rPr>
        <w:t>sht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F5FDE">
        <w:rPr>
          <w:rFonts w:ascii="Times New Roman" w:hAnsi="Times New Roman"/>
          <w:sz w:val="24"/>
          <w:szCs w:val="24"/>
          <w:lang w:val="sq-AL"/>
        </w:rPr>
        <w:t xml:space="preserve"> ofruar kompensim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F5FDE">
        <w:rPr>
          <w:rFonts w:ascii="Times New Roman" w:hAnsi="Times New Roman"/>
          <w:sz w:val="24"/>
          <w:szCs w:val="24"/>
          <w:lang w:val="sq-AL"/>
        </w:rPr>
        <w:t>r truallin e par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F5FDE">
        <w:rPr>
          <w:rFonts w:ascii="Times New Roman" w:hAnsi="Times New Roman"/>
          <w:sz w:val="24"/>
          <w:szCs w:val="24"/>
          <w:lang w:val="sq-AL"/>
        </w:rPr>
        <w:t xml:space="preserve"> dh</w:t>
      </w:r>
      <w:r w:rsidR="00011DEC">
        <w:rPr>
          <w:rFonts w:ascii="Times New Roman" w:hAnsi="Times New Roman"/>
          <w:sz w:val="24"/>
          <w:szCs w:val="24"/>
          <w:lang w:val="sq-AL"/>
        </w:rPr>
        <w:t>e</w:t>
      </w:r>
      <w:r w:rsidR="007F5FDE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F5FDE">
        <w:rPr>
          <w:rFonts w:ascii="Times New Roman" w:hAnsi="Times New Roman"/>
          <w:sz w:val="24"/>
          <w:szCs w:val="24"/>
          <w:lang w:val="sq-AL"/>
        </w:rPr>
        <w:t xml:space="preserve"> dyt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F5FDE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7F5FDE" w:rsidRDefault="007F5FDE" w:rsidP="007F5FD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jt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dit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, me an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vendimi tjet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r, Komisioni i Tiran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(“vendimi i dyt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i Komisionit”) i njohu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e trash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guar ankuesit dhe trash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gimtar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ve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tjer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truall me sip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rfaqen prej 2,900 m</w:t>
      </w:r>
      <w:r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>
        <w:rPr>
          <w:rFonts w:ascii="Times New Roman" w:hAnsi="Times New Roman"/>
          <w:sz w:val="24"/>
          <w:szCs w:val="24"/>
          <w:lang w:val="sq-AL"/>
        </w:rPr>
        <w:t xml:space="preserve"> (“trualli i kat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rt”). Duke qen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se i gjith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trualli ishte i z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, ai vendosi q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ankuesi dhe trash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gimtar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 e tjer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do t</w:t>
      </w:r>
      <w:r w:rsidR="00011DEC">
        <w:rPr>
          <w:rFonts w:ascii="Times New Roman" w:hAnsi="Times New Roman"/>
          <w:sz w:val="24"/>
          <w:szCs w:val="24"/>
          <w:lang w:val="sq-AL"/>
        </w:rPr>
        <w:t>ë kompensoheshin me</w:t>
      </w:r>
      <w:r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nga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nyrat e parashikuara me ligj. Deri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sot, ankuesit nuk i 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ofruar ndonj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kompensim. </w:t>
      </w:r>
    </w:p>
    <w:p w:rsidR="007F5FDE" w:rsidRDefault="007F5FDE" w:rsidP="007F5FDE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E24A2" w:rsidRDefault="007F5FDE" w:rsidP="007F5FDE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LIGJI </w:t>
      </w:r>
      <w:r w:rsidR="000E24A2">
        <w:rPr>
          <w:rFonts w:ascii="Times New Roman" w:hAnsi="Times New Roman"/>
          <w:sz w:val="24"/>
          <w:szCs w:val="24"/>
          <w:lang w:val="sq-AL"/>
        </w:rPr>
        <w:t xml:space="preserve">DHE PRAKTIKA </w:t>
      </w:r>
      <w:r>
        <w:rPr>
          <w:rFonts w:ascii="Times New Roman" w:hAnsi="Times New Roman"/>
          <w:sz w:val="24"/>
          <w:szCs w:val="24"/>
          <w:lang w:val="sq-AL"/>
        </w:rPr>
        <w:t>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RKAT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</w:t>
      </w:r>
      <w:r w:rsidR="000E24A2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VENDAS</w:t>
      </w:r>
      <w:r w:rsidR="000E24A2">
        <w:rPr>
          <w:rFonts w:ascii="Times New Roman" w:hAnsi="Times New Roman"/>
          <w:sz w:val="24"/>
          <w:szCs w:val="24"/>
          <w:lang w:val="sq-AL"/>
        </w:rPr>
        <w:t>E</w:t>
      </w:r>
    </w:p>
    <w:p w:rsidR="000E24A2" w:rsidRDefault="000E24A2" w:rsidP="000E24A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Ligji dhe praktika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rkat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se vendase jan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rshkruar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detaje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, </w:t>
      </w:r>
      <w:r>
        <w:rPr>
          <w:rFonts w:ascii="Times New Roman" w:hAnsi="Times New Roman"/>
          <w:i/>
          <w:sz w:val="24"/>
          <w:szCs w:val="24"/>
          <w:lang w:val="sq-AL"/>
        </w:rPr>
        <w:t>inter alia, Manushaqe Puto dhe t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ris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i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(nr. 604/07, 43628/07, 46684/07 dhe 34770/09, §§ 23-53, 31 Korrik 2012) dhe </w:t>
      </w:r>
      <w:r>
        <w:rPr>
          <w:rFonts w:ascii="Times New Roman" w:hAnsi="Times New Roman"/>
          <w:i/>
          <w:sz w:val="24"/>
          <w:szCs w:val="24"/>
          <w:lang w:val="sq-AL"/>
        </w:rPr>
        <w:t>Ramadhi kund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ris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(nr. 38222/02, §§ 22-30, 13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ntor 2007). </w:t>
      </w:r>
    </w:p>
    <w:p w:rsidR="000E24A2" w:rsidRDefault="000E24A2" w:rsidP="000E24A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6 Mars 2013 dhe 30 Korrik 2014, Qeveria miratoi dhe l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shoi harta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reja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vler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simin e pron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s,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cilat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rfshinin </w:t>
      </w:r>
      <w:r w:rsidR="00011DEC">
        <w:rPr>
          <w:rFonts w:ascii="Times New Roman" w:hAnsi="Times New Roman"/>
          <w:sz w:val="24"/>
          <w:szCs w:val="24"/>
          <w:lang w:val="sq-AL"/>
        </w:rPr>
        <w:t>ç</w:t>
      </w:r>
      <w:r>
        <w:rPr>
          <w:rFonts w:ascii="Times New Roman" w:hAnsi="Times New Roman"/>
          <w:sz w:val="24"/>
          <w:szCs w:val="24"/>
          <w:lang w:val="sq-AL"/>
        </w:rPr>
        <w:t>mimin e referenc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met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katror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gjith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vendin (vendimet e 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shillit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Ministrave nr. 187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6 Mars 2013 dhe 514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30 Korrik 2014).</w:t>
      </w:r>
    </w:p>
    <w:p w:rsidR="00596618" w:rsidRDefault="00596618" w:rsidP="00596618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96618" w:rsidRDefault="00596618" w:rsidP="00596618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96618" w:rsidRDefault="00596618" w:rsidP="00596618">
      <w:pPr>
        <w:pStyle w:val="JuPara"/>
        <w:spacing w:line="276" w:lineRule="auto"/>
        <w:ind w:firstLine="0"/>
        <w:jc w:val="center"/>
        <w:rPr>
          <w:sz w:val="16"/>
          <w:szCs w:val="16"/>
          <w:lang w:val="sq-AL"/>
        </w:rPr>
      </w:pPr>
      <w:r w:rsidRPr="00596618">
        <w:rPr>
          <w:sz w:val="16"/>
          <w:szCs w:val="16"/>
          <w:lang w:val="sq-AL"/>
        </w:rPr>
        <w:lastRenderedPageBreak/>
        <w:t>VENDIMI LULI KUNDËR SHQIPËRISË</w:t>
      </w:r>
    </w:p>
    <w:p w:rsidR="00596618" w:rsidRPr="00596618" w:rsidRDefault="00596618" w:rsidP="00596618">
      <w:pPr>
        <w:pStyle w:val="JuPara"/>
        <w:spacing w:line="276" w:lineRule="auto"/>
        <w:ind w:firstLine="0"/>
        <w:jc w:val="center"/>
        <w:rPr>
          <w:sz w:val="16"/>
          <w:szCs w:val="16"/>
          <w:lang w:val="sq-AL"/>
        </w:rPr>
      </w:pPr>
    </w:p>
    <w:p w:rsidR="000E24A2" w:rsidRDefault="000E24A2" w:rsidP="000E24A2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MATERIALI I 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SHILLIT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EUROP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</w:t>
      </w:r>
    </w:p>
    <w:p w:rsidR="000E24A2" w:rsidRDefault="000E24A2" w:rsidP="000E24A2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25413" w:rsidRDefault="000E24A2" w:rsidP="000E24A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vijim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ngjarjeve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rshkruara tek </w:t>
      </w:r>
      <w:r>
        <w:rPr>
          <w:rFonts w:ascii="Times New Roman" w:hAnsi="Times New Roman"/>
          <w:i/>
          <w:sz w:val="24"/>
          <w:szCs w:val="24"/>
          <w:lang w:val="sq-AL"/>
        </w:rPr>
        <w:t>Karagjozi dhe t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ris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[Komiteti], nr. 25408/06, 37419/06, 49121</w:t>
      </w:r>
      <w:r w:rsidR="00477C01">
        <w:rPr>
          <w:rFonts w:ascii="Times New Roman" w:hAnsi="Times New Roman"/>
          <w:sz w:val="24"/>
          <w:szCs w:val="24"/>
          <w:lang w:val="sq-AL"/>
        </w:rPr>
        <w:t xml:space="preserve">/06, 1504/07, 19772/07, 46685/07, 49411/07, </w:t>
      </w:r>
      <w:r w:rsidR="00C057A8">
        <w:rPr>
          <w:rFonts w:ascii="Times New Roman" w:hAnsi="Times New Roman"/>
          <w:sz w:val="24"/>
          <w:szCs w:val="24"/>
          <w:lang w:val="sq-AL"/>
        </w:rPr>
        <w:t>27242/08, 61912</w:t>
      </w:r>
      <w:r w:rsidR="00477C01">
        <w:rPr>
          <w:rFonts w:ascii="Times New Roman" w:hAnsi="Times New Roman"/>
          <w:sz w:val="24"/>
          <w:szCs w:val="24"/>
          <w:lang w:val="sq-AL"/>
        </w:rPr>
        <w:t>/08 dhe 15075/09, §§ 36-38, 8 Prill 2014, Komiteti i Ministrave dha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77C01">
        <w:rPr>
          <w:rFonts w:ascii="Times New Roman" w:hAnsi="Times New Roman"/>
          <w:sz w:val="24"/>
          <w:szCs w:val="24"/>
          <w:lang w:val="sq-AL"/>
        </w:rPr>
        <w:t xml:space="preserve"> vendim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77C01">
        <w:rPr>
          <w:rFonts w:ascii="Times New Roman" w:hAnsi="Times New Roman"/>
          <w:sz w:val="24"/>
          <w:szCs w:val="24"/>
          <w:lang w:val="sq-AL"/>
        </w:rPr>
        <w:t xml:space="preserve"> 6 Mars 2014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77C01">
        <w:rPr>
          <w:rFonts w:ascii="Times New Roman" w:hAnsi="Times New Roman"/>
          <w:sz w:val="24"/>
          <w:szCs w:val="24"/>
          <w:lang w:val="sq-AL"/>
        </w:rPr>
        <w:t>r ekzekutimin e vendimeve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77C01">
        <w:rPr>
          <w:rFonts w:ascii="Times New Roman" w:hAnsi="Times New Roman"/>
          <w:sz w:val="24"/>
          <w:szCs w:val="24"/>
          <w:lang w:val="sq-AL"/>
        </w:rPr>
        <w:t xml:space="preserve"> lidhje me moszbatimin nga ana e autoriteteve shqiptare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77C01">
        <w:rPr>
          <w:rFonts w:ascii="Times New Roman" w:hAnsi="Times New Roman"/>
          <w:sz w:val="24"/>
          <w:szCs w:val="24"/>
          <w:lang w:val="sq-AL"/>
        </w:rPr>
        <w:t xml:space="preserve"> vendimeve gjyq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77C01">
        <w:rPr>
          <w:rFonts w:ascii="Times New Roman" w:hAnsi="Times New Roman"/>
          <w:sz w:val="24"/>
          <w:szCs w:val="24"/>
          <w:lang w:val="sq-AL"/>
        </w:rPr>
        <w:t>sore dhe administrative vendase,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77C01">
        <w:rPr>
          <w:rFonts w:ascii="Times New Roman" w:hAnsi="Times New Roman"/>
          <w:sz w:val="24"/>
          <w:szCs w:val="24"/>
          <w:lang w:val="sq-AL"/>
        </w:rPr>
        <w:t xml:space="preserve"> cilat kompensojn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77C01">
        <w:rPr>
          <w:rFonts w:ascii="Times New Roman" w:hAnsi="Times New Roman"/>
          <w:sz w:val="24"/>
          <w:szCs w:val="24"/>
          <w:lang w:val="sq-AL"/>
        </w:rPr>
        <w:t xml:space="preserve"> ankuesit me an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77C01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77C01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77C01">
        <w:rPr>
          <w:rFonts w:ascii="Times New Roman" w:hAnsi="Times New Roman"/>
          <w:sz w:val="24"/>
          <w:szCs w:val="24"/>
          <w:lang w:val="sq-AL"/>
        </w:rPr>
        <w:t>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77C01">
        <w:rPr>
          <w:rFonts w:ascii="Times New Roman" w:hAnsi="Times New Roman"/>
          <w:sz w:val="24"/>
          <w:szCs w:val="24"/>
          <w:lang w:val="sq-AL"/>
        </w:rPr>
        <w:t>s prej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77C01">
        <w:rPr>
          <w:rFonts w:ascii="Times New Roman" w:hAnsi="Times New Roman"/>
          <w:sz w:val="24"/>
          <w:szCs w:val="24"/>
          <w:lang w:val="sq-AL"/>
        </w:rPr>
        <w:t>nyrave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77C01">
        <w:rPr>
          <w:rFonts w:ascii="Times New Roman" w:hAnsi="Times New Roman"/>
          <w:sz w:val="24"/>
          <w:szCs w:val="24"/>
          <w:lang w:val="sq-AL"/>
        </w:rPr>
        <w:t xml:space="preserve"> parashikuara nga ligji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77C01">
        <w:rPr>
          <w:rFonts w:ascii="Times New Roman" w:hAnsi="Times New Roman"/>
          <w:sz w:val="24"/>
          <w:szCs w:val="24"/>
          <w:lang w:val="sq-AL"/>
        </w:rPr>
        <w:t xml:space="preserve"> vend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77C01">
        <w:rPr>
          <w:rFonts w:ascii="Times New Roman" w:hAnsi="Times New Roman"/>
          <w:sz w:val="24"/>
          <w:szCs w:val="24"/>
          <w:lang w:val="sq-AL"/>
        </w:rPr>
        <w:t xml:space="preserve"> rikthimit fizik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77C01">
        <w:rPr>
          <w:rFonts w:ascii="Times New Roman" w:hAnsi="Times New Roman"/>
          <w:sz w:val="24"/>
          <w:szCs w:val="24"/>
          <w:lang w:val="sq-AL"/>
        </w:rPr>
        <w:t xml:space="preserve"> truajve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77C01">
        <w:rPr>
          <w:rFonts w:ascii="Times New Roman" w:hAnsi="Times New Roman"/>
          <w:sz w:val="24"/>
          <w:szCs w:val="24"/>
          <w:lang w:val="sq-AL"/>
        </w:rPr>
        <w:t xml:space="preserve"> tyre, i cili u miratua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77C01">
        <w:rPr>
          <w:rFonts w:ascii="Times New Roman" w:hAnsi="Times New Roman"/>
          <w:sz w:val="24"/>
          <w:szCs w:val="24"/>
          <w:lang w:val="sq-AL"/>
        </w:rPr>
        <w:t xml:space="preserve"> takimin e tij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77C01">
        <w:rPr>
          <w:rFonts w:ascii="Times New Roman" w:hAnsi="Times New Roman"/>
          <w:sz w:val="24"/>
          <w:szCs w:val="24"/>
          <w:lang w:val="sq-AL"/>
        </w:rPr>
        <w:t xml:space="preserve"> 1193-t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77C01">
        <w:rPr>
          <w:rFonts w:ascii="Times New Roman" w:hAnsi="Times New Roman"/>
          <w:sz w:val="24"/>
          <w:szCs w:val="24"/>
          <w:lang w:val="sq-AL"/>
        </w:rPr>
        <w:t>, duke pohuar</w:t>
      </w:r>
      <w:r w:rsidR="00B25413">
        <w:rPr>
          <w:rFonts w:ascii="Times New Roman" w:hAnsi="Times New Roman"/>
          <w:sz w:val="24"/>
          <w:szCs w:val="24"/>
          <w:lang w:val="sq-AL"/>
        </w:rPr>
        <w:t>,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B25413">
        <w:rPr>
          <w:rFonts w:ascii="Times New Roman" w:hAnsi="Times New Roman"/>
          <w:sz w:val="24"/>
          <w:szCs w:val="24"/>
          <w:lang w:val="sq-AL"/>
        </w:rPr>
        <w:t>r sa ka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B25413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B25413">
        <w:rPr>
          <w:rFonts w:ascii="Times New Roman" w:hAnsi="Times New Roman"/>
          <w:sz w:val="24"/>
          <w:szCs w:val="24"/>
          <w:lang w:val="sq-AL"/>
        </w:rPr>
        <w:t>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B25413">
        <w:rPr>
          <w:rFonts w:ascii="Times New Roman" w:hAnsi="Times New Roman"/>
          <w:sz w:val="24"/>
          <w:szCs w:val="24"/>
          <w:lang w:val="sq-AL"/>
        </w:rPr>
        <w:t xml:space="preserve"> me </w:t>
      </w:r>
      <w:r w:rsidR="00011DEC">
        <w:rPr>
          <w:rFonts w:ascii="Times New Roman" w:hAnsi="Times New Roman"/>
          <w:sz w:val="24"/>
          <w:szCs w:val="24"/>
          <w:lang w:val="sq-AL"/>
        </w:rPr>
        <w:t>çë</w:t>
      </w:r>
      <w:r w:rsidR="00B25413">
        <w:rPr>
          <w:rFonts w:ascii="Times New Roman" w:hAnsi="Times New Roman"/>
          <w:sz w:val="24"/>
          <w:szCs w:val="24"/>
          <w:lang w:val="sq-AL"/>
        </w:rPr>
        <w:t>shtjen, si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B25413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B25413">
        <w:rPr>
          <w:rFonts w:ascii="Times New Roman" w:hAnsi="Times New Roman"/>
          <w:sz w:val="24"/>
          <w:szCs w:val="24"/>
          <w:lang w:val="sq-AL"/>
        </w:rPr>
        <w:t xml:space="preserve">: </w:t>
      </w:r>
    </w:p>
    <w:p w:rsidR="00B25413" w:rsidRDefault="00B25413" w:rsidP="00B25413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25413" w:rsidRDefault="00B25413" w:rsidP="00B25413">
      <w:pPr>
        <w:spacing w:after="0"/>
        <w:ind w:left="720"/>
        <w:jc w:val="both"/>
        <w:rPr>
          <w:rFonts w:ascii="Times New Roman" w:hAnsi="Times New Roman"/>
          <w:sz w:val="20"/>
          <w:szCs w:val="20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“</w:t>
      </w:r>
      <w:r>
        <w:rPr>
          <w:rFonts w:ascii="Times New Roman" w:hAnsi="Times New Roman"/>
          <w:sz w:val="20"/>
          <w:szCs w:val="20"/>
          <w:lang w:val="sq-AL"/>
        </w:rPr>
        <w:t>Deputet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t </w:t>
      </w:r>
    </w:p>
    <w:p w:rsidR="00B25413" w:rsidRDefault="00B25413" w:rsidP="00B25413">
      <w:pPr>
        <w:spacing w:after="0"/>
        <w:ind w:left="720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B25413" w:rsidRDefault="00B25413" w:rsidP="00B25413">
      <w:pPr>
        <w:spacing w:after="0"/>
        <w:ind w:left="720"/>
        <w:jc w:val="both"/>
        <w:rPr>
          <w:rFonts w:ascii="Times New Roman" w:hAnsi="Times New Roman"/>
          <w:sz w:val="20"/>
          <w:szCs w:val="20"/>
          <w:lang w:val="sq-AL"/>
        </w:rPr>
      </w:pPr>
      <w:r>
        <w:rPr>
          <w:rFonts w:ascii="Times New Roman" w:hAnsi="Times New Roman"/>
          <w:sz w:val="20"/>
          <w:szCs w:val="20"/>
          <w:lang w:val="sq-AL"/>
        </w:rPr>
        <w:t>(...)</w:t>
      </w:r>
    </w:p>
    <w:p w:rsidR="00B25413" w:rsidRDefault="00B25413" w:rsidP="00B25413">
      <w:pPr>
        <w:spacing w:after="0"/>
        <w:ind w:left="720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B25413" w:rsidRDefault="00B25413" w:rsidP="00B25413">
      <w:pPr>
        <w:spacing w:after="0"/>
        <w:ind w:left="720"/>
        <w:jc w:val="both"/>
        <w:rPr>
          <w:rFonts w:ascii="Times New Roman" w:hAnsi="Times New Roman"/>
          <w:sz w:val="20"/>
          <w:szCs w:val="20"/>
          <w:lang w:val="sq-AL"/>
        </w:rPr>
      </w:pPr>
      <w:r>
        <w:rPr>
          <w:rFonts w:ascii="Times New Roman" w:hAnsi="Times New Roman"/>
          <w:sz w:val="20"/>
          <w:szCs w:val="20"/>
          <w:lang w:val="sq-AL"/>
        </w:rPr>
        <w:t>2. i konsidero</w:t>
      </w:r>
      <w:r w:rsidR="00C057A8">
        <w:rPr>
          <w:rFonts w:ascii="Times New Roman" w:hAnsi="Times New Roman"/>
          <w:sz w:val="20"/>
          <w:szCs w:val="20"/>
          <w:lang w:val="sq-AL"/>
        </w:rPr>
        <w:t>j</w:t>
      </w:r>
      <w:r>
        <w:rPr>
          <w:rFonts w:ascii="Times New Roman" w:hAnsi="Times New Roman"/>
          <w:sz w:val="20"/>
          <w:szCs w:val="20"/>
          <w:lang w:val="sq-AL"/>
        </w:rPr>
        <w:t>n</w:t>
      </w:r>
      <w:r w:rsidR="00C057A8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veprimet e nd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rmarra q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prej Shtatorit 2013 dhe masat e parashikuara p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 jav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C057A8">
        <w:rPr>
          <w:rFonts w:ascii="Times New Roman" w:hAnsi="Times New Roman"/>
          <w:sz w:val="20"/>
          <w:szCs w:val="20"/>
          <w:lang w:val="sq-AL"/>
        </w:rPr>
        <w:t>t d</w:t>
      </w:r>
      <w:r>
        <w:rPr>
          <w:rFonts w:ascii="Times New Roman" w:hAnsi="Times New Roman"/>
          <w:sz w:val="20"/>
          <w:szCs w:val="20"/>
          <w:lang w:val="sq-AL"/>
        </w:rPr>
        <w:t>he muajt 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vijim si inkurajuese; megjithat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, i vjen keq q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afati i p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rcaktuar ng</w:t>
      </w:r>
      <w:r w:rsidR="00C057A8">
        <w:rPr>
          <w:rFonts w:ascii="Times New Roman" w:hAnsi="Times New Roman"/>
          <w:sz w:val="20"/>
          <w:szCs w:val="20"/>
          <w:lang w:val="sq-AL"/>
        </w:rPr>
        <w:t>a</w:t>
      </w:r>
      <w:r>
        <w:rPr>
          <w:rFonts w:ascii="Times New Roman" w:hAnsi="Times New Roman"/>
          <w:sz w:val="20"/>
          <w:szCs w:val="20"/>
          <w:lang w:val="sq-AL"/>
        </w:rPr>
        <w:t xml:space="preserve"> vendimi pilot nuk do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C057A8">
        <w:rPr>
          <w:rFonts w:ascii="Times New Roman" w:hAnsi="Times New Roman"/>
          <w:sz w:val="20"/>
          <w:szCs w:val="20"/>
          <w:lang w:val="sq-AL"/>
        </w:rPr>
        <w:t xml:space="preserve"> arrihet;</w:t>
      </w:r>
      <w:r>
        <w:rPr>
          <w:rFonts w:ascii="Times New Roman" w:hAnsi="Times New Roman"/>
          <w:sz w:val="20"/>
          <w:szCs w:val="20"/>
          <w:lang w:val="sq-AL"/>
        </w:rPr>
        <w:t xml:space="preserve"> 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nvizoi se me q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llim</w:t>
      </w:r>
      <w:r w:rsidR="00C057A8">
        <w:rPr>
          <w:rFonts w:ascii="Times New Roman" w:hAnsi="Times New Roman"/>
          <w:sz w:val="20"/>
          <w:szCs w:val="20"/>
          <w:lang w:val="sq-AL"/>
        </w:rPr>
        <w:t>in</w:t>
      </w:r>
      <w:r>
        <w:rPr>
          <w:rFonts w:ascii="Times New Roman" w:hAnsi="Times New Roman"/>
          <w:sz w:val="20"/>
          <w:szCs w:val="20"/>
          <w:lang w:val="sq-AL"/>
        </w:rPr>
        <w:t xml:space="preserve"> q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p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rmbushen detyrimet e p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rcaktuara nga Gjykata Europiane dhe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C057A8">
        <w:rPr>
          <w:rFonts w:ascii="Times New Roman" w:hAnsi="Times New Roman"/>
          <w:sz w:val="20"/>
          <w:szCs w:val="20"/>
          <w:lang w:val="sq-AL"/>
        </w:rPr>
        <w:t xml:space="preserve"> ofrohet mekanizmi i</w:t>
      </w:r>
      <w:r>
        <w:rPr>
          <w:rFonts w:ascii="Times New Roman" w:hAnsi="Times New Roman"/>
          <w:sz w:val="20"/>
          <w:szCs w:val="20"/>
          <w:lang w:val="sq-AL"/>
        </w:rPr>
        <w:t xml:space="preserve"> k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rkuar p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 kompensim pa vonesa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tjera dhe brenda harkut kohor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propozuar nga plani i veprimit, p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rkushtimi politik i shprehur 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planin e veprimit duhet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ndiqet me veprime konkrete dhe thelb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sore 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nivel komb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tar, ve</w:t>
      </w:r>
      <w:r w:rsidR="00011DEC">
        <w:rPr>
          <w:rFonts w:ascii="Times New Roman" w:hAnsi="Times New Roman"/>
          <w:sz w:val="20"/>
          <w:szCs w:val="20"/>
          <w:lang w:val="sq-AL"/>
        </w:rPr>
        <w:t>ç</w:t>
      </w:r>
      <w:r>
        <w:rPr>
          <w:rFonts w:ascii="Times New Roman" w:hAnsi="Times New Roman"/>
          <w:sz w:val="20"/>
          <w:szCs w:val="20"/>
          <w:lang w:val="sq-AL"/>
        </w:rPr>
        <w:t>an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risht 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fushat e identifikuara nga Komiteti 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Rezolut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n e saj</w:t>
      </w:r>
      <w:r w:rsidR="00C057A8">
        <w:rPr>
          <w:rFonts w:ascii="Times New Roman" w:hAnsi="Times New Roman"/>
          <w:sz w:val="20"/>
          <w:szCs w:val="20"/>
          <w:lang w:val="sq-AL"/>
        </w:rPr>
        <w:t xml:space="preserve"> të Përkohshme</w:t>
      </w:r>
      <w:r>
        <w:rPr>
          <w:rFonts w:ascii="Times New Roman" w:hAnsi="Times New Roman"/>
          <w:sz w:val="20"/>
          <w:szCs w:val="20"/>
          <w:lang w:val="sq-AL"/>
        </w:rPr>
        <w:t xml:space="preserve"> CM/ResDH(2013)115; </w:t>
      </w:r>
    </w:p>
    <w:p w:rsidR="00B25413" w:rsidRDefault="00B25413" w:rsidP="00B25413">
      <w:pPr>
        <w:spacing w:after="0"/>
        <w:ind w:left="720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B25413" w:rsidRDefault="00B25413" w:rsidP="00B25413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0"/>
          <w:szCs w:val="20"/>
          <w:lang w:val="sq-AL"/>
        </w:rPr>
        <w:t>(...).</w:t>
      </w:r>
      <w:r>
        <w:rPr>
          <w:rFonts w:ascii="Times New Roman" w:hAnsi="Times New Roman"/>
          <w:sz w:val="24"/>
          <w:szCs w:val="24"/>
          <w:lang w:val="sq-AL"/>
        </w:rPr>
        <w:t>”</w:t>
      </w:r>
    </w:p>
    <w:p w:rsidR="00B25413" w:rsidRDefault="00B25413" w:rsidP="00B25413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F54E62" w:rsidRDefault="00B25413" w:rsidP="00B2541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Vendimi i 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shillit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Ministrave i dat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5 Qershor 2014,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zbatimin e vendimeve</w:t>
      </w:r>
      <w:r w:rsidR="00F54E62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F54E62">
        <w:rPr>
          <w:rFonts w:ascii="Times New Roman" w:hAnsi="Times New Roman"/>
          <w:sz w:val="24"/>
          <w:szCs w:val="24"/>
          <w:lang w:val="sq-AL"/>
        </w:rPr>
        <w:t xml:space="preserve"> lidhje me moszbatimin nga ana e </w:t>
      </w:r>
      <w:r w:rsidR="00C057A8">
        <w:rPr>
          <w:rFonts w:ascii="Times New Roman" w:hAnsi="Times New Roman"/>
          <w:sz w:val="24"/>
          <w:szCs w:val="24"/>
          <w:lang w:val="sq-AL"/>
        </w:rPr>
        <w:t>autoriteteve</w:t>
      </w:r>
      <w:r w:rsidR="00F54E62">
        <w:rPr>
          <w:rFonts w:ascii="Times New Roman" w:hAnsi="Times New Roman"/>
          <w:sz w:val="24"/>
          <w:szCs w:val="24"/>
          <w:lang w:val="sq-AL"/>
        </w:rPr>
        <w:t xml:space="preserve"> shqiptare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F54E62">
        <w:rPr>
          <w:rFonts w:ascii="Times New Roman" w:hAnsi="Times New Roman"/>
          <w:sz w:val="24"/>
          <w:szCs w:val="24"/>
          <w:lang w:val="sq-AL"/>
        </w:rPr>
        <w:t xml:space="preserve"> vendimeve vendase gjyq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F54E62">
        <w:rPr>
          <w:rFonts w:ascii="Times New Roman" w:hAnsi="Times New Roman"/>
          <w:sz w:val="24"/>
          <w:szCs w:val="24"/>
          <w:lang w:val="sq-AL"/>
        </w:rPr>
        <w:t>sore dhe administrative q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F54E62">
        <w:rPr>
          <w:rFonts w:ascii="Times New Roman" w:hAnsi="Times New Roman"/>
          <w:sz w:val="24"/>
          <w:szCs w:val="24"/>
          <w:lang w:val="sq-AL"/>
        </w:rPr>
        <w:t xml:space="preserve"> kompensojn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F54E62">
        <w:rPr>
          <w:rFonts w:ascii="Times New Roman" w:hAnsi="Times New Roman"/>
          <w:sz w:val="24"/>
          <w:szCs w:val="24"/>
          <w:lang w:val="sq-AL"/>
        </w:rPr>
        <w:t xml:space="preserve"> ankuesit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F54E62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F54E62">
        <w:rPr>
          <w:rFonts w:ascii="Times New Roman" w:hAnsi="Times New Roman"/>
          <w:sz w:val="24"/>
          <w:szCs w:val="24"/>
          <w:lang w:val="sq-AL"/>
        </w:rPr>
        <w:t xml:space="preserve"> nga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F54E62">
        <w:rPr>
          <w:rFonts w:ascii="Times New Roman" w:hAnsi="Times New Roman"/>
          <w:sz w:val="24"/>
          <w:szCs w:val="24"/>
          <w:lang w:val="sq-AL"/>
        </w:rPr>
        <w:t xml:space="preserve">nyrat e </w:t>
      </w:r>
      <w:r w:rsidR="00C057A8">
        <w:rPr>
          <w:rFonts w:ascii="Times New Roman" w:hAnsi="Times New Roman"/>
          <w:sz w:val="24"/>
          <w:szCs w:val="24"/>
          <w:lang w:val="sq-AL"/>
        </w:rPr>
        <w:t>parashikuara</w:t>
      </w:r>
      <w:r w:rsidR="00F54E62">
        <w:rPr>
          <w:rFonts w:ascii="Times New Roman" w:hAnsi="Times New Roman"/>
          <w:sz w:val="24"/>
          <w:szCs w:val="24"/>
          <w:lang w:val="sq-AL"/>
        </w:rPr>
        <w:t xml:space="preserve"> me ligj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F54E62">
        <w:rPr>
          <w:rFonts w:ascii="Times New Roman" w:hAnsi="Times New Roman"/>
          <w:sz w:val="24"/>
          <w:szCs w:val="24"/>
          <w:lang w:val="sq-AL"/>
        </w:rPr>
        <w:t xml:space="preserve"> vend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F54E62">
        <w:rPr>
          <w:rFonts w:ascii="Times New Roman" w:hAnsi="Times New Roman"/>
          <w:sz w:val="24"/>
          <w:szCs w:val="24"/>
          <w:lang w:val="sq-AL"/>
        </w:rPr>
        <w:t xml:space="preserve"> rikthimit fizik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F54E62">
        <w:rPr>
          <w:rFonts w:ascii="Times New Roman" w:hAnsi="Times New Roman"/>
          <w:sz w:val="24"/>
          <w:szCs w:val="24"/>
          <w:lang w:val="sq-AL"/>
        </w:rPr>
        <w:t xml:space="preserve"> truajve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F54E62">
        <w:rPr>
          <w:rFonts w:ascii="Times New Roman" w:hAnsi="Times New Roman"/>
          <w:sz w:val="24"/>
          <w:szCs w:val="24"/>
          <w:lang w:val="sq-AL"/>
        </w:rPr>
        <w:t xml:space="preserve"> tyre, i cili u miratua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F54E62">
        <w:rPr>
          <w:rFonts w:ascii="Times New Roman" w:hAnsi="Times New Roman"/>
          <w:sz w:val="24"/>
          <w:szCs w:val="24"/>
          <w:lang w:val="sq-AL"/>
        </w:rPr>
        <w:t xml:space="preserve"> takimin e tij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F54E62">
        <w:rPr>
          <w:rFonts w:ascii="Times New Roman" w:hAnsi="Times New Roman"/>
          <w:sz w:val="24"/>
          <w:szCs w:val="24"/>
          <w:lang w:val="sq-AL"/>
        </w:rPr>
        <w:t xml:space="preserve"> 1201, pohonte,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F54E62">
        <w:rPr>
          <w:rFonts w:ascii="Times New Roman" w:hAnsi="Times New Roman"/>
          <w:sz w:val="24"/>
          <w:szCs w:val="24"/>
          <w:lang w:val="sq-AL"/>
        </w:rPr>
        <w:t>r sa ka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F54E62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F54E62">
        <w:rPr>
          <w:rFonts w:ascii="Times New Roman" w:hAnsi="Times New Roman"/>
          <w:sz w:val="24"/>
          <w:szCs w:val="24"/>
          <w:lang w:val="sq-AL"/>
        </w:rPr>
        <w:t>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F54E62">
        <w:rPr>
          <w:rFonts w:ascii="Times New Roman" w:hAnsi="Times New Roman"/>
          <w:sz w:val="24"/>
          <w:szCs w:val="24"/>
          <w:lang w:val="sq-AL"/>
        </w:rPr>
        <w:t xml:space="preserve"> me </w:t>
      </w:r>
      <w:r w:rsidR="00011DEC">
        <w:rPr>
          <w:rFonts w:ascii="Times New Roman" w:hAnsi="Times New Roman"/>
          <w:sz w:val="24"/>
          <w:szCs w:val="24"/>
          <w:lang w:val="sq-AL"/>
        </w:rPr>
        <w:t>çë</w:t>
      </w:r>
      <w:r w:rsidR="00F54E62">
        <w:rPr>
          <w:rFonts w:ascii="Times New Roman" w:hAnsi="Times New Roman"/>
          <w:sz w:val="24"/>
          <w:szCs w:val="24"/>
          <w:lang w:val="sq-AL"/>
        </w:rPr>
        <w:t>shtjen, si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F54E62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F54E62">
        <w:rPr>
          <w:rFonts w:ascii="Times New Roman" w:hAnsi="Times New Roman"/>
          <w:sz w:val="24"/>
          <w:szCs w:val="24"/>
          <w:lang w:val="sq-AL"/>
        </w:rPr>
        <w:t xml:space="preserve">: </w:t>
      </w:r>
    </w:p>
    <w:p w:rsidR="00F54E62" w:rsidRDefault="00F54E62" w:rsidP="00F54E62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F3F3F" w:rsidRDefault="00F54E62" w:rsidP="00F54E62">
      <w:pPr>
        <w:spacing w:after="0"/>
        <w:ind w:left="720"/>
        <w:jc w:val="both"/>
        <w:rPr>
          <w:rFonts w:ascii="Times New Roman" w:hAnsi="Times New Roman"/>
          <w:sz w:val="20"/>
          <w:szCs w:val="20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“</w:t>
      </w:r>
      <w:r w:rsidR="003F3F3F">
        <w:rPr>
          <w:rFonts w:ascii="Times New Roman" w:hAnsi="Times New Roman"/>
          <w:sz w:val="20"/>
          <w:szCs w:val="20"/>
          <w:lang w:val="sq-AL"/>
        </w:rPr>
        <w:t>Deputet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3F3F3F">
        <w:rPr>
          <w:rFonts w:ascii="Times New Roman" w:hAnsi="Times New Roman"/>
          <w:sz w:val="20"/>
          <w:szCs w:val="20"/>
          <w:lang w:val="sq-AL"/>
        </w:rPr>
        <w:t>t</w:t>
      </w:r>
    </w:p>
    <w:p w:rsidR="003F3F3F" w:rsidRDefault="003F3F3F" w:rsidP="00F54E62">
      <w:pPr>
        <w:spacing w:after="0"/>
        <w:ind w:left="720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3F3F3F" w:rsidRPr="00596618" w:rsidRDefault="003F3F3F" w:rsidP="003F3F3F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0"/>
          <w:szCs w:val="20"/>
          <w:lang w:val="sq-AL"/>
        </w:rPr>
        <w:t>e mir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prit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n miratimin formal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K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shillit Shqiptar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Ministrave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planit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veprimit p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 p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rcaktimin e nj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mekanizmi efektiv kompensimi, duke e b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k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shtu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detyruesh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m planin e veprimit, dhe theksuan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k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naqur se masat e parashikuara jan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adoptuar konform parashikimeve 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at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plan; </w:t>
      </w:r>
    </w:p>
    <w:p w:rsidR="00596618" w:rsidRDefault="00596618" w:rsidP="00596618">
      <w:pPr>
        <w:spacing w:after="0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596618" w:rsidRDefault="00596618" w:rsidP="00596618">
      <w:pPr>
        <w:spacing w:after="0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596618" w:rsidRDefault="00596618" w:rsidP="00596618">
      <w:pPr>
        <w:spacing w:after="0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596618" w:rsidRPr="00596618" w:rsidRDefault="00596618" w:rsidP="00596618">
      <w:pPr>
        <w:pStyle w:val="JuPara"/>
        <w:spacing w:line="276" w:lineRule="auto"/>
        <w:ind w:firstLine="0"/>
        <w:jc w:val="center"/>
        <w:rPr>
          <w:sz w:val="16"/>
          <w:szCs w:val="16"/>
          <w:lang w:val="sq-AL"/>
        </w:rPr>
      </w:pPr>
      <w:r w:rsidRPr="00596618">
        <w:rPr>
          <w:sz w:val="16"/>
          <w:szCs w:val="16"/>
          <w:lang w:val="sq-AL"/>
        </w:rPr>
        <w:t>VENDIMI LULI KUNDËR SHQIPËRISË</w:t>
      </w:r>
    </w:p>
    <w:p w:rsidR="00596618" w:rsidRPr="003F3F3F" w:rsidRDefault="00596618" w:rsidP="00596618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F3F3F" w:rsidRPr="003F3F3F" w:rsidRDefault="003F3F3F" w:rsidP="003F3F3F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0"/>
          <w:szCs w:val="20"/>
          <w:lang w:val="sq-AL"/>
        </w:rPr>
        <w:t>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lidhje me afatin e p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rgjithsh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m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parashikuar p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 jet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simin e k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tij mekanizmi, inkurajuan fuqish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C057A8">
        <w:rPr>
          <w:rFonts w:ascii="Times New Roman" w:hAnsi="Times New Roman"/>
          <w:sz w:val="20"/>
          <w:szCs w:val="20"/>
          <w:lang w:val="sq-AL"/>
        </w:rPr>
        <w:t>m autoritetet</w:t>
      </w:r>
      <w:r>
        <w:rPr>
          <w:rFonts w:ascii="Times New Roman" w:hAnsi="Times New Roman"/>
          <w:sz w:val="20"/>
          <w:szCs w:val="20"/>
          <w:lang w:val="sq-AL"/>
        </w:rPr>
        <w:t xml:space="preserve">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C057A8">
        <w:rPr>
          <w:rFonts w:ascii="Times New Roman" w:hAnsi="Times New Roman"/>
          <w:sz w:val="20"/>
          <w:szCs w:val="20"/>
          <w:lang w:val="sq-AL"/>
        </w:rPr>
        <w:t xml:space="preserve"> intensifikonin</w:t>
      </w:r>
      <w:r>
        <w:rPr>
          <w:rFonts w:ascii="Times New Roman" w:hAnsi="Times New Roman"/>
          <w:sz w:val="20"/>
          <w:szCs w:val="20"/>
          <w:lang w:val="sq-AL"/>
        </w:rPr>
        <w:t xml:space="preserve"> p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rpjekjet e tyre me synimin p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reduktuar k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korniz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kohore sa m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shum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ishte e mundur; </w:t>
      </w:r>
    </w:p>
    <w:p w:rsidR="003F3F3F" w:rsidRDefault="003F3F3F" w:rsidP="003F3F3F">
      <w:pPr>
        <w:spacing w:after="0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0"/>
          <w:szCs w:val="20"/>
          <w:lang w:val="sq-AL"/>
        </w:rPr>
        <w:t>(...).</w:t>
      </w:r>
      <w:r w:rsidR="00F54E62">
        <w:rPr>
          <w:rFonts w:ascii="Times New Roman" w:hAnsi="Times New Roman"/>
          <w:sz w:val="24"/>
          <w:szCs w:val="24"/>
          <w:lang w:val="sq-AL"/>
        </w:rPr>
        <w:t>”</w:t>
      </w:r>
    </w:p>
    <w:p w:rsidR="005C27AB" w:rsidRDefault="005C27AB" w:rsidP="005C27A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Vendimi i Komitetit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Ministrave i dat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11 Qershor 2015, i cili u miratua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takimin e tij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1230-t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, konstatonte,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sa ka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me </w:t>
      </w:r>
      <w:r w:rsidR="00011DEC">
        <w:rPr>
          <w:rFonts w:ascii="Times New Roman" w:hAnsi="Times New Roman"/>
          <w:sz w:val="24"/>
          <w:szCs w:val="24"/>
          <w:lang w:val="sq-AL"/>
        </w:rPr>
        <w:t>çë</w:t>
      </w:r>
      <w:r>
        <w:rPr>
          <w:rFonts w:ascii="Times New Roman" w:hAnsi="Times New Roman"/>
          <w:sz w:val="24"/>
          <w:szCs w:val="24"/>
          <w:lang w:val="sq-AL"/>
        </w:rPr>
        <w:t>shtjen, si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vijon:</w:t>
      </w:r>
    </w:p>
    <w:p w:rsidR="005C27AB" w:rsidRDefault="005C27AB" w:rsidP="005C27AB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C27AB" w:rsidRDefault="005C27AB" w:rsidP="005C27AB">
      <w:pPr>
        <w:spacing w:after="0"/>
        <w:ind w:left="720"/>
        <w:jc w:val="both"/>
        <w:rPr>
          <w:rFonts w:ascii="Times New Roman" w:hAnsi="Times New Roman"/>
          <w:sz w:val="20"/>
          <w:szCs w:val="20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“</w:t>
      </w:r>
      <w:r>
        <w:rPr>
          <w:rFonts w:ascii="Times New Roman" w:hAnsi="Times New Roman"/>
          <w:sz w:val="20"/>
          <w:szCs w:val="20"/>
          <w:lang w:val="sq-AL"/>
        </w:rPr>
        <w:t>Deputet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t </w:t>
      </w:r>
    </w:p>
    <w:p w:rsidR="005C27AB" w:rsidRDefault="005C27AB" w:rsidP="005C27AB">
      <w:pPr>
        <w:spacing w:after="0"/>
        <w:ind w:left="720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9C3C43" w:rsidRPr="009C3C43" w:rsidRDefault="005C27AB" w:rsidP="005C27AB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0"/>
          <w:szCs w:val="20"/>
          <w:lang w:val="sq-AL"/>
        </w:rPr>
        <w:t>e mir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prit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n </w:t>
      </w:r>
      <w:r w:rsidR="00C057A8">
        <w:rPr>
          <w:rFonts w:ascii="Times New Roman" w:hAnsi="Times New Roman"/>
          <w:sz w:val="20"/>
          <w:szCs w:val="20"/>
          <w:lang w:val="sq-AL"/>
        </w:rPr>
        <w:t>përkushtimin</w:t>
      </w:r>
      <w:r>
        <w:rPr>
          <w:rFonts w:ascii="Times New Roman" w:hAnsi="Times New Roman"/>
          <w:sz w:val="20"/>
          <w:szCs w:val="20"/>
          <w:lang w:val="sq-AL"/>
        </w:rPr>
        <w:t xml:space="preserve"> e treguar nga autoritetet shqiptare 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k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rkim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nj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zgjidhje efektive dhe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</w:t>
      </w:r>
      <w:r w:rsidR="00C057A8">
        <w:rPr>
          <w:rFonts w:ascii="Times New Roman" w:hAnsi="Times New Roman"/>
          <w:sz w:val="20"/>
          <w:szCs w:val="20"/>
          <w:lang w:val="sq-AL"/>
        </w:rPr>
        <w:t>qëndrueshme</w:t>
      </w:r>
      <w:r>
        <w:rPr>
          <w:rFonts w:ascii="Times New Roman" w:hAnsi="Times New Roman"/>
          <w:sz w:val="20"/>
          <w:szCs w:val="20"/>
          <w:lang w:val="sq-AL"/>
        </w:rPr>
        <w:t xml:space="preserve"> p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 problemin e r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nd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sish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m strukturor </w:t>
      </w:r>
      <w:r w:rsidR="009C3C43">
        <w:rPr>
          <w:rFonts w:ascii="Times New Roman" w:hAnsi="Times New Roman"/>
          <w:sz w:val="20"/>
          <w:szCs w:val="20"/>
          <w:lang w:val="sq-AL"/>
        </w:rPr>
        <w:t>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9C3C43">
        <w:rPr>
          <w:rFonts w:ascii="Times New Roman" w:hAnsi="Times New Roman"/>
          <w:sz w:val="20"/>
          <w:szCs w:val="20"/>
          <w:lang w:val="sq-AL"/>
        </w:rPr>
        <w:t xml:space="preserve"> diskutim 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9C3C43">
        <w:rPr>
          <w:rFonts w:ascii="Times New Roman" w:hAnsi="Times New Roman"/>
          <w:sz w:val="20"/>
          <w:szCs w:val="20"/>
          <w:lang w:val="sq-AL"/>
        </w:rPr>
        <w:t xml:space="preserve"> k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9C3C43">
        <w:rPr>
          <w:rFonts w:ascii="Times New Roman" w:hAnsi="Times New Roman"/>
          <w:sz w:val="20"/>
          <w:szCs w:val="20"/>
          <w:lang w:val="sq-AL"/>
        </w:rPr>
        <w:t>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9C3C43">
        <w:rPr>
          <w:rFonts w:ascii="Times New Roman" w:hAnsi="Times New Roman"/>
          <w:sz w:val="20"/>
          <w:szCs w:val="20"/>
          <w:lang w:val="sq-AL"/>
        </w:rPr>
        <w:t xml:space="preserve"> grup </w:t>
      </w:r>
      <w:r w:rsidR="00011DEC">
        <w:rPr>
          <w:rFonts w:ascii="Times New Roman" w:hAnsi="Times New Roman"/>
          <w:sz w:val="20"/>
          <w:szCs w:val="20"/>
          <w:lang w:val="sq-AL"/>
        </w:rPr>
        <w:t>çë</w:t>
      </w:r>
      <w:r w:rsidR="009C3C43">
        <w:rPr>
          <w:rFonts w:ascii="Times New Roman" w:hAnsi="Times New Roman"/>
          <w:sz w:val="20"/>
          <w:szCs w:val="20"/>
          <w:lang w:val="sq-AL"/>
        </w:rPr>
        <w:t>shtjesh; 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9C3C43">
        <w:rPr>
          <w:rFonts w:ascii="Times New Roman" w:hAnsi="Times New Roman"/>
          <w:sz w:val="20"/>
          <w:szCs w:val="20"/>
          <w:lang w:val="sq-AL"/>
        </w:rPr>
        <w:t xml:space="preserve"> k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9C3C43">
        <w:rPr>
          <w:rFonts w:ascii="Times New Roman" w:hAnsi="Times New Roman"/>
          <w:sz w:val="20"/>
          <w:szCs w:val="20"/>
          <w:lang w:val="sq-AL"/>
        </w:rPr>
        <w:t>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9C3C43">
        <w:rPr>
          <w:rFonts w:ascii="Times New Roman" w:hAnsi="Times New Roman"/>
          <w:sz w:val="20"/>
          <w:szCs w:val="20"/>
          <w:lang w:val="sq-AL"/>
        </w:rPr>
        <w:t xml:space="preserve"> k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9C3C43">
        <w:rPr>
          <w:rFonts w:ascii="Times New Roman" w:hAnsi="Times New Roman"/>
          <w:sz w:val="20"/>
          <w:szCs w:val="20"/>
          <w:lang w:val="sq-AL"/>
        </w:rPr>
        <w:t>ndv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9C3C43">
        <w:rPr>
          <w:rFonts w:ascii="Times New Roman" w:hAnsi="Times New Roman"/>
          <w:sz w:val="20"/>
          <w:szCs w:val="20"/>
          <w:lang w:val="sq-AL"/>
        </w:rPr>
        <w:t>shtrim mir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9C3C43">
        <w:rPr>
          <w:rFonts w:ascii="Times New Roman" w:hAnsi="Times New Roman"/>
          <w:sz w:val="20"/>
          <w:szCs w:val="20"/>
          <w:lang w:val="sq-AL"/>
        </w:rPr>
        <w:t>prit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9C3C43">
        <w:rPr>
          <w:rFonts w:ascii="Times New Roman" w:hAnsi="Times New Roman"/>
          <w:sz w:val="20"/>
          <w:szCs w:val="20"/>
          <w:lang w:val="sq-AL"/>
        </w:rPr>
        <w:t>n prezantimin nga ana e tyre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9C3C43">
        <w:rPr>
          <w:rFonts w:ascii="Times New Roman" w:hAnsi="Times New Roman"/>
          <w:sz w:val="20"/>
          <w:szCs w:val="20"/>
          <w:lang w:val="sq-AL"/>
        </w:rPr>
        <w:t xml:space="preserve"> projekt-ligjit dhe bashk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9C3C43">
        <w:rPr>
          <w:rFonts w:ascii="Times New Roman" w:hAnsi="Times New Roman"/>
          <w:sz w:val="20"/>
          <w:szCs w:val="20"/>
          <w:lang w:val="sq-AL"/>
        </w:rPr>
        <w:t>punimin e tyre me K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9C3C43">
        <w:rPr>
          <w:rFonts w:ascii="Times New Roman" w:hAnsi="Times New Roman"/>
          <w:sz w:val="20"/>
          <w:szCs w:val="20"/>
          <w:lang w:val="sq-AL"/>
        </w:rPr>
        <w:t>shillin e Europ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9C3C43">
        <w:rPr>
          <w:rFonts w:ascii="Times New Roman" w:hAnsi="Times New Roman"/>
          <w:sz w:val="20"/>
          <w:szCs w:val="20"/>
          <w:lang w:val="sq-AL"/>
        </w:rPr>
        <w:t>s, si edhe konsultimet e ngushta me Departamentin p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C057A8">
        <w:rPr>
          <w:rFonts w:ascii="Times New Roman" w:hAnsi="Times New Roman"/>
          <w:sz w:val="20"/>
          <w:szCs w:val="20"/>
          <w:lang w:val="sq-AL"/>
        </w:rPr>
        <w:t>r Zbatim</w:t>
      </w:r>
      <w:r w:rsidR="009C3C43">
        <w:rPr>
          <w:rFonts w:ascii="Times New Roman" w:hAnsi="Times New Roman"/>
          <w:sz w:val="20"/>
          <w:szCs w:val="20"/>
          <w:lang w:val="sq-AL"/>
        </w:rPr>
        <w:t>, ve</w:t>
      </w:r>
      <w:r w:rsidR="00011DEC">
        <w:rPr>
          <w:rFonts w:ascii="Times New Roman" w:hAnsi="Times New Roman"/>
          <w:sz w:val="20"/>
          <w:szCs w:val="20"/>
          <w:lang w:val="sq-AL"/>
        </w:rPr>
        <w:t>ç</w:t>
      </w:r>
      <w:r w:rsidR="009C3C43">
        <w:rPr>
          <w:rFonts w:ascii="Times New Roman" w:hAnsi="Times New Roman"/>
          <w:sz w:val="20"/>
          <w:szCs w:val="20"/>
          <w:lang w:val="sq-AL"/>
        </w:rPr>
        <w:t>an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9C3C43">
        <w:rPr>
          <w:rFonts w:ascii="Times New Roman" w:hAnsi="Times New Roman"/>
          <w:sz w:val="20"/>
          <w:szCs w:val="20"/>
          <w:lang w:val="sq-AL"/>
        </w:rPr>
        <w:t>risht 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9C3C43">
        <w:rPr>
          <w:rFonts w:ascii="Times New Roman" w:hAnsi="Times New Roman"/>
          <w:sz w:val="20"/>
          <w:szCs w:val="20"/>
          <w:lang w:val="sq-AL"/>
        </w:rPr>
        <w:t xml:space="preserve"> Tiran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9C3C43">
        <w:rPr>
          <w:rFonts w:ascii="Times New Roman" w:hAnsi="Times New Roman"/>
          <w:sz w:val="20"/>
          <w:szCs w:val="20"/>
          <w:lang w:val="sq-AL"/>
        </w:rPr>
        <w:t>, m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9C3C43">
        <w:rPr>
          <w:rFonts w:ascii="Times New Roman" w:hAnsi="Times New Roman"/>
          <w:sz w:val="20"/>
          <w:szCs w:val="20"/>
          <w:lang w:val="sq-AL"/>
        </w:rPr>
        <w:t xml:space="preserve"> 23 Prill 2015;</w:t>
      </w:r>
    </w:p>
    <w:p w:rsidR="009C3C43" w:rsidRPr="009C3C43" w:rsidRDefault="009C3C43" w:rsidP="009C3C43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0"/>
          <w:szCs w:val="20"/>
          <w:lang w:val="sq-AL"/>
        </w:rPr>
        <w:t>v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rejt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n se, ashtu si</w:t>
      </w:r>
      <w:r w:rsidR="00011DEC">
        <w:rPr>
          <w:rFonts w:ascii="Times New Roman" w:hAnsi="Times New Roman"/>
          <w:sz w:val="20"/>
          <w:szCs w:val="20"/>
          <w:lang w:val="sq-AL"/>
        </w:rPr>
        <w:t>ç</w:t>
      </w:r>
      <w:r>
        <w:rPr>
          <w:rFonts w:ascii="Times New Roman" w:hAnsi="Times New Roman"/>
          <w:sz w:val="20"/>
          <w:szCs w:val="20"/>
          <w:lang w:val="sq-AL"/>
        </w:rPr>
        <w:t xml:space="preserve"> u k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rkua nga Komiteti i Ministrave dhe nga vendimi pilot </w:t>
      </w:r>
      <w:r>
        <w:rPr>
          <w:rFonts w:ascii="Times New Roman" w:hAnsi="Times New Roman"/>
          <w:i/>
          <w:sz w:val="20"/>
          <w:szCs w:val="20"/>
          <w:lang w:val="sq-AL"/>
        </w:rPr>
        <w:t>Manushaqe Puto</w:t>
      </w:r>
      <w:r>
        <w:rPr>
          <w:rFonts w:ascii="Times New Roman" w:hAnsi="Times New Roman"/>
          <w:sz w:val="20"/>
          <w:szCs w:val="20"/>
          <w:lang w:val="sq-AL"/>
        </w:rPr>
        <w:t>, autoritetet kan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finalizuar nj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rishikim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kujdessh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m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</w:t>
      </w:r>
      <w:r w:rsidR="00C057A8">
        <w:rPr>
          <w:rFonts w:ascii="Times New Roman" w:hAnsi="Times New Roman"/>
          <w:sz w:val="20"/>
          <w:szCs w:val="20"/>
          <w:lang w:val="sq-AL"/>
        </w:rPr>
        <w:t>gjitha</w:t>
      </w:r>
      <w:r>
        <w:rPr>
          <w:rFonts w:ascii="Times New Roman" w:hAnsi="Times New Roman"/>
          <w:sz w:val="20"/>
          <w:szCs w:val="20"/>
          <w:lang w:val="sq-AL"/>
        </w:rPr>
        <w:t xml:space="preserve"> 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nkuptimeve ligjore dhe financiare dhe kan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vler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suar koston e p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rgjithshme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kompensimit p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patur nj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baz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konkrete p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marr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konsiderat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ndryshimet e nevojshme legjislative; </w:t>
      </w:r>
    </w:p>
    <w:p w:rsidR="00646FC4" w:rsidRPr="00646FC4" w:rsidRDefault="009C3C43" w:rsidP="009C3C43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0"/>
          <w:szCs w:val="20"/>
          <w:lang w:val="sq-AL"/>
        </w:rPr>
        <w:t>ftuan autoritetet shqiptare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dor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zonin sa m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shpejt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ishte e mundur</w:t>
      </w:r>
      <w:r w:rsidR="00646FC4">
        <w:rPr>
          <w:rFonts w:ascii="Times New Roman" w:hAnsi="Times New Roman"/>
          <w:sz w:val="20"/>
          <w:szCs w:val="20"/>
          <w:lang w:val="sq-AL"/>
        </w:rPr>
        <w:t xml:space="preserve"> shpjegimet dhe informacionin shtes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646FC4">
        <w:rPr>
          <w:rFonts w:ascii="Times New Roman" w:hAnsi="Times New Roman"/>
          <w:sz w:val="20"/>
          <w:szCs w:val="20"/>
          <w:lang w:val="sq-AL"/>
        </w:rPr>
        <w:t xml:space="preserve"> p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646FC4">
        <w:rPr>
          <w:rFonts w:ascii="Times New Roman" w:hAnsi="Times New Roman"/>
          <w:sz w:val="20"/>
          <w:szCs w:val="20"/>
          <w:lang w:val="sq-AL"/>
        </w:rPr>
        <w:t>r zgjidhjet e propozuara 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646FC4">
        <w:rPr>
          <w:rFonts w:ascii="Times New Roman" w:hAnsi="Times New Roman"/>
          <w:sz w:val="20"/>
          <w:szCs w:val="20"/>
          <w:lang w:val="sq-AL"/>
        </w:rPr>
        <w:t xml:space="preserve"> projekt-ligj...</w:t>
      </w:r>
    </w:p>
    <w:p w:rsidR="00646FC4" w:rsidRDefault="00646FC4" w:rsidP="00646FC4">
      <w:pPr>
        <w:spacing w:after="0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0"/>
          <w:szCs w:val="20"/>
          <w:lang w:val="sq-AL"/>
        </w:rPr>
        <w:t>(...)</w:t>
      </w:r>
      <w:r w:rsidR="005C27AB" w:rsidRPr="009C3C43">
        <w:rPr>
          <w:rFonts w:ascii="Times New Roman" w:hAnsi="Times New Roman"/>
          <w:sz w:val="24"/>
          <w:szCs w:val="24"/>
          <w:lang w:val="sq-AL"/>
        </w:rPr>
        <w:t>”</w:t>
      </w:r>
    </w:p>
    <w:p w:rsidR="00646FC4" w:rsidRDefault="00646FC4" w:rsidP="00646FC4">
      <w:pPr>
        <w:spacing w:after="0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46FC4" w:rsidRDefault="00646FC4" w:rsidP="00646FC4">
      <w:pPr>
        <w:spacing w:after="0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46FC4" w:rsidRDefault="00646FC4" w:rsidP="00646FC4">
      <w:pPr>
        <w:spacing w:after="0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LIGJI</w:t>
      </w:r>
    </w:p>
    <w:p w:rsidR="00646FC4" w:rsidRDefault="00646FC4" w:rsidP="00646FC4">
      <w:pPr>
        <w:spacing w:after="0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46FC4" w:rsidRDefault="00646FC4" w:rsidP="00646FC4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SHKELJA E PR</w:t>
      </w:r>
      <w:r w:rsidR="00C057A8">
        <w:rPr>
          <w:rFonts w:ascii="Times New Roman" w:hAnsi="Times New Roman"/>
          <w:sz w:val="24"/>
          <w:szCs w:val="24"/>
          <w:lang w:val="sq-AL"/>
        </w:rPr>
        <w:t>ETENDUAR E NENEVE 6 § 1 DHE 13 TË</w:t>
      </w:r>
      <w:r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C057A8">
        <w:rPr>
          <w:rFonts w:ascii="Times New Roman" w:hAnsi="Times New Roman"/>
          <w:sz w:val="24"/>
          <w:szCs w:val="24"/>
          <w:lang w:val="sq-AL"/>
        </w:rPr>
        <w:t>S SI EDHE NENIT 1 TË</w:t>
      </w:r>
      <w:r>
        <w:rPr>
          <w:rFonts w:ascii="Times New Roman" w:hAnsi="Times New Roman"/>
          <w:sz w:val="24"/>
          <w:szCs w:val="24"/>
          <w:lang w:val="sq-AL"/>
        </w:rPr>
        <w:t xml:space="preserve"> PROTOKOLLIT NR. 1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</w:t>
      </w:r>
    </w:p>
    <w:p w:rsidR="005D25F5" w:rsidRDefault="00646FC4" w:rsidP="005D25F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Ankuesi pretendon se ka patur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shkelje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Neneve 6 § 1 dhe 13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si edhe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Nenit 1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057A8">
        <w:rPr>
          <w:rFonts w:ascii="Times New Roman" w:hAnsi="Times New Roman"/>
          <w:sz w:val="24"/>
          <w:szCs w:val="24"/>
          <w:lang w:val="sq-AL"/>
        </w:rPr>
        <w:t xml:space="preserve">Protokollit Nr. 1 të </w:t>
      </w:r>
      <w:r>
        <w:rPr>
          <w:rFonts w:ascii="Times New Roman" w:hAnsi="Times New Roman"/>
          <w:sz w:val="24"/>
          <w:szCs w:val="24"/>
          <w:lang w:val="sq-AL"/>
        </w:rPr>
        <w:t>Konvent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moszbatimin e vendimeve vendase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form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cilat i </w:t>
      </w:r>
      <w:r w:rsidR="005D25F5">
        <w:rPr>
          <w:rFonts w:ascii="Times New Roman" w:hAnsi="Times New Roman"/>
          <w:sz w:val="24"/>
          <w:szCs w:val="24"/>
          <w:lang w:val="sq-AL"/>
        </w:rPr>
        <w:t>ofronin kompensim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25F5">
        <w:rPr>
          <w:rFonts w:ascii="Times New Roman" w:hAnsi="Times New Roman"/>
          <w:sz w:val="24"/>
          <w:szCs w:val="24"/>
          <w:lang w:val="sq-AL"/>
        </w:rPr>
        <w:t xml:space="preserve"> vend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25F5">
        <w:rPr>
          <w:rFonts w:ascii="Times New Roman" w:hAnsi="Times New Roman"/>
          <w:sz w:val="24"/>
          <w:szCs w:val="24"/>
          <w:lang w:val="sq-AL"/>
        </w:rPr>
        <w:t xml:space="preserve"> kthimit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25F5">
        <w:rPr>
          <w:rFonts w:ascii="Times New Roman" w:hAnsi="Times New Roman"/>
          <w:sz w:val="24"/>
          <w:szCs w:val="24"/>
          <w:lang w:val="sq-AL"/>
        </w:rPr>
        <w:t xml:space="preserve"> pronave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25F5">
        <w:rPr>
          <w:rFonts w:ascii="Times New Roman" w:hAnsi="Times New Roman"/>
          <w:sz w:val="24"/>
          <w:szCs w:val="24"/>
          <w:lang w:val="sq-AL"/>
        </w:rPr>
        <w:t xml:space="preserve"> tij.</w:t>
      </w:r>
    </w:p>
    <w:p w:rsidR="007F5FDE" w:rsidRDefault="005D25F5" w:rsidP="005D25F5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Neni 6 § 1 i Konvent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s,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sa ka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me 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11DEC">
        <w:rPr>
          <w:rFonts w:ascii="Times New Roman" w:hAnsi="Times New Roman"/>
          <w:sz w:val="24"/>
          <w:szCs w:val="24"/>
          <w:lang w:val="sq-AL"/>
        </w:rPr>
        <w:t>çë</w:t>
      </w:r>
      <w:r>
        <w:rPr>
          <w:rFonts w:ascii="Times New Roman" w:hAnsi="Times New Roman"/>
          <w:sz w:val="24"/>
          <w:szCs w:val="24"/>
          <w:lang w:val="sq-AL"/>
        </w:rPr>
        <w:t>shtje, parashikon si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vijon: </w:t>
      </w:r>
    </w:p>
    <w:p w:rsidR="005D25F5" w:rsidRDefault="005D25F5" w:rsidP="005D25F5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“</w:t>
      </w:r>
      <w:r>
        <w:rPr>
          <w:rFonts w:ascii="Times New Roman" w:hAnsi="Times New Roman"/>
          <w:sz w:val="20"/>
          <w:szCs w:val="20"/>
          <w:lang w:val="sq-AL"/>
        </w:rPr>
        <w:t>N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p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rcaktimin e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drejtave dhe detyrimeve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tij civile ... secili ka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drejt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n p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 nj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... seanc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d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gjimore ... 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drejt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 w:rsidR="00C057A8">
        <w:rPr>
          <w:rFonts w:ascii="Times New Roman" w:hAnsi="Times New Roman"/>
          <w:sz w:val="20"/>
          <w:szCs w:val="20"/>
          <w:lang w:val="sq-AL"/>
        </w:rPr>
        <w:t xml:space="preserve"> n</w:t>
      </w:r>
      <w:r>
        <w:rPr>
          <w:rFonts w:ascii="Times New Roman" w:hAnsi="Times New Roman"/>
          <w:sz w:val="20"/>
          <w:szCs w:val="20"/>
          <w:lang w:val="sq-AL"/>
        </w:rPr>
        <w:t>ga [nj</w:t>
      </w:r>
      <w:r w:rsidR="00011DEC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] ... tribunal ...</w:t>
      </w:r>
      <w:r>
        <w:rPr>
          <w:rFonts w:ascii="Times New Roman" w:hAnsi="Times New Roman"/>
          <w:sz w:val="24"/>
          <w:szCs w:val="24"/>
          <w:lang w:val="sq-AL"/>
        </w:rPr>
        <w:t>”</w:t>
      </w:r>
    </w:p>
    <w:p w:rsidR="005D25F5" w:rsidRDefault="005D25F5" w:rsidP="005D25F5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D25F5" w:rsidRDefault="005D25F5" w:rsidP="005D25F5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Neni 13 i Konvent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parashikon si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: </w:t>
      </w:r>
    </w:p>
    <w:p w:rsidR="005D25F5" w:rsidRDefault="005D25F5" w:rsidP="005D25F5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96618" w:rsidRDefault="00596618" w:rsidP="005D25F5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96618" w:rsidRDefault="00596618" w:rsidP="00596618">
      <w:pPr>
        <w:pStyle w:val="JuPara"/>
        <w:spacing w:line="276" w:lineRule="auto"/>
        <w:ind w:firstLine="0"/>
        <w:jc w:val="center"/>
        <w:rPr>
          <w:sz w:val="16"/>
          <w:szCs w:val="16"/>
          <w:lang w:val="sq-AL"/>
        </w:rPr>
      </w:pPr>
      <w:r w:rsidRPr="00596618">
        <w:rPr>
          <w:sz w:val="16"/>
          <w:szCs w:val="16"/>
          <w:lang w:val="sq-AL"/>
        </w:rPr>
        <w:lastRenderedPageBreak/>
        <w:t>VENDIMI LULI KUNDËR SHQIPËRISË</w:t>
      </w:r>
    </w:p>
    <w:p w:rsidR="00596618" w:rsidRPr="00596618" w:rsidRDefault="00596618" w:rsidP="00596618">
      <w:pPr>
        <w:pStyle w:val="JuPara"/>
        <w:spacing w:line="276" w:lineRule="auto"/>
        <w:ind w:firstLine="0"/>
        <w:jc w:val="center"/>
        <w:rPr>
          <w:sz w:val="16"/>
          <w:szCs w:val="16"/>
          <w:lang w:val="sq-AL"/>
        </w:rPr>
      </w:pPr>
    </w:p>
    <w:p w:rsidR="005D25F5" w:rsidRDefault="005D25F5" w:rsidP="005D25F5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“</w:t>
      </w:r>
      <w:r w:rsidR="00C057A8" w:rsidRPr="00294210">
        <w:rPr>
          <w:rFonts w:ascii="Times New Roman" w:hAnsi="Times New Roman"/>
          <w:sz w:val="20"/>
          <w:szCs w:val="20"/>
          <w:lang w:val="sq-AL"/>
        </w:rPr>
        <w:t>Çdokush, të cilit i janë shkelur të drejtat dhe liritë e përcaktuara në këtë Konventë, ka të drejtën e një zgjidhjeje efektive para një organi kombëtar, pavarësisht se shkelja është kryer nga persona që veprojnë në përmbushje të funksioneve të tyre zyrtare.</w:t>
      </w:r>
      <w:r w:rsidRPr="003601C1">
        <w:rPr>
          <w:rFonts w:ascii="Times New Roman" w:hAnsi="Times New Roman"/>
          <w:sz w:val="20"/>
          <w:szCs w:val="20"/>
          <w:lang w:val="sq-AL"/>
        </w:rPr>
        <w:t>”</w:t>
      </w:r>
    </w:p>
    <w:p w:rsidR="005D25F5" w:rsidRDefault="005D25F5" w:rsidP="005D25F5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D25F5" w:rsidRDefault="005D25F5" w:rsidP="005D25F5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Neni 1 i Protokollit Nr. 1 i Konvent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parashikon si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: </w:t>
      </w:r>
    </w:p>
    <w:p w:rsidR="005D25F5" w:rsidRDefault="005D25F5" w:rsidP="005D25F5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601C1" w:rsidRPr="00294210" w:rsidRDefault="005D25F5" w:rsidP="005D25F5">
      <w:pPr>
        <w:spacing w:after="0"/>
        <w:ind w:left="720"/>
        <w:jc w:val="both"/>
        <w:rPr>
          <w:rFonts w:ascii="Times New Roman" w:hAnsi="Times New Roman"/>
          <w:sz w:val="20"/>
          <w:szCs w:val="20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“</w:t>
      </w:r>
      <w:r w:rsidR="003601C1" w:rsidRPr="00294210">
        <w:rPr>
          <w:rFonts w:ascii="Times New Roman" w:hAnsi="Times New Roman"/>
          <w:sz w:val="20"/>
          <w:szCs w:val="20"/>
          <w:lang w:val="sq-AL"/>
        </w:rPr>
        <w:t xml:space="preserve">Çdo person fizik ose juridik ka të drejtën e gëzimit paqësor të pasurisë së tij. Askush nuk mund të privohet nga prona e tij, përveçse për arsye të interesit publik dhe në kushtet e parashikuara nga ligji dhe nga parimet e përgjithshme të së drejtës ndërkombëtare. </w:t>
      </w:r>
    </w:p>
    <w:p w:rsidR="005D25F5" w:rsidRDefault="003601C1" w:rsidP="005D25F5">
      <w:pPr>
        <w:spacing w:after="0"/>
        <w:ind w:left="720"/>
        <w:jc w:val="both"/>
        <w:rPr>
          <w:rFonts w:ascii="Times New Roman" w:hAnsi="Times New Roman"/>
          <w:sz w:val="20"/>
          <w:szCs w:val="20"/>
          <w:lang w:val="sq-AL"/>
        </w:rPr>
      </w:pPr>
      <w:r w:rsidRPr="00294210">
        <w:rPr>
          <w:rFonts w:ascii="Times New Roman" w:hAnsi="Times New Roman"/>
          <w:sz w:val="20"/>
          <w:szCs w:val="20"/>
          <w:lang w:val="sq-AL"/>
        </w:rPr>
        <w:t>Megjithatë, dispozitat e mëparshme nuk cënojnë të drejtën e Shteteve për të zbatuar ligje, që ato i çmojnë të nevojshme për të rregulluar përdorimin e pasurive në përputhje me interesin e përgjithshëm ose për të siguruar pagimin e taksave ose të kontribu</w:t>
      </w:r>
      <w:r w:rsidR="00596618" w:rsidRPr="00294210">
        <w:rPr>
          <w:rFonts w:ascii="Times New Roman" w:hAnsi="Times New Roman"/>
          <w:sz w:val="20"/>
          <w:szCs w:val="20"/>
          <w:lang w:val="sq-AL"/>
        </w:rPr>
        <w:t>teve ose të gjobave të tjera.</w:t>
      </w:r>
      <w:r w:rsidR="005D25F5" w:rsidRPr="003601C1">
        <w:rPr>
          <w:rFonts w:ascii="Times New Roman" w:hAnsi="Times New Roman"/>
          <w:sz w:val="20"/>
          <w:szCs w:val="20"/>
          <w:lang w:val="sq-AL"/>
        </w:rPr>
        <w:t>”</w:t>
      </w:r>
    </w:p>
    <w:p w:rsidR="00596618" w:rsidRPr="003601C1" w:rsidRDefault="00596618" w:rsidP="005D25F5">
      <w:pPr>
        <w:spacing w:after="0"/>
        <w:ind w:left="720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C85B6C" w:rsidRPr="00C85B6C" w:rsidRDefault="00C85B6C" w:rsidP="00C85B6C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b/>
          <w:sz w:val="20"/>
          <w:szCs w:val="20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PRANUESHM</w:t>
      </w:r>
      <w:r w:rsidR="00011DEC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RIA </w:t>
      </w:r>
    </w:p>
    <w:p w:rsidR="00C85B6C" w:rsidRDefault="00C85B6C" w:rsidP="00C85B6C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C85B6C" w:rsidRPr="00C85B6C" w:rsidRDefault="00C85B6C" w:rsidP="00C85B6C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i/>
          <w:sz w:val="20"/>
          <w:szCs w:val="20"/>
          <w:lang w:val="sq-AL"/>
        </w:rPr>
      </w:pPr>
      <w:r>
        <w:rPr>
          <w:rFonts w:ascii="Times New Roman" w:hAnsi="Times New Roman"/>
          <w:i/>
          <w:sz w:val="24"/>
          <w:szCs w:val="24"/>
          <w:lang w:val="sq-AL"/>
        </w:rPr>
        <w:t>P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r sa i p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rket kompensimit n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lidhje me truallin e tret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</w:p>
    <w:p w:rsidR="00C85B6C" w:rsidRPr="00C85B6C" w:rsidRDefault="00C85B6C" w:rsidP="00C85B6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Ankuesi u ankua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moszbatimin e vendimit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Komisionit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truallin e mbetur me sip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rfaqe prej 13,454 m</w:t>
      </w:r>
      <w:r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>
        <w:rPr>
          <w:rFonts w:ascii="Times New Roman" w:hAnsi="Times New Roman"/>
          <w:sz w:val="24"/>
          <w:szCs w:val="24"/>
          <w:lang w:val="sq-AL"/>
        </w:rPr>
        <w:t xml:space="preserve"> (shiko paragrafin 5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3601C1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sip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r). </w:t>
      </w:r>
    </w:p>
    <w:p w:rsidR="00C85B6C" w:rsidRPr="003D7A3C" w:rsidRDefault="003D7A3C" w:rsidP="003D7A3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Qeveria shpjegoi se vendimi i Komisionit nuk njihte asnj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komp</w:t>
      </w:r>
      <w:r w:rsidRPr="003D7A3C">
        <w:rPr>
          <w:rFonts w:ascii="Times New Roman" w:hAnsi="Times New Roman"/>
          <w:sz w:val="24"/>
          <w:szCs w:val="24"/>
          <w:lang w:val="sq-AL"/>
        </w:rPr>
        <w:t>ensimi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3D7A3C">
        <w:rPr>
          <w:rFonts w:ascii="Times New Roman" w:hAnsi="Times New Roman"/>
          <w:sz w:val="24"/>
          <w:szCs w:val="24"/>
          <w:lang w:val="sq-AL"/>
        </w:rPr>
        <w:t>r at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3D7A3C">
        <w:rPr>
          <w:rFonts w:ascii="Times New Roman" w:hAnsi="Times New Roman"/>
          <w:sz w:val="24"/>
          <w:szCs w:val="24"/>
          <w:lang w:val="sq-AL"/>
        </w:rPr>
        <w:t xml:space="preserve"> truall. </w:t>
      </w:r>
      <w:r>
        <w:rPr>
          <w:rFonts w:ascii="Times New Roman" w:hAnsi="Times New Roman"/>
          <w:sz w:val="24"/>
          <w:szCs w:val="24"/>
          <w:lang w:val="sq-AL"/>
        </w:rPr>
        <w:t>I mbetej autoriteteve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vendosnin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faz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vonshme. </w:t>
      </w:r>
    </w:p>
    <w:p w:rsidR="003D7A3C" w:rsidRPr="003D7A3C" w:rsidRDefault="003D7A3C" w:rsidP="003D7A3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Gjykata v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ren se vendimi i par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i Komisionit vendosi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shqyrtohej e drejta e trash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guar e ankuesit dhe trash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gimtar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ve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tjer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truallin e tret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faz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vonshme. </w:t>
      </w:r>
    </w:p>
    <w:p w:rsidR="003D7A3C" w:rsidRPr="00A62DDB" w:rsidRDefault="003D7A3C" w:rsidP="003D7A3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tej vijohet se kjo pjes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 ankimit 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A62DDB">
        <w:rPr>
          <w:rFonts w:ascii="Times New Roman" w:hAnsi="Times New Roman"/>
          <w:sz w:val="24"/>
          <w:szCs w:val="24"/>
          <w:lang w:val="sq-AL"/>
        </w:rPr>
        <w:t>sht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A62DDB">
        <w:rPr>
          <w:rFonts w:ascii="Times New Roman" w:hAnsi="Times New Roman"/>
          <w:sz w:val="24"/>
          <w:szCs w:val="24"/>
          <w:lang w:val="sq-AL"/>
        </w:rPr>
        <w:t xml:space="preserve"> e pabazuar dhe duhet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A62DDB"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A62DDB">
        <w:rPr>
          <w:rFonts w:ascii="Times New Roman" w:hAnsi="Times New Roman"/>
          <w:sz w:val="24"/>
          <w:szCs w:val="24"/>
          <w:lang w:val="sq-AL"/>
        </w:rPr>
        <w:t>rshtohet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A62DDB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A62DDB">
        <w:rPr>
          <w:rFonts w:ascii="Times New Roman" w:hAnsi="Times New Roman"/>
          <w:sz w:val="24"/>
          <w:szCs w:val="24"/>
          <w:lang w:val="sq-AL"/>
        </w:rPr>
        <w:t>rputhje me Nenin 35 §§ 3 (a) dhe 4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A62DDB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A62DDB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A62DDB" w:rsidRDefault="00A62DDB" w:rsidP="00B2086A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2086A" w:rsidRPr="00B2086A" w:rsidRDefault="00B2086A" w:rsidP="00B2086A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i/>
          <w:sz w:val="20"/>
          <w:szCs w:val="20"/>
          <w:lang w:val="sq-AL"/>
        </w:rPr>
      </w:pPr>
      <w:r>
        <w:rPr>
          <w:rFonts w:ascii="Times New Roman" w:hAnsi="Times New Roman"/>
          <w:i/>
          <w:sz w:val="24"/>
          <w:szCs w:val="24"/>
          <w:lang w:val="sq-AL"/>
        </w:rPr>
        <w:t>Kund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rshtimet paraprake n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lidhje me truajt e mbetur</w:t>
      </w:r>
    </w:p>
    <w:p w:rsidR="00B2086A" w:rsidRDefault="00B2086A" w:rsidP="00B2086A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B2086A" w:rsidRPr="00B2086A" w:rsidRDefault="00B2086A" w:rsidP="00B2086A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z w:val="20"/>
          <w:szCs w:val="20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N</w:t>
      </w:r>
      <w:r w:rsidR="00011DEC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lidhje me kompensimin p</w:t>
      </w:r>
      <w:r w:rsidR="00011DEC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>r truallin e par</w:t>
      </w:r>
      <w:r w:rsidR="00011DEC">
        <w:rPr>
          <w:rFonts w:ascii="Times New Roman" w:hAnsi="Times New Roman"/>
          <w:b/>
          <w:sz w:val="24"/>
          <w:szCs w:val="24"/>
          <w:lang w:val="sq-AL"/>
        </w:rPr>
        <w:t>ë</w:t>
      </w:r>
    </w:p>
    <w:p w:rsidR="00B2086A" w:rsidRDefault="00B2086A" w:rsidP="00B2086A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B2086A" w:rsidRPr="00B2086A" w:rsidRDefault="00B2086A" w:rsidP="00B2086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Ankuesi u ankua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moszbatimin e vendimit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Komisionit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truallin e par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. Ai pretendonte se duke qen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se trualli ishte i z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nga pal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treta, ai kishte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kompensohej si</w:t>
      </w:r>
      <w:r w:rsidR="00011DEC">
        <w:rPr>
          <w:rFonts w:ascii="Times New Roman" w:hAnsi="Times New Roman"/>
          <w:sz w:val="24"/>
          <w:szCs w:val="24"/>
          <w:lang w:val="sq-AL"/>
        </w:rPr>
        <w:t>ç</w:t>
      </w:r>
      <w:r>
        <w:rPr>
          <w:rFonts w:ascii="Times New Roman" w:hAnsi="Times New Roman"/>
          <w:sz w:val="24"/>
          <w:szCs w:val="24"/>
          <w:lang w:val="sq-AL"/>
        </w:rPr>
        <w:t xml:space="preserve"> edhe ishte vendosur nga vendimi i par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i Komisionit.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regjistrin e tok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nuk ishte b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asnj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regjistrim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at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truall. </w:t>
      </w:r>
    </w:p>
    <w:p w:rsidR="00B2086A" w:rsidRPr="00596618" w:rsidRDefault="00B2086A" w:rsidP="00B2086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Qeveria shpjegoi se vendimi i par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i Komisionit 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kompensim me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3601C1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truall tjet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</w:t>
      </w:r>
      <w:r w:rsidR="003601C1">
        <w:rPr>
          <w:rFonts w:ascii="Times New Roman" w:hAnsi="Times New Roman"/>
          <w:sz w:val="24"/>
          <w:szCs w:val="24"/>
          <w:lang w:val="sq-AL"/>
        </w:rPr>
        <w:t>,</w:t>
      </w:r>
      <w:r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truallin e par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3601C1">
        <w:rPr>
          <w:rFonts w:ascii="Times New Roman" w:hAnsi="Times New Roman"/>
          <w:sz w:val="24"/>
          <w:szCs w:val="24"/>
          <w:lang w:val="sq-AL"/>
        </w:rPr>
        <w:t>,</w:t>
      </w:r>
      <w:r>
        <w:rPr>
          <w:rFonts w:ascii="Times New Roman" w:hAnsi="Times New Roman"/>
          <w:sz w:val="24"/>
          <w:szCs w:val="24"/>
          <w:lang w:val="sq-AL"/>
        </w:rPr>
        <w:t xml:space="preserve"> tashm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ishte zbatuar duke qen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3601C1">
        <w:rPr>
          <w:rFonts w:ascii="Times New Roman" w:hAnsi="Times New Roman"/>
          <w:sz w:val="24"/>
          <w:szCs w:val="24"/>
          <w:lang w:val="sq-AL"/>
        </w:rPr>
        <w:t xml:space="preserve"> se</w:t>
      </w:r>
      <w:r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regjistrin e tok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ishte regjistruar pron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sia (shiko paragrafin 6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r). </w:t>
      </w:r>
    </w:p>
    <w:p w:rsidR="00596618" w:rsidRPr="00596618" w:rsidRDefault="00596618" w:rsidP="00596618">
      <w:pPr>
        <w:pStyle w:val="JuPara"/>
        <w:spacing w:line="276" w:lineRule="auto"/>
        <w:ind w:left="720" w:firstLine="0"/>
        <w:jc w:val="center"/>
        <w:rPr>
          <w:sz w:val="16"/>
          <w:szCs w:val="16"/>
          <w:lang w:val="sq-AL"/>
        </w:rPr>
      </w:pPr>
      <w:r w:rsidRPr="00596618">
        <w:rPr>
          <w:sz w:val="16"/>
          <w:szCs w:val="16"/>
          <w:lang w:val="sq-AL"/>
        </w:rPr>
        <w:lastRenderedPageBreak/>
        <w:t>VENDIMI LULI KUNDËR SHQIPËRISË</w:t>
      </w:r>
    </w:p>
    <w:p w:rsidR="00596618" w:rsidRPr="00B2086A" w:rsidRDefault="00596618" w:rsidP="00596618">
      <w:pPr>
        <w:spacing w:after="0"/>
        <w:ind w:left="720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760705" w:rsidRPr="00760705" w:rsidRDefault="00B2086A" w:rsidP="00B2086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Gjykata v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ren se vendimi i Komisionit </w:t>
      </w:r>
      <w:r w:rsidR="00760705">
        <w:rPr>
          <w:rFonts w:ascii="Times New Roman" w:hAnsi="Times New Roman"/>
          <w:sz w:val="24"/>
          <w:szCs w:val="24"/>
          <w:lang w:val="sq-AL"/>
        </w:rPr>
        <w:t>njihte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>n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>r kompensim me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 xml:space="preserve"> truall tjet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3601C1">
        <w:rPr>
          <w:rFonts w:ascii="Times New Roman" w:hAnsi="Times New Roman"/>
          <w:sz w:val="24"/>
          <w:szCs w:val="24"/>
          <w:lang w:val="sq-AL"/>
        </w:rPr>
        <w:t>për sa i përket truallit të</w:t>
      </w:r>
      <w:r w:rsidR="00760705">
        <w:rPr>
          <w:rFonts w:ascii="Times New Roman" w:hAnsi="Times New Roman"/>
          <w:sz w:val="24"/>
          <w:szCs w:val="24"/>
          <w:lang w:val="sq-AL"/>
        </w:rPr>
        <w:t xml:space="preserve"> par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 xml:space="preserve"> duke dh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>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>jt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>n pron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 xml:space="preserve">. </w:t>
      </w:r>
      <w:r w:rsidR="003601C1">
        <w:rPr>
          <w:rFonts w:ascii="Times New Roman" w:hAnsi="Times New Roman"/>
          <w:sz w:val="24"/>
          <w:szCs w:val="24"/>
          <w:lang w:val="sq-AL"/>
        </w:rPr>
        <w:t xml:space="preserve">Megjithatë, Gjykata vëren se ligji vendas në kohën materiale njihte të drejtën për kompensim me një truall tjetër duke dhënë një truall ekuivalent dhe jo të njëjtën pronë </w:t>
      </w:r>
      <w:r w:rsidR="00760705">
        <w:rPr>
          <w:rFonts w:ascii="Times New Roman" w:hAnsi="Times New Roman"/>
          <w:sz w:val="24"/>
          <w:szCs w:val="24"/>
          <w:lang w:val="sq-AL"/>
        </w:rPr>
        <w:t xml:space="preserve">(shiko </w:t>
      </w:r>
      <w:r w:rsidR="00760705">
        <w:rPr>
          <w:rFonts w:ascii="Times New Roman" w:hAnsi="Times New Roman"/>
          <w:i/>
          <w:sz w:val="24"/>
          <w:szCs w:val="24"/>
          <w:lang w:val="sq-AL"/>
        </w:rPr>
        <w:t>Gjonbocari dhe t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i/>
          <w:sz w:val="24"/>
          <w:szCs w:val="24"/>
          <w:lang w:val="sq-AL"/>
        </w:rPr>
        <w:t>ris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>, nr. 10508/02, § 37, 23 Tetor 2007).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 xml:space="preserve"> tej ajo v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>ren se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11DEC">
        <w:rPr>
          <w:rFonts w:ascii="Times New Roman" w:hAnsi="Times New Roman"/>
          <w:sz w:val="24"/>
          <w:szCs w:val="24"/>
          <w:lang w:val="sq-AL"/>
        </w:rPr>
        <w:t>çë</w:t>
      </w:r>
      <w:r w:rsidR="00760705">
        <w:rPr>
          <w:rFonts w:ascii="Times New Roman" w:hAnsi="Times New Roman"/>
          <w:sz w:val="24"/>
          <w:szCs w:val="24"/>
          <w:lang w:val="sq-AL"/>
        </w:rPr>
        <w:t>shtjen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 xml:space="preserve"> fjal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 xml:space="preserve"> sipas shpjegimit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 xml:space="preserve"> pjes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>s operative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 xml:space="preserve"> vendimit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 xml:space="preserve"> par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601C1">
        <w:rPr>
          <w:rFonts w:ascii="Times New Roman" w:hAnsi="Times New Roman"/>
          <w:sz w:val="24"/>
          <w:szCs w:val="24"/>
          <w:lang w:val="sq-AL"/>
        </w:rPr>
        <w:t>Komisionit</w:t>
      </w:r>
      <w:r w:rsidR="00760705">
        <w:rPr>
          <w:rFonts w:ascii="Times New Roman" w:hAnsi="Times New Roman"/>
          <w:sz w:val="24"/>
          <w:szCs w:val="24"/>
          <w:lang w:val="sq-AL"/>
        </w:rPr>
        <w:t xml:space="preserve"> kuptohet se ai truall 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>sht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 xml:space="preserve"> fakt i z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>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 xml:space="preserve"> (shiko paragrafin 5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 xml:space="preserve">r). </w:t>
      </w:r>
    </w:p>
    <w:p w:rsidR="004D440D" w:rsidRPr="004D440D" w:rsidRDefault="00760705" w:rsidP="00B2086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Gjithashtu, Gjykata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rit parashtrimin e Qeveris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kontekstin e procedimeve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11DEC">
        <w:rPr>
          <w:rFonts w:ascii="Times New Roman" w:hAnsi="Times New Roman"/>
          <w:sz w:val="24"/>
          <w:szCs w:val="24"/>
          <w:lang w:val="sq-AL"/>
        </w:rPr>
        <w:t>çë</w:t>
      </w:r>
      <w:r>
        <w:rPr>
          <w:rFonts w:ascii="Times New Roman" w:hAnsi="Times New Roman"/>
          <w:sz w:val="24"/>
          <w:szCs w:val="24"/>
          <w:lang w:val="sq-AL"/>
        </w:rPr>
        <w:t xml:space="preserve">shtjen </w:t>
      </w:r>
      <w:r>
        <w:rPr>
          <w:rFonts w:ascii="Times New Roman" w:hAnsi="Times New Roman"/>
          <w:i/>
          <w:sz w:val="24"/>
          <w:szCs w:val="24"/>
          <w:lang w:val="sq-AL"/>
        </w:rPr>
        <w:t>Manushaqe Puto dhe t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ris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, cituar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r, § 68, sipas 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cilit, deri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sot, nuk 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zbatuar asnj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nga kompensimet me pron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tjet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r.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tep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r, ajo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rit gjetjet e saj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11DEC">
        <w:rPr>
          <w:rFonts w:ascii="Times New Roman" w:hAnsi="Times New Roman"/>
          <w:sz w:val="24"/>
          <w:szCs w:val="24"/>
          <w:lang w:val="sq-AL"/>
        </w:rPr>
        <w:t>çë</w:t>
      </w:r>
      <w:r w:rsidR="003601C1">
        <w:rPr>
          <w:rFonts w:ascii="Times New Roman" w:hAnsi="Times New Roman"/>
          <w:sz w:val="24"/>
          <w:szCs w:val="24"/>
          <w:lang w:val="sq-AL"/>
        </w:rPr>
        <w:t>shtjen Çaush Driza</w:t>
      </w:r>
      <w:r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theksuar se kjo form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kompensimi </w:t>
      </w:r>
      <w:r w:rsidR="004D440D">
        <w:rPr>
          <w:rFonts w:ascii="Times New Roman" w:hAnsi="Times New Roman"/>
          <w:sz w:val="24"/>
          <w:szCs w:val="24"/>
          <w:lang w:val="sq-AL"/>
        </w:rPr>
        <w:t xml:space="preserve">nuk 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D440D">
        <w:rPr>
          <w:rFonts w:ascii="Times New Roman" w:hAnsi="Times New Roman"/>
          <w:sz w:val="24"/>
          <w:szCs w:val="24"/>
          <w:lang w:val="sq-AL"/>
        </w:rPr>
        <w:t>sht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D440D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D440D">
        <w:rPr>
          <w:rFonts w:ascii="Times New Roman" w:hAnsi="Times New Roman"/>
          <w:sz w:val="24"/>
          <w:szCs w:val="24"/>
          <w:lang w:val="sq-AL"/>
        </w:rPr>
        <w:t xml:space="preserve"> mjet efikas (shiko </w:t>
      </w:r>
      <w:r w:rsidR="004D440D">
        <w:rPr>
          <w:rFonts w:ascii="Times New Roman" w:hAnsi="Times New Roman"/>
          <w:i/>
          <w:sz w:val="24"/>
          <w:szCs w:val="24"/>
          <w:lang w:val="sq-AL"/>
        </w:rPr>
        <w:t>Çaush Driza kund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 w:rsidR="004D440D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 w:rsidR="004D440D">
        <w:rPr>
          <w:rFonts w:ascii="Times New Roman" w:hAnsi="Times New Roman"/>
          <w:i/>
          <w:sz w:val="24"/>
          <w:szCs w:val="24"/>
          <w:lang w:val="sq-AL"/>
        </w:rPr>
        <w:t>ris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 w:rsidR="004D440D">
        <w:rPr>
          <w:rFonts w:ascii="Times New Roman" w:hAnsi="Times New Roman"/>
          <w:sz w:val="24"/>
          <w:szCs w:val="24"/>
          <w:lang w:val="sq-AL"/>
        </w:rPr>
        <w:t xml:space="preserve">, nr. 10810/05, §§ 77-83, 15 Mars 2011). </w:t>
      </w:r>
    </w:p>
    <w:p w:rsidR="004D440D" w:rsidRPr="004D440D" w:rsidRDefault="004D440D" w:rsidP="00B2086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parashtrimet e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rme, Gjykata hedh posht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079FF">
        <w:rPr>
          <w:rFonts w:ascii="Times New Roman" w:hAnsi="Times New Roman"/>
          <w:sz w:val="24"/>
          <w:szCs w:val="24"/>
          <w:lang w:val="sq-AL"/>
        </w:rPr>
        <w:t>kundërshtimin</w:t>
      </w:r>
      <w:r>
        <w:rPr>
          <w:rFonts w:ascii="Times New Roman" w:hAnsi="Times New Roman"/>
          <w:sz w:val="24"/>
          <w:szCs w:val="24"/>
          <w:lang w:val="sq-AL"/>
        </w:rPr>
        <w:t xml:space="preserve"> e Qeveris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4D440D" w:rsidRDefault="004D440D" w:rsidP="004D440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D440D" w:rsidRPr="004D440D" w:rsidRDefault="004D440D" w:rsidP="004D440D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0"/>
          <w:szCs w:val="20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N</w:t>
      </w:r>
      <w:r w:rsidR="00011DEC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lidhje me kompensimin p</w:t>
      </w:r>
      <w:r w:rsidR="00011DEC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>r truallin e dyt</w:t>
      </w:r>
      <w:r w:rsidR="00011DEC">
        <w:rPr>
          <w:rFonts w:ascii="Times New Roman" w:hAnsi="Times New Roman"/>
          <w:b/>
          <w:sz w:val="24"/>
          <w:szCs w:val="24"/>
          <w:lang w:val="sq-AL"/>
        </w:rPr>
        <w:t>ë</w:t>
      </w:r>
      <w:r w:rsidR="00760705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4D440D" w:rsidRPr="004D440D" w:rsidRDefault="004D440D" w:rsidP="004D440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Qeveria parashtroi se sip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rfaqja aktuale e truallit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dyt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ishte vet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m 3,892 m</w:t>
      </w:r>
      <w:r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>
        <w:rPr>
          <w:rFonts w:ascii="Times New Roman" w:hAnsi="Times New Roman"/>
          <w:sz w:val="24"/>
          <w:szCs w:val="24"/>
          <w:lang w:val="sq-AL"/>
        </w:rPr>
        <w:t xml:space="preserve"> dhe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situat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, kompensimi duh</w:t>
      </w:r>
      <w:r w:rsidR="007079FF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>t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llogaritet bazuar </w:t>
      </w:r>
      <w:r w:rsidR="007079FF">
        <w:rPr>
          <w:rFonts w:ascii="Times New Roman" w:hAnsi="Times New Roman"/>
          <w:sz w:val="24"/>
          <w:szCs w:val="24"/>
          <w:lang w:val="sq-AL"/>
        </w:rPr>
        <w:t>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241A7B" w:rsidRPr="00241A7B" w:rsidRDefault="004D440D" w:rsidP="004D440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Gjykata v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ren se Qeveria nuk paraqiti ndonj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dh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dokumentuar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ta provuar 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pretendim.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vijim, ajo do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procedoj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me hamend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simin se </w:t>
      </w:r>
      <w:r w:rsidR="00241A7B">
        <w:rPr>
          <w:rFonts w:ascii="Times New Roman" w:hAnsi="Times New Roman"/>
          <w:sz w:val="24"/>
          <w:szCs w:val="24"/>
          <w:lang w:val="sq-AL"/>
        </w:rPr>
        <w:t>ankuesit i jepet kompensim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41A7B">
        <w:rPr>
          <w:rFonts w:ascii="Times New Roman" w:hAnsi="Times New Roman"/>
          <w:sz w:val="24"/>
          <w:szCs w:val="24"/>
          <w:lang w:val="sq-AL"/>
        </w:rPr>
        <w:t xml:space="preserve"> lidhje me truallin me sip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41A7B">
        <w:rPr>
          <w:rFonts w:ascii="Times New Roman" w:hAnsi="Times New Roman"/>
          <w:sz w:val="24"/>
          <w:szCs w:val="24"/>
          <w:lang w:val="sq-AL"/>
        </w:rPr>
        <w:t>rfaqe 3,961 m</w:t>
      </w:r>
      <w:r w:rsidR="00241A7B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241A7B">
        <w:rPr>
          <w:rFonts w:ascii="Times New Roman" w:hAnsi="Times New Roman"/>
          <w:sz w:val="24"/>
          <w:szCs w:val="24"/>
          <w:lang w:val="sq-AL"/>
        </w:rPr>
        <w:t>, sipas vendimit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41A7B">
        <w:rPr>
          <w:rFonts w:ascii="Times New Roman" w:hAnsi="Times New Roman"/>
          <w:sz w:val="24"/>
          <w:szCs w:val="24"/>
          <w:lang w:val="sq-AL"/>
        </w:rPr>
        <w:t xml:space="preserve"> par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41A7B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41A7B">
        <w:rPr>
          <w:rFonts w:ascii="Times New Roman" w:hAnsi="Times New Roman"/>
          <w:sz w:val="24"/>
          <w:szCs w:val="24"/>
          <w:lang w:val="sq-AL"/>
        </w:rPr>
        <w:t xml:space="preserve"> Komisionit.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41A7B">
        <w:rPr>
          <w:rFonts w:ascii="Times New Roman" w:hAnsi="Times New Roman"/>
          <w:sz w:val="24"/>
          <w:szCs w:val="24"/>
          <w:lang w:val="sq-AL"/>
        </w:rPr>
        <w:t>r 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41A7B">
        <w:rPr>
          <w:rFonts w:ascii="Times New Roman" w:hAnsi="Times New Roman"/>
          <w:sz w:val="24"/>
          <w:szCs w:val="24"/>
          <w:lang w:val="sq-AL"/>
        </w:rPr>
        <w:t>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41A7B">
        <w:rPr>
          <w:rFonts w:ascii="Times New Roman" w:hAnsi="Times New Roman"/>
          <w:sz w:val="24"/>
          <w:szCs w:val="24"/>
          <w:lang w:val="sq-AL"/>
        </w:rPr>
        <w:t xml:space="preserve"> arsye, Gjykata rr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41A7B">
        <w:rPr>
          <w:rFonts w:ascii="Times New Roman" w:hAnsi="Times New Roman"/>
          <w:sz w:val="24"/>
          <w:szCs w:val="24"/>
          <w:lang w:val="sq-AL"/>
        </w:rPr>
        <w:t>zon kund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41A7B">
        <w:rPr>
          <w:rFonts w:ascii="Times New Roman" w:hAnsi="Times New Roman"/>
          <w:sz w:val="24"/>
          <w:szCs w:val="24"/>
          <w:lang w:val="sq-AL"/>
        </w:rPr>
        <w:t>rshtimin e Qeveris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241A7B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241A7B" w:rsidRDefault="00241A7B" w:rsidP="00241A7B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241A7B" w:rsidRPr="00241A7B" w:rsidRDefault="00241A7B" w:rsidP="00241A7B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0"/>
          <w:szCs w:val="20"/>
          <w:lang w:val="sq-AL"/>
        </w:rPr>
      </w:pPr>
      <w:r>
        <w:rPr>
          <w:rFonts w:ascii="Times New Roman" w:hAnsi="Times New Roman"/>
          <w:i/>
          <w:sz w:val="24"/>
          <w:szCs w:val="24"/>
          <w:lang w:val="sq-AL"/>
        </w:rPr>
        <w:t>P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rfundim</w:t>
      </w:r>
    </w:p>
    <w:p w:rsidR="00241A7B" w:rsidRDefault="00241A7B" w:rsidP="00241A7B">
      <w:pPr>
        <w:spacing w:after="0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5D38E9" w:rsidRPr="005D38E9" w:rsidRDefault="005D38E9" w:rsidP="00241A7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Gjykata vler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son se ankesat e tjera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ankuesit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truajt e par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dyt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dhe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kat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rt nuk jan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pabazuara sipas parashikimit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Nenit 35 § 3 (a)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s. Duke qen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se ankesat nuk jan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papranueshme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aspekte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tjera, ato duhet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deklarohen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pranueshme. </w:t>
      </w:r>
    </w:p>
    <w:p w:rsidR="005D38E9" w:rsidRDefault="005D38E9" w:rsidP="005D38E9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2086A" w:rsidRPr="005D38E9" w:rsidRDefault="005D38E9" w:rsidP="005D38E9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0"/>
          <w:szCs w:val="20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Cil</w:t>
      </w:r>
      <w:r w:rsidR="00011DEC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>sit</w:t>
      </w:r>
      <w:r w:rsidR="00011DEC">
        <w:rPr>
          <w:rFonts w:ascii="Times New Roman" w:hAnsi="Times New Roman"/>
          <w:b/>
          <w:sz w:val="24"/>
          <w:szCs w:val="24"/>
          <w:lang w:val="sq-AL"/>
        </w:rPr>
        <w:t>ë</w:t>
      </w:r>
      <w:r w:rsidR="00B2086A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5D38E9" w:rsidRDefault="005D38E9" w:rsidP="005D38E9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96618" w:rsidRPr="00596618" w:rsidRDefault="005D38E9" w:rsidP="005D38E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Gjykata konstaton se moszbatimi nga autoritetet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shum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vite i vendimit t</w:t>
      </w:r>
      <w:r w:rsidR="007079FF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079FF">
        <w:rPr>
          <w:rFonts w:ascii="Times New Roman" w:hAnsi="Times New Roman"/>
          <w:sz w:val="24"/>
          <w:szCs w:val="24"/>
          <w:lang w:val="sq-AL"/>
        </w:rPr>
        <w:t>formës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s, si edhe mospagesa e kompensimit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dh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, shkelte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drejtat e ankuesit sipas Nenit 6 § 1 dhe sipas Nenit 1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Protokollit Nr. 1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s (shiko </w:t>
      </w:r>
      <w:r>
        <w:rPr>
          <w:rFonts w:ascii="Times New Roman" w:hAnsi="Times New Roman"/>
          <w:i/>
          <w:sz w:val="24"/>
          <w:szCs w:val="24"/>
          <w:lang w:val="sq-AL"/>
        </w:rPr>
        <w:t>Driza kund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r </w:t>
      </w:r>
    </w:p>
    <w:p w:rsidR="00596618" w:rsidRDefault="00596618" w:rsidP="00596618">
      <w:pPr>
        <w:pStyle w:val="JuPara"/>
        <w:spacing w:line="276" w:lineRule="auto"/>
        <w:ind w:left="720" w:firstLine="0"/>
        <w:rPr>
          <w:sz w:val="16"/>
          <w:szCs w:val="16"/>
          <w:lang w:val="sq-AL"/>
        </w:rPr>
      </w:pPr>
    </w:p>
    <w:p w:rsidR="00596618" w:rsidRPr="00596618" w:rsidRDefault="00596618" w:rsidP="00596618">
      <w:pPr>
        <w:pStyle w:val="JuPara"/>
        <w:spacing w:line="276" w:lineRule="auto"/>
        <w:ind w:left="720" w:firstLine="0"/>
        <w:jc w:val="center"/>
        <w:rPr>
          <w:sz w:val="16"/>
          <w:szCs w:val="16"/>
          <w:lang w:val="sq-AL"/>
        </w:rPr>
      </w:pPr>
      <w:r w:rsidRPr="00596618">
        <w:rPr>
          <w:sz w:val="16"/>
          <w:szCs w:val="16"/>
          <w:lang w:val="sq-AL"/>
        </w:rPr>
        <w:lastRenderedPageBreak/>
        <w:t>VENDIMI LULI KUNDËR SHQIPËRISË</w:t>
      </w:r>
    </w:p>
    <w:p w:rsidR="00596618" w:rsidRDefault="00596618" w:rsidP="00596618">
      <w:pPr>
        <w:spacing w:after="0"/>
        <w:ind w:left="720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5D38E9" w:rsidRPr="00596618" w:rsidRDefault="005D38E9" w:rsidP="00596618">
      <w:pPr>
        <w:spacing w:after="0"/>
        <w:ind w:left="720"/>
        <w:jc w:val="both"/>
        <w:rPr>
          <w:rFonts w:ascii="Times New Roman" w:hAnsi="Times New Roman"/>
          <w:sz w:val="20"/>
          <w:szCs w:val="20"/>
          <w:lang w:val="sq-AL"/>
        </w:rPr>
      </w:pPr>
      <w:r w:rsidRPr="00596618">
        <w:rPr>
          <w:rFonts w:ascii="Times New Roman" w:hAnsi="Times New Roman"/>
          <w:i/>
          <w:sz w:val="24"/>
          <w:szCs w:val="24"/>
          <w:lang w:val="sq-AL"/>
        </w:rPr>
        <w:t>Shqip</w:t>
      </w:r>
      <w:r w:rsidR="00011DEC" w:rsidRPr="00596618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i/>
          <w:sz w:val="24"/>
          <w:szCs w:val="24"/>
          <w:lang w:val="sq-AL"/>
        </w:rPr>
        <w:t>ris</w:t>
      </w:r>
      <w:r w:rsidR="00011DEC" w:rsidRPr="00596618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Pr="00596618">
        <w:rPr>
          <w:rFonts w:ascii="Times New Roman" w:hAnsi="Times New Roman"/>
          <w:sz w:val="24"/>
          <w:szCs w:val="24"/>
          <w:lang w:val="sq-AL"/>
        </w:rPr>
        <w:t xml:space="preserve">nr. 33771/02, GJEDNJ 2007-V (ekstrakte), </w:t>
      </w:r>
      <w:r w:rsidRPr="00596618">
        <w:rPr>
          <w:rFonts w:ascii="Times New Roman" w:hAnsi="Times New Roman"/>
          <w:i/>
          <w:sz w:val="24"/>
          <w:szCs w:val="24"/>
          <w:lang w:val="sq-AL"/>
        </w:rPr>
        <w:t>Vrioni dhe t</w:t>
      </w:r>
      <w:r w:rsidR="00011DEC" w:rsidRPr="00596618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011DEC" w:rsidRPr="00596618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011DEC" w:rsidRPr="00596618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011DEC" w:rsidRPr="00596618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i/>
          <w:sz w:val="24"/>
          <w:szCs w:val="24"/>
          <w:lang w:val="sq-AL"/>
        </w:rPr>
        <w:t>ris</w:t>
      </w:r>
      <w:r w:rsidR="00011DEC" w:rsidRPr="00596618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i/>
          <w:sz w:val="24"/>
          <w:szCs w:val="24"/>
          <w:lang w:val="sq-AL"/>
        </w:rPr>
        <w:t xml:space="preserve"> dhe Italis</w:t>
      </w:r>
      <w:r w:rsidR="00011DEC" w:rsidRPr="00596618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Pr="00596618">
        <w:rPr>
          <w:rFonts w:ascii="Times New Roman" w:hAnsi="Times New Roman"/>
          <w:sz w:val="24"/>
          <w:szCs w:val="24"/>
          <w:lang w:val="sq-AL"/>
        </w:rPr>
        <w:t xml:space="preserve">nr. 35720/04 dhe 42832/06, 29 Shtator 2009, </w:t>
      </w:r>
      <w:r w:rsidRPr="00596618">
        <w:rPr>
          <w:rFonts w:ascii="Times New Roman" w:hAnsi="Times New Roman"/>
          <w:i/>
          <w:sz w:val="24"/>
          <w:szCs w:val="24"/>
          <w:lang w:val="sq-AL"/>
        </w:rPr>
        <w:t>Manushaqe Puto dhe t</w:t>
      </w:r>
      <w:r w:rsidR="00011DEC" w:rsidRPr="00596618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011DEC" w:rsidRPr="00596618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011DEC" w:rsidRPr="00596618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011DEC" w:rsidRPr="00596618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i/>
          <w:sz w:val="24"/>
          <w:szCs w:val="24"/>
          <w:lang w:val="sq-AL"/>
        </w:rPr>
        <w:t>ris</w:t>
      </w:r>
      <w:r w:rsidR="00011DEC" w:rsidRPr="00596618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sz w:val="24"/>
          <w:szCs w:val="24"/>
          <w:lang w:val="sq-AL"/>
        </w:rPr>
        <w:t>, cituar m</w:t>
      </w:r>
      <w:r w:rsidR="00011DEC" w:rsidRPr="00596618">
        <w:rPr>
          <w:rFonts w:ascii="Times New Roman" w:hAnsi="Times New Roman"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011DEC" w:rsidRPr="00596618">
        <w:rPr>
          <w:rFonts w:ascii="Times New Roman" w:hAnsi="Times New Roman"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sz w:val="24"/>
          <w:szCs w:val="24"/>
          <w:lang w:val="sq-AL"/>
        </w:rPr>
        <w:t xml:space="preserve">r dhe </w:t>
      </w:r>
      <w:r w:rsidRPr="00596618">
        <w:rPr>
          <w:rFonts w:ascii="Times New Roman" w:hAnsi="Times New Roman"/>
          <w:i/>
          <w:sz w:val="24"/>
          <w:szCs w:val="24"/>
          <w:lang w:val="sq-AL"/>
        </w:rPr>
        <w:t>Ramadhi dhe t</w:t>
      </w:r>
      <w:r w:rsidR="00011DEC" w:rsidRPr="00596618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011DEC" w:rsidRPr="00596618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011DEC" w:rsidRPr="00596618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011DEC" w:rsidRPr="00596618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i/>
          <w:sz w:val="24"/>
          <w:szCs w:val="24"/>
          <w:lang w:val="sq-AL"/>
        </w:rPr>
        <w:t>ris</w:t>
      </w:r>
      <w:r w:rsidR="00011DEC" w:rsidRPr="00596618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sz w:val="24"/>
          <w:szCs w:val="24"/>
          <w:lang w:val="sq-AL"/>
        </w:rPr>
        <w:t>, cituar m</w:t>
      </w:r>
      <w:r w:rsidR="00011DEC" w:rsidRPr="00596618">
        <w:rPr>
          <w:rFonts w:ascii="Times New Roman" w:hAnsi="Times New Roman"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011DEC" w:rsidRPr="00596618">
        <w:rPr>
          <w:rFonts w:ascii="Times New Roman" w:hAnsi="Times New Roman"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sz w:val="24"/>
          <w:szCs w:val="24"/>
          <w:lang w:val="sq-AL"/>
        </w:rPr>
        <w:t xml:space="preserve">r). </w:t>
      </w:r>
    </w:p>
    <w:p w:rsidR="005D38E9" w:rsidRPr="000D0BAA" w:rsidRDefault="007079FF" w:rsidP="005D38E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Gjithashtu, G</w:t>
      </w:r>
      <w:r w:rsidR="005D38E9">
        <w:rPr>
          <w:rFonts w:ascii="Times New Roman" w:hAnsi="Times New Roman"/>
          <w:sz w:val="24"/>
          <w:szCs w:val="24"/>
          <w:lang w:val="sq-AL"/>
        </w:rPr>
        <w:t>jykata arrin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38E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38E9">
        <w:rPr>
          <w:rFonts w:ascii="Times New Roman" w:hAnsi="Times New Roman"/>
          <w:sz w:val="24"/>
          <w:szCs w:val="24"/>
          <w:lang w:val="sq-AL"/>
        </w:rPr>
        <w:t>rfundimin se nuk ka pasur asnj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38E9">
        <w:rPr>
          <w:rFonts w:ascii="Times New Roman" w:hAnsi="Times New Roman"/>
          <w:sz w:val="24"/>
          <w:szCs w:val="24"/>
          <w:lang w:val="sq-AL"/>
        </w:rPr>
        <w:t xml:space="preserve"> shlyerje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38E9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efektshme</w:t>
      </w:r>
      <w:r w:rsidR="005D38E9">
        <w:rPr>
          <w:rFonts w:ascii="Times New Roman" w:hAnsi="Times New Roman"/>
          <w:sz w:val="24"/>
          <w:szCs w:val="24"/>
          <w:lang w:val="sq-AL"/>
        </w:rPr>
        <w:t xml:space="preserve"> vendase e cila do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38E9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38E9">
        <w:rPr>
          <w:rFonts w:ascii="Times New Roman" w:hAnsi="Times New Roman"/>
          <w:sz w:val="24"/>
          <w:szCs w:val="24"/>
          <w:lang w:val="sq-AL"/>
        </w:rPr>
        <w:t>nte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38E9">
        <w:rPr>
          <w:rFonts w:ascii="Times New Roman" w:hAnsi="Times New Roman"/>
          <w:sz w:val="24"/>
          <w:szCs w:val="24"/>
          <w:lang w:val="sq-AL"/>
        </w:rPr>
        <w:t xml:space="preserve"> mundur </w:t>
      </w:r>
      <w:r>
        <w:rPr>
          <w:rFonts w:ascii="Times New Roman" w:hAnsi="Times New Roman"/>
          <w:sz w:val="24"/>
          <w:szCs w:val="24"/>
          <w:lang w:val="sq-AL"/>
        </w:rPr>
        <w:t>korrigjimin</w:t>
      </w:r>
      <w:r w:rsidR="005D38E9">
        <w:rPr>
          <w:rFonts w:ascii="Times New Roman" w:hAnsi="Times New Roman"/>
          <w:sz w:val="24"/>
          <w:szCs w:val="24"/>
          <w:lang w:val="sq-AL"/>
        </w:rPr>
        <w:t xml:space="preserve"> e duhur dhe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38E9">
        <w:rPr>
          <w:rFonts w:ascii="Times New Roman" w:hAnsi="Times New Roman"/>
          <w:sz w:val="24"/>
          <w:szCs w:val="24"/>
          <w:lang w:val="sq-AL"/>
        </w:rPr>
        <w:t xml:space="preserve"> mjaftuesh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38E9">
        <w:rPr>
          <w:rFonts w:ascii="Times New Roman" w:hAnsi="Times New Roman"/>
          <w:sz w:val="24"/>
          <w:szCs w:val="24"/>
          <w:lang w:val="sq-AL"/>
        </w:rPr>
        <w:t>m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38E9">
        <w:rPr>
          <w:rFonts w:ascii="Times New Roman" w:hAnsi="Times New Roman"/>
          <w:sz w:val="24"/>
          <w:szCs w:val="24"/>
          <w:lang w:val="sq-AL"/>
        </w:rPr>
        <w:t xml:space="preserve"> lidhje me moszbatimin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38E9">
        <w:rPr>
          <w:rFonts w:ascii="Times New Roman" w:hAnsi="Times New Roman"/>
          <w:sz w:val="24"/>
          <w:szCs w:val="24"/>
          <w:lang w:val="sq-AL"/>
        </w:rPr>
        <w:t>r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38E9">
        <w:rPr>
          <w:rFonts w:ascii="Times New Roman" w:hAnsi="Times New Roman"/>
          <w:sz w:val="24"/>
          <w:szCs w:val="24"/>
          <w:lang w:val="sq-AL"/>
        </w:rPr>
        <w:t xml:space="preserve"> koh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38E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38E9">
        <w:rPr>
          <w:rFonts w:ascii="Times New Roman" w:hAnsi="Times New Roman"/>
          <w:sz w:val="24"/>
          <w:szCs w:val="24"/>
          <w:lang w:val="sq-AL"/>
        </w:rPr>
        <w:t xml:space="preserve"> gjat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38E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38E9">
        <w:rPr>
          <w:rFonts w:ascii="Times New Roman" w:hAnsi="Times New Roman"/>
          <w:sz w:val="24"/>
          <w:szCs w:val="24"/>
          <w:lang w:val="sq-AL"/>
        </w:rPr>
        <w:t xml:space="preserve"> vendimeve administrative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38E9">
        <w:rPr>
          <w:rFonts w:ascii="Times New Roman" w:hAnsi="Times New Roman"/>
          <w:sz w:val="24"/>
          <w:szCs w:val="24"/>
          <w:lang w:val="sq-AL"/>
        </w:rPr>
        <w:t xml:space="preserve"> cilat </w:t>
      </w:r>
      <w:r>
        <w:rPr>
          <w:rFonts w:ascii="Times New Roman" w:hAnsi="Times New Roman"/>
          <w:sz w:val="24"/>
          <w:szCs w:val="24"/>
          <w:lang w:val="sq-AL"/>
        </w:rPr>
        <w:t>ofronin</w:t>
      </w:r>
      <w:r w:rsidR="005D38E9">
        <w:rPr>
          <w:rFonts w:ascii="Times New Roman" w:hAnsi="Times New Roman"/>
          <w:sz w:val="24"/>
          <w:szCs w:val="24"/>
          <w:lang w:val="sq-AL"/>
        </w:rPr>
        <w:t xml:space="preserve"> kompensim.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38E9">
        <w:rPr>
          <w:rFonts w:ascii="Times New Roman" w:hAnsi="Times New Roman"/>
          <w:sz w:val="24"/>
          <w:szCs w:val="24"/>
          <w:lang w:val="sq-AL"/>
        </w:rPr>
        <w:t>r 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38E9">
        <w:rPr>
          <w:rFonts w:ascii="Times New Roman" w:hAnsi="Times New Roman"/>
          <w:sz w:val="24"/>
          <w:szCs w:val="24"/>
          <w:lang w:val="sq-AL"/>
        </w:rPr>
        <w:t>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38E9">
        <w:rPr>
          <w:rFonts w:ascii="Times New Roman" w:hAnsi="Times New Roman"/>
          <w:sz w:val="24"/>
          <w:szCs w:val="24"/>
          <w:lang w:val="sq-AL"/>
        </w:rPr>
        <w:t xml:space="preserve"> arsye, ka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38E9">
        <w:rPr>
          <w:rFonts w:ascii="Times New Roman" w:hAnsi="Times New Roman"/>
          <w:sz w:val="24"/>
          <w:szCs w:val="24"/>
          <w:lang w:val="sq-AL"/>
        </w:rPr>
        <w:t xml:space="preserve"> shkelje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38E9">
        <w:rPr>
          <w:rFonts w:ascii="Times New Roman" w:hAnsi="Times New Roman"/>
          <w:sz w:val="24"/>
          <w:szCs w:val="24"/>
          <w:lang w:val="sq-AL"/>
        </w:rPr>
        <w:t xml:space="preserve"> Nenit 13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38E9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38E9">
        <w:rPr>
          <w:rFonts w:ascii="Times New Roman" w:hAnsi="Times New Roman"/>
          <w:sz w:val="24"/>
          <w:szCs w:val="24"/>
          <w:lang w:val="sq-AL"/>
        </w:rPr>
        <w:t xml:space="preserve">s (shiko </w:t>
      </w:r>
      <w:r w:rsidR="005D38E9" w:rsidRPr="000D0BAA">
        <w:rPr>
          <w:rFonts w:ascii="Times New Roman" w:hAnsi="Times New Roman"/>
          <w:i/>
          <w:sz w:val="24"/>
          <w:szCs w:val="24"/>
          <w:lang w:val="sq-AL"/>
        </w:rPr>
        <w:t>Manushaqe Puto dhe t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 w:rsidR="005D38E9" w:rsidRPr="000D0BAA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 w:rsidR="005D38E9" w:rsidRPr="000D0BAA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 w:rsidR="005D38E9" w:rsidRPr="000D0BAA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 w:rsidR="005D38E9" w:rsidRPr="000D0BAA">
        <w:rPr>
          <w:rFonts w:ascii="Times New Roman" w:hAnsi="Times New Roman"/>
          <w:i/>
          <w:sz w:val="24"/>
          <w:szCs w:val="24"/>
          <w:lang w:val="sq-AL"/>
        </w:rPr>
        <w:t>ris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 w:rsidR="005D38E9" w:rsidRPr="000D0BAA">
        <w:rPr>
          <w:rFonts w:ascii="Times New Roman" w:hAnsi="Times New Roman"/>
          <w:sz w:val="24"/>
          <w:szCs w:val="24"/>
          <w:lang w:val="sq-AL"/>
        </w:rPr>
        <w:t>, cituar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38E9" w:rsidRPr="000D0BAA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D38E9" w:rsidRPr="000D0BAA">
        <w:rPr>
          <w:rFonts w:ascii="Times New Roman" w:hAnsi="Times New Roman"/>
          <w:sz w:val="24"/>
          <w:szCs w:val="24"/>
          <w:lang w:val="sq-AL"/>
        </w:rPr>
        <w:t xml:space="preserve">r). </w:t>
      </w:r>
    </w:p>
    <w:p w:rsidR="005D38E9" w:rsidRPr="000D0BAA" w:rsidRDefault="005D38E9" w:rsidP="005D38E9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D38E9" w:rsidRPr="000D0BAA" w:rsidRDefault="001D10DD" w:rsidP="005D38E9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D0BAA">
        <w:rPr>
          <w:rFonts w:ascii="Times New Roman" w:hAnsi="Times New Roman"/>
          <w:sz w:val="24"/>
          <w:szCs w:val="24"/>
          <w:lang w:val="sq-AL"/>
        </w:rPr>
        <w:t>ZBATIMI I NENIT 41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0D0BAA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0D0BAA">
        <w:rPr>
          <w:rFonts w:ascii="Times New Roman" w:hAnsi="Times New Roman"/>
          <w:sz w:val="24"/>
          <w:szCs w:val="24"/>
          <w:lang w:val="sq-AL"/>
        </w:rPr>
        <w:t>S</w:t>
      </w:r>
    </w:p>
    <w:p w:rsidR="001D10DD" w:rsidRPr="000D0BAA" w:rsidRDefault="001D10DD" w:rsidP="001D10D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D10DD" w:rsidRPr="000D0BAA" w:rsidRDefault="001D10DD" w:rsidP="001D10D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D0BAA">
        <w:rPr>
          <w:rFonts w:ascii="Times New Roman" w:hAnsi="Times New Roman"/>
          <w:sz w:val="24"/>
          <w:szCs w:val="24"/>
          <w:lang w:val="sq-AL"/>
        </w:rPr>
        <w:t>Neni 41 i Konvent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0D0BAA">
        <w:rPr>
          <w:rFonts w:ascii="Times New Roman" w:hAnsi="Times New Roman"/>
          <w:sz w:val="24"/>
          <w:szCs w:val="24"/>
          <w:lang w:val="sq-AL"/>
        </w:rPr>
        <w:t xml:space="preserve">s parashikon: </w:t>
      </w:r>
    </w:p>
    <w:p w:rsidR="001D10DD" w:rsidRPr="000D0BAA" w:rsidRDefault="001D10DD" w:rsidP="001D10DD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D10DD" w:rsidRPr="000D0BAA" w:rsidRDefault="001D10DD" w:rsidP="001D10DD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0D0BAA">
        <w:rPr>
          <w:rFonts w:ascii="Times New Roman" w:hAnsi="Times New Roman"/>
          <w:sz w:val="24"/>
          <w:szCs w:val="24"/>
          <w:lang w:val="sq-AL"/>
        </w:rPr>
        <w:t>“</w:t>
      </w:r>
      <w:r w:rsidR="007079FF" w:rsidRPr="00294210">
        <w:rPr>
          <w:rFonts w:ascii="Times New Roman" w:hAnsi="Times New Roman"/>
          <w:sz w:val="20"/>
          <w:szCs w:val="20"/>
          <w:lang w:val="sq-AL"/>
        </w:rPr>
        <w:t>Kur Gjykata konstaton se ka pasur një shkelje të Konventës ose të protokolleve të saj, dhe nëse e drejta e brendshme e Palës së Lartë Kontraktuese lejon të bëhet vetëm një ndreqje e pjesshme, Gjykata, kur është e nevojshme, i akordon shpërblim të drejtë palës së dëmtuar.</w:t>
      </w:r>
      <w:r w:rsidRPr="007079FF">
        <w:rPr>
          <w:rFonts w:ascii="Times New Roman" w:hAnsi="Times New Roman"/>
          <w:sz w:val="20"/>
          <w:szCs w:val="20"/>
          <w:lang w:val="sq-AL"/>
        </w:rPr>
        <w:t>”</w:t>
      </w:r>
    </w:p>
    <w:p w:rsidR="001D10DD" w:rsidRPr="000D0BAA" w:rsidRDefault="001D10DD" w:rsidP="001D10DD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D10DD" w:rsidRPr="000D0BAA" w:rsidRDefault="001D10DD" w:rsidP="001D10DD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D0BAA">
        <w:rPr>
          <w:rFonts w:ascii="Times New Roman" w:hAnsi="Times New Roman"/>
          <w:b/>
          <w:sz w:val="24"/>
          <w:szCs w:val="24"/>
          <w:lang w:val="sq-AL"/>
        </w:rPr>
        <w:t>D</w:t>
      </w:r>
      <w:r w:rsidR="00011DEC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0D0BAA">
        <w:rPr>
          <w:rFonts w:ascii="Times New Roman" w:hAnsi="Times New Roman"/>
          <w:b/>
          <w:sz w:val="24"/>
          <w:szCs w:val="24"/>
          <w:lang w:val="sq-AL"/>
        </w:rPr>
        <w:t>MI</w:t>
      </w:r>
    </w:p>
    <w:p w:rsidR="001D10DD" w:rsidRPr="000D0BAA" w:rsidRDefault="001D10DD" w:rsidP="001D10DD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1D10DD" w:rsidRDefault="000D0BAA" w:rsidP="000D0BA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D0BAA">
        <w:rPr>
          <w:rFonts w:ascii="Times New Roman" w:hAnsi="Times New Roman"/>
          <w:sz w:val="24"/>
          <w:szCs w:val="24"/>
          <w:lang w:val="sq-AL"/>
        </w:rPr>
        <w:t xml:space="preserve">Ankuesi dhe </w:t>
      </w:r>
      <w:r w:rsidR="007079FF" w:rsidRPr="000D0BAA">
        <w:rPr>
          <w:rFonts w:ascii="Times New Roman" w:hAnsi="Times New Roman"/>
          <w:sz w:val="24"/>
          <w:szCs w:val="24"/>
          <w:lang w:val="sq-AL"/>
        </w:rPr>
        <w:t>trash</w:t>
      </w:r>
      <w:r w:rsidR="007079FF">
        <w:rPr>
          <w:rFonts w:ascii="Times New Roman" w:hAnsi="Times New Roman"/>
          <w:sz w:val="24"/>
          <w:szCs w:val="24"/>
          <w:lang w:val="sq-AL"/>
        </w:rPr>
        <w:t>ë</w:t>
      </w:r>
      <w:r w:rsidR="007079FF" w:rsidRPr="000D0BAA">
        <w:rPr>
          <w:rFonts w:ascii="Times New Roman" w:hAnsi="Times New Roman"/>
          <w:sz w:val="24"/>
          <w:szCs w:val="24"/>
          <w:lang w:val="sq-AL"/>
        </w:rPr>
        <w:t>gimtar</w:t>
      </w:r>
      <w:r w:rsidR="007079FF">
        <w:rPr>
          <w:rFonts w:ascii="Times New Roman" w:hAnsi="Times New Roman"/>
          <w:sz w:val="24"/>
          <w:szCs w:val="24"/>
          <w:lang w:val="sq-AL"/>
        </w:rPr>
        <w:t>ë</w:t>
      </w:r>
      <w:r w:rsidR="007079FF" w:rsidRPr="000D0BAA">
        <w:rPr>
          <w:rFonts w:ascii="Times New Roman" w:hAnsi="Times New Roman"/>
          <w:sz w:val="24"/>
          <w:szCs w:val="24"/>
          <w:lang w:val="sq-AL"/>
        </w:rPr>
        <w:t>t</w:t>
      </w:r>
      <w:r w:rsidRPr="000D0BAA">
        <w:rPr>
          <w:rFonts w:ascii="Times New Roman" w:hAnsi="Times New Roman"/>
          <w:sz w:val="24"/>
          <w:szCs w:val="24"/>
          <w:lang w:val="sq-AL"/>
        </w:rPr>
        <w:t xml:space="preserve"> e tjer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0D0BAA">
        <w:rPr>
          <w:rFonts w:ascii="Times New Roman" w:hAnsi="Times New Roman"/>
          <w:sz w:val="24"/>
          <w:szCs w:val="24"/>
          <w:lang w:val="sq-AL"/>
        </w:rPr>
        <w:t xml:space="preserve"> (k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0D0BAA">
        <w:rPr>
          <w:rFonts w:ascii="Times New Roman" w:hAnsi="Times New Roman"/>
          <w:sz w:val="24"/>
          <w:szCs w:val="24"/>
          <w:lang w:val="sq-AL"/>
        </w:rPr>
        <w:t>ta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0D0BAA">
        <w:rPr>
          <w:rFonts w:ascii="Times New Roman" w:hAnsi="Times New Roman"/>
          <w:sz w:val="24"/>
          <w:szCs w:val="24"/>
          <w:lang w:val="sq-AL"/>
        </w:rPr>
        <w:t xml:space="preserve"> fundit nuk jan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0D0BAA">
        <w:rPr>
          <w:rFonts w:ascii="Times New Roman" w:hAnsi="Times New Roman"/>
          <w:sz w:val="24"/>
          <w:szCs w:val="24"/>
          <w:lang w:val="sq-AL"/>
        </w:rPr>
        <w:t xml:space="preserve"> ankues) u bazuan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0D0BAA">
        <w:rPr>
          <w:rFonts w:ascii="Times New Roman" w:hAnsi="Times New Roman"/>
          <w:sz w:val="24"/>
          <w:szCs w:val="24"/>
          <w:lang w:val="sq-AL"/>
        </w:rPr>
        <w:t xml:space="preserve"> raportin vler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0D0BAA">
        <w:rPr>
          <w:rFonts w:ascii="Times New Roman" w:hAnsi="Times New Roman"/>
          <w:sz w:val="24"/>
          <w:szCs w:val="24"/>
          <w:lang w:val="sq-AL"/>
        </w:rPr>
        <w:t>sues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0D0BAA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0D0BAA">
        <w:rPr>
          <w:rFonts w:ascii="Times New Roman" w:hAnsi="Times New Roman"/>
          <w:sz w:val="24"/>
          <w:szCs w:val="24"/>
          <w:lang w:val="sq-AL"/>
        </w:rPr>
        <w:t xml:space="preserve"> eksperti ku 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0D0BAA">
        <w:rPr>
          <w:rFonts w:ascii="Times New Roman" w:hAnsi="Times New Roman"/>
          <w:sz w:val="24"/>
          <w:szCs w:val="24"/>
          <w:lang w:val="sq-AL"/>
        </w:rPr>
        <w:t>rkoheshin 2,937,000 euro (“EUR”)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0D0BAA">
        <w:rPr>
          <w:rFonts w:ascii="Times New Roman" w:hAnsi="Times New Roman"/>
          <w:sz w:val="24"/>
          <w:szCs w:val="24"/>
          <w:lang w:val="sq-AL"/>
        </w:rPr>
        <w:t>r d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0D0BAA">
        <w:rPr>
          <w:rFonts w:ascii="Times New Roman" w:hAnsi="Times New Roman"/>
          <w:sz w:val="24"/>
          <w:szCs w:val="24"/>
          <w:lang w:val="sq-AL"/>
        </w:rPr>
        <w:t>min monetar. Ky vler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0D0BAA">
        <w:rPr>
          <w:rFonts w:ascii="Times New Roman" w:hAnsi="Times New Roman"/>
          <w:sz w:val="24"/>
          <w:szCs w:val="24"/>
          <w:lang w:val="sq-AL"/>
        </w:rPr>
        <w:t>sim bazohej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0D0BAA">
        <w:rPr>
          <w:rFonts w:ascii="Times New Roman" w:hAnsi="Times New Roman"/>
          <w:sz w:val="24"/>
          <w:szCs w:val="24"/>
          <w:lang w:val="sq-AL"/>
        </w:rPr>
        <w:t xml:space="preserve"> vler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0D0BAA">
        <w:rPr>
          <w:rFonts w:ascii="Times New Roman" w:hAnsi="Times New Roman"/>
          <w:sz w:val="24"/>
          <w:szCs w:val="24"/>
          <w:lang w:val="sq-AL"/>
        </w:rPr>
        <w:t>n e truallit me sip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Pr="000D0BAA">
        <w:rPr>
          <w:rFonts w:ascii="Times New Roman" w:hAnsi="Times New Roman"/>
          <w:sz w:val="24"/>
          <w:szCs w:val="24"/>
          <w:lang w:val="sq-AL"/>
        </w:rPr>
        <w:t>rfaqe 18,500 m</w:t>
      </w:r>
      <w:r w:rsidRPr="000D0BAA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7079FF">
        <w:rPr>
          <w:rFonts w:ascii="Times New Roman" w:hAnsi="Times New Roman"/>
          <w:sz w:val="24"/>
          <w:szCs w:val="24"/>
          <w:vertAlign w:val="superscript"/>
          <w:lang w:val="sq-AL"/>
        </w:rPr>
        <w:t xml:space="preserve">, </w:t>
      </w:r>
      <w:r w:rsidR="007079FF">
        <w:rPr>
          <w:rFonts w:ascii="Times New Roman" w:hAnsi="Times New Roman"/>
          <w:sz w:val="24"/>
          <w:szCs w:val="24"/>
          <w:lang w:val="sq-AL"/>
        </w:rPr>
        <w:t>siç</w:t>
      </w:r>
      <w:r>
        <w:rPr>
          <w:rFonts w:ascii="Times New Roman" w:hAnsi="Times New Roman"/>
          <w:sz w:val="24"/>
          <w:szCs w:val="24"/>
          <w:vertAlign w:val="superscript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edhe pranohej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vendimin e par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Komisionit,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baz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11DEC">
        <w:rPr>
          <w:rFonts w:ascii="Times New Roman" w:hAnsi="Times New Roman"/>
          <w:sz w:val="24"/>
          <w:szCs w:val="24"/>
          <w:lang w:val="sq-AL"/>
        </w:rPr>
        <w:t>ç</w:t>
      </w:r>
      <w:r>
        <w:rPr>
          <w:rFonts w:ascii="Times New Roman" w:hAnsi="Times New Roman"/>
          <w:sz w:val="24"/>
          <w:szCs w:val="24"/>
          <w:lang w:val="sq-AL"/>
        </w:rPr>
        <w:t>mimit 21,593 lek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shqiptare (“T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GJITHA”)/m</w:t>
      </w:r>
      <w:r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>
        <w:rPr>
          <w:rFonts w:ascii="Times New Roman" w:hAnsi="Times New Roman"/>
          <w:sz w:val="24"/>
          <w:szCs w:val="24"/>
          <w:lang w:val="sq-AL"/>
        </w:rPr>
        <w:t xml:space="preserve"> si</w:t>
      </w:r>
      <w:r w:rsidR="00011DEC">
        <w:rPr>
          <w:rFonts w:ascii="Times New Roman" w:hAnsi="Times New Roman"/>
          <w:sz w:val="24"/>
          <w:szCs w:val="24"/>
          <w:lang w:val="sq-AL"/>
        </w:rPr>
        <w:t>ç</w:t>
      </w:r>
      <w:r>
        <w:rPr>
          <w:rFonts w:ascii="Times New Roman" w:hAnsi="Times New Roman"/>
          <w:sz w:val="24"/>
          <w:szCs w:val="24"/>
          <w:lang w:val="sq-AL"/>
        </w:rPr>
        <w:t xml:space="preserve"> parashikohet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vendimin e 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shillit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Ministrave (“VKM”) nr. 139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13 Shkurt 2008. Nuk u b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asnj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rkes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specifike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pjes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e pron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ankuesit.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tej ankuesi nuk b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ri asnj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rkes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pjes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e tij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truallin e kat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rt. Ai nuk paraqiti ndonj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rkes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d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min jo monetar. </w:t>
      </w:r>
    </w:p>
    <w:p w:rsidR="000D0BAA" w:rsidRDefault="000D0BAA" w:rsidP="000D0BA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Qeveria parashtroi se </w:t>
      </w:r>
      <w:r w:rsidRPr="000D0BAA">
        <w:rPr>
          <w:rFonts w:ascii="Times New Roman" w:hAnsi="Times New Roman"/>
          <w:sz w:val="24"/>
          <w:szCs w:val="24"/>
          <w:lang w:val="sq-AL"/>
        </w:rPr>
        <w:t>vlera</w:t>
      </w:r>
      <w:r>
        <w:rPr>
          <w:rFonts w:ascii="Times New Roman" w:hAnsi="Times New Roman"/>
          <w:sz w:val="24"/>
          <w:szCs w:val="24"/>
          <w:lang w:val="sq-AL"/>
        </w:rPr>
        <w:t xml:space="preserve"> e tregut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ishte 22,996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GJITHA/m</w:t>
      </w:r>
      <w:r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>
        <w:rPr>
          <w:rFonts w:ascii="Times New Roman" w:hAnsi="Times New Roman"/>
          <w:sz w:val="24"/>
          <w:szCs w:val="24"/>
          <w:lang w:val="sq-AL"/>
        </w:rPr>
        <w:t xml:space="preserve"> bazuar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VKM nr. 139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13 Shkurt 2008,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rdit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suar nga VKM nr. 1620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26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ntor 2008. </w:t>
      </w:r>
    </w:p>
    <w:p w:rsidR="00596618" w:rsidRDefault="00C44879" w:rsidP="000D0BA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natyr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7079FF">
        <w:rPr>
          <w:rFonts w:ascii="Times New Roman" w:hAnsi="Times New Roman"/>
          <w:sz w:val="24"/>
          <w:szCs w:val="24"/>
          <w:lang w:val="sq-AL"/>
        </w:rPr>
        <w:t>n</w:t>
      </w:r>
      <w:r>
        <w:rPr>
          <w:rFonts w:ascii="Times New Roman" w:hAnsi="Times New Roman"/>
          <w:sz w:val="24"/>
          <w:szCs w:val="24"/>
          <w:lang w:val="sq-AL"/>
        </w:rPr>
        <w:t xml:space="preserve"> e paefektshme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sistemit aktual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kompensimit dhe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sa i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rket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ve</w:t>
      </w:r>
      <w:r w:rsidR="00011DEC">
        <w:rPr>
          <w:rFonts w:ascii="Times New Roman" w:hAnsi="Times New Roman"/>
          <w:sz w:val="24"/>
          <w:szCs w:val="24"/>
          <w:lang w:val="sq-AL"/>
        </w:rPr>
        <w:t>ç</w:t>
      </w:r>
      <w:r>
        <w:rPr>
          <w:rFonts w:ascii="Times New Roman" w:hAnsi="Times New Roman"/>
          <w:sz w:val="24"/>
          <w:szCs w:val="24"/>
          <w:lang w:val="sq-AL"/>
        </w:rPr>
        <w:t>anti faktit se tashm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kan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kaluar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shum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se 19 </w:t>
      </w:r>
      <w:r w:rsidR="007079FF">
        <w:rPr>
          <w:rFonts w:ascii="Times New Roman" w:hAnsi="Times New Roman"/>
          <w:sz w:val="24"/>
          <w:szCs w:val="24"/>
          <w:lang w:val="sq-AL"/>
        </w:rPr>
        <w:t>vjet</w:t>
      </w:r>
      <w:r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nga koha kur ankuesit iu akordua kompensim, Gjykata, pa paragjykuar zhvillimet e mundshme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ardhmen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rcaktimin e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mekanizmi efikas kompensimi, e gjykon si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arsyeshme q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596618" w:rsidRDefault="00596618" w:rsidP="00596618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96618" w:rsidRDefault="00596618" w:rsidP="00596618">
      <w:pPr>
        <w:pStyle w:val="JuPara"/>
        <w:spacing w:line="276" w:lineRule="auto"/>
        <w:ind w:firstLine="0"/>
        <w:jc w:val="center"/>
        <w:rPr>
          <w:sz w:val="16"/>
          <w:szCs w:val="16"/>
          <w:lang w:val="sq-AL"/>
        </w:rPr>
      </w:pPr>
      <w:r w:rsidRPr="00596618">
        <w:rPr>
          <w:sz w:val="16"/>
          <w:szCs w:val="16"/>
          <w:lang w:val="sq-AL"/>
        </w:rPr>
        <w:lastRenderedPageBreak/>
        <w:t>VENDIMI LULI KUNDËR SHQIPËRISË</w:t>
      </w:r>
    </w:p>
    <w:p w:rsidR="00596618" w:rsidRDefault="00596618" w:rsidP="00596618">
      <w:pPr>
        <w:pStyle w:val="JuPara"/>
        <w:spacing w:line="276" w:lineRule="auto"/>
        <w:ind w:firstLine="0"/>
        <w:jc w:val="center"/>
        <w:rPr>
          <w:szCs w:val="24"/>
          <w:lang w:val="sq-AL"/>
        </w:rPr>
      </w:pPr>
    </w:p>
    <w:p w:rsidR="000D0BAA" w:rsidRPr="00596618" w:rsidRDefault="00C44879" w:rsidP="00596618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596618">
        <w:rPr>
          <w:rFonts w:ascii="Times New Roman" w:hAnsi="Times New Roman"/>
          <w:sz w:val="24"/>
          <w:szCs w:val="24"/>
          <w:lang w:val="sq-AL"/>
        </w:rPr>
        <w:t>ankuesit t’i jepet nj</w:t>
      </w:r>
      <w:r w:rsidR="00011DEC" w:rsidRPr="00596618">
        <w:rPr>
          <w:rFonts w:ascii="Times New Roman" w:hAnsi="Times New Roman"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sz w:val="24"/>
          <w:szCs w:val="24"/>
          <w:lang w:val="sq-AL"/>
        </w:rPr>
        <w:t xml:space="preserve"> shum</w:t>
      </w:r>
      <w:r w:rsidR="00011DEC" w:rsidRPr="00596618">
        <w:rPr>
          <w:rFonts w:ascii="Times New Roman" w:hAnsi="Times New Roman"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sz w:val="24"/>
          <w:szCs w:val="24"/>
          <w:lang w:val="sq-AL"/>
        </w:rPr>
        <w:t xml:space="preserve"> e cila do t</w:t>
      </w:r>
      <w:r w:rsidR="00011DEC" w:rsidRPr="00596618">
        <w:rPr>
          <w:rFonts w:ascii="Times New Roman" w:hAnsi="Times New Roman"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011DEC" w:rsidRPr="00596618">
        <w:rPr>
          <w:rFonts w:ascii="Times New Roman" w:hAnsi="Times New Roman"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sz w:val="24"/>
          <w:szCs w:val="24"/>
          <w:lang w:val="sq-AL"/>
        </w:rPr>
        <w:t>rfaq</w:t>
      </w:r>
      <w:r w:rsidR="00011DEC" w:rsidRPr="00596618">
        <w:rPr>
          <w:rFonts w:ascii="Times New Roman" w:hAnsi="Times New Roman"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sz w:val="24"/>
          <w:szCs w:val="24"/>
          <w:lang w:val="sq-AL"/>
        </w:rPr>
        <w:t>sonte nj</w:t>
      </w:r>
      <w:r w:rsidR="00011DEC" w:rsidRPr="00596618">
        <w:rPr>
          <w:rFonts w:ascii="Times New Roman" w:hAnsi="Times New Roman"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sz w:val="24"/>
          <w:szCs w:val="24"/>
          <w:lang w:val="sq-AL"/>
        </w:rPr>
        <w:t xml:space="preserve"> zgjidhje p</w:t>
      </w:r>
      <w:r w:rsidR="00011DEC" w:rsidRPr="00596618">
        <w:rPr>
          <w:rFonts w:ascii="Times New Roman" w:hAnsi="Times New Roman"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sz w:val="24"/>
          <w:szCs w:val="24"/>
          <w:lang w:val="sq-AL"/>
        </w:rPr>
        <w:t>rfundimtare dhe shteruese t</w:t>
      </w:r>
      <w:r w:rsidR="00011DEC" w:rsidRPr="00596618">
        <w:rPr>
          <w:rFonts w:ascii="Times New Roman" w:hAnsi="Times New Roman"/>
          <w:sz w:val="24"/>
          <w:szCs w:val="24"/>
          <w:lang w:val="sq-AL"/>
        </w:rPr>
        <w:t>ë</w:t>
      </w:r>
      <w:r w:rsidRPr="00596618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11DEC" w:rsidRPr="00596618">
        <w:rPr>
          <w:rFonts w:ascii="Times New Roman" w:hAnsi="Times New Roman"/>
          <w:sz w:val="24"/>
          <w:szCs w:val="24"/>
          <w:lang w:val="sq-AL"/>
        </w:rPr>
        <w:t>çë</w:t>
      </w:r>
      <w:r w:rsidRPr="00596618">
        <w:rPr>
          <w:rFonts w:ascii="Times New Roman" w:hAnsi="Times New Roman"/>
          <w:sz w:val="24"/>
          <w:szCs w:val="24"/>
          <w:lang w:val="sq-AL"/>
        </w:rPr>
        <w:t>shtjes p</w:t>
      </w:r>
      <w:r w:rsidR="007079FF" w:rsidRPr="00596618">
        <w:rPr>
          <w:rFonts w:ascii="Times New Roman" w:hAnsi="Times New Roman"/>
          <w:sz w:val="24"/>
          <w:szCs w:val="24"/>
          <w:lang w:val="sq-AL"/>
        </w:rPr>
        <w:t>ërp</w:t>
      </w:r>
      <w:r w:rsidRPr="00596618">
        <w:rPr>
          <w:rFonts w:ascii="Times New Roman" w:hAnsi="Times New Roman"/>
          <w:sz w:val="24"/>
          <w:szCs w:val="24"/>
          <w:lang w:val="sq-AL"/>
        </w:rPr>
        <w:t>ara saj.</w:t>
      </w:r>
    </w:p>
    <w:p w:rsidR="00C44879" w:rsidRDefault="00C44879" w:rsidP="000D0BA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Gjykata kujton gjetjet e saj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11DEC">
        <w:rPr>
          <w:rFonts w:ascii="Times New Roman" w:hAnsi="Times New Roman"/>
          <w:sz w:val="24"/>
          <w:szCs w:val="24"/>
          <w:lang w:val="sq-AL"/>
        </w:rPr>
        <w:t>çë</w:t>
      </w:r>
      <w:r>
        <w:rPr>
          <w:rFonts w:ascii="Times New Roman" w:hAnsi="Times New Roman"/>
          <w:sz w:val="24"/>
          <w:szCs w:val="24"/>
          <w:lang w:val="sq-AL"/>
        </w:rPr>
        <w:t xml:space="preserve">shtjen </w:t>
      </w:r>
      <w:r>
        <w:rPr>
          <w:rFonts w:ascii="Times New Roman" w:hAnsi="Times New Roman"/>
          <w:i/>
          <w:sz w:val="24"/>
          <w:szCs w:val="24"/>
          <w:lang w:val="sq-AL"/>
        </w:rPr>
        <w:t>Vrioni dhe t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ris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(shlyerje e drejt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), nr. 35720/04 dhe 42832/06, §§ 33-39, 7 Dhjetor 2010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metod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e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rllogaritjes 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mit monetar. Gjykata do ta bazoj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rllogaritjen e saj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mit monetar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hartat e vler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simit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s,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miratuara nga Qeveria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vitin 2008 (shiko gjithashtu </w:t>
      </w:r>
      <w:r w:rsidR="004F4B60">
        <w:rPr>
          <w:rFonts w:ascii="Times New Roman" w:hAnsi="Times New Roman"/>
          <w:i/>
          <w:sz w:val="24"/>
          <w:szCs w:val="24"/>
          <w:lang w:val="sq-AL"/>
        </w:rPr>
        <w:t>Manushaqe Puto dhe t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 w:rsidR="004F4B60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 w:rsidR="004F4B60">
        <w:rPr>
          <w:rFonts w:ascii="Times New Roman" w:hAnsi="Times New Roman"/>
          <w:i/>
          <w:sz w:val="24"/>
          <w:szCs w:val="24"/>
          <w:lang w:val="sq-AL"/>
        </w:rPr>
        <w:t xml:space="preserve">t, </w:t>
      </w:r>
      <w:r w:rsidR="004F4B60">
        <w:rPr>
          <w:rFonts w:ascii="Times New Roman" w:hAnsi="Times New Roman"/>
          <w:sz w:val="24"/>
          <w:szCs w:val="24"/>
          <w:lang w:val="sq-AL"/>
        </w:rPr>
        <w:t>cituar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F4B60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F4B60">
        <w:rPr>
          <w:rFonts w:ascii="Times New Roman" w:hAnsi="Times New Roman"/>
          <w:sz w:val="24"/>
          <w:szCs w:val="24"/>
          <w:lang w:val="sq-AL"/>
        </w:rPr>
        <w:t>r, § 125</w:t>
      </w:r>
      <w:r>
        <w:rPr>
          <w:rFonts w:ascii="Times New Roman" w:hAnsi="Times New Roman"/>
          <w:sz w:val="24"/>
          <w:szCs w:val="24"/>
          <w:lang w:val="sq-AL"/>
        </w:rPr>
        <w:t>)</w:t>
      </w:r>
      <w:r w:rsidR="004F4B60">
        <w:rPr>
          <w:rFonts w:ascii="Times New Roman" w:hAnsi="Times New Roman"/>
          <w:sz w:val="24"/>
          <w:szCs w:val="24"/>
          <w:lang w:val="sq-AL"/>
        </w:rPr>
        <w:t>, duke qen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F4B60">
        <w:rPr>
          <w:rFonts w:ascii="Times New Roman" w:hAnsi="Times New Roman"/>
          <w:sz w:val="24"/>
          <w:szCs w:val="24"/>
          <w:lang w:val="sq-AL"/>
        </w:rPr>
        <w:t xml:space="preserve"> se Qeveria nuk i besonte hartave aktuale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F4B60">
        <w:rPr>
          <w:rFonts w:ascii="Times New Roman" w:hAnsi="Times New Roman"/>
          <w:sz w:val="24"/>
          <w:szCs w:val="24"/>
          <w:lang w:val="sq-AL"/>
        </w:rPr>
        <w:t xml:space="preserve"> vler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F4B60">
        <w:rPr>
          <w:rFonts w:ascii="Times New Roman" w:hAnsi="Times New Roman"/>
          <w:sz w:val="24"/>
          <w:szCs w:val="24"/>
          <w:lang w:val="sq-AL"/>
        </w:rPr>
        <w:t>simit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F4B60"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F4B60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4F4B60" w:rsidRDefault="001330EA" w:rsidP="000D0BA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Duke pasur parasysh parashtrimet e</w:t>
      </w:r>
      <w:r w:rsidR="004F4B60">
        <w:rPr>
          <w:rFonts w:ascii="Times New Roman" w:hAnsi="Times New Roman"/>
          <w:sz w:val="24"/>
          <w:szCs w:val="24"/>
          <w:lang w:val="sq-AL"/>
        </w:rPr>
        <w:t xml:space="preserve"> pal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F4B60">
        <w:rPr>
          <w:rFonts w:ascii="Times New Roman" w:hAnsi="Times New Roman"/>
          <w:sz w:val="24"/>
          <w:szCs w:val="24"/>
          <w:lang w:val="sq-AL"/>
        </w:rPr>
        <w:t>ve dhe materialit q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F4B60">
        <w:rPr>
          <w:rFonts w:ascii="Times New Roman" w:hAnsi="Times New Roman"/>
          <w:sz w:val="24"/>
          <w:szCs w:val="24"/>
          <w:lang w:val="sq-AL"/>
        </w:rPr>
        <w:t xml:space="preserve"> Gjykata kishte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F4B60">
        <w:rPr>
          <w:rFonts w:ascii="Times New Roman" w:hAnsi="Times New Roman"/>
          <w:sz w:val="24"/>
          <w:szCs w:val="24"/>
          <w:lang w:val="sq-AL"/>
        </w:rPr>
        <w:t xml:space="preserve"> dor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F4B60">
        <w:rPr>
          <w:rFonts w:ascii="Times New Roman" w:hAnsi="Times New Roman"/>
          <w:sz w:val="24"/>
          <w:szCs w:val="24"/>
          <w:lang w:val="sq-AL"/>
        </w:rPr>
        <w:t>, kjo e fundit e gjykon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F4B60">
        <w:rPr>
          <w:rFonts w:ascii="Times New Roman" w:hAnsi="Times New Roman"/>
          <w:sz w:val="24"/>
          <w:szCs w:val="24"/>
          <w:lang w:val="sq-AL"/>
        </w:rPr>
        <w:t xml:space="preserve"> arsyeshme t’i akordoj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F4B60">
        <w:rPr>
          <w:rFonts w:ascii="Times New Roman" w:hAnsi="Times New Roman"/>
          <w:sz w:val="24"/>
          <w:szCs w:val="24"/>
          <w:lang w:val="sq-AL"/>
        </w:rPr>
        <w:t xml:space="preserve"> ankuesit EUR 27,000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F4B60">
        <w:rPr>
          <w:rFonts w:ascii="Times New Roman" w:hAnsi="Times New Roman"/>
          <w:sz w:val="24"/>
          <w:szCs w:val="24"/>
          <w:lang w:val="sq-AL"/>
        </w:rPr>
        <w:t>n lidhje me d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F4B60">
        <w:rPr>
          <w:rFonts w:ascii="Times New Roman" w:hAnsi="Times New Roman"/>
          <w:sz w:val="24"/>
          <w:szCs w:val="24"/>
          <w:lang w:val="sq-AL"/>
        </w:rPr>
        <w:t>min monetar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F4B60">
        <w:rPr>
          <w:rFonts w:ascii="Times New Roman" w:hAnsi="Times New Roman"/>
          <w:sz w:val="24"/>
          <w:szCs w:val="24"/>
          <w:lang w:val="sq-AL"/>
        </w:rPr>
        <w:t xml:space="preserve"> truajve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F4B60">
        <w:rPr>
          <w:rFonts w:ascii="Times New Roman" w:hAnsi="Times New Roman"/>
          <w:sz w:val="24"/>
          <w:szCs w:val="24"/>
          <w:lang w:val="sq-AL"/>
        </w:rPr>
        <w:t xml:space="preserve"> par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F4B60">
        <w:rPr>
          <w:rFonts w:ascii="Times New Roman" w:hAnsi="Times New Roman"/>
          <w:sz w:val="24"/>
          <w:szCs w:val="24"/>
          <w:lang w:val="sq-AL"/>
        </w:rPr>
        <w:t xml:space="preserve"> dhe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F4B60">
        <w:rPr>
          <w:rFonts w:ascii="Times New Roman" w:hAnsi="Times New Roman"/>
          <w:sz w:val="24"/>
          <w:szCs w:val="24"/>
          <w:lang w:val="sq-AL"/>
        </w:rPr>
        <w:t xml:space="preserve"> dyt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F4B60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ekuivalente</w:t>
      </w:r>
      <w:r w:rsidR="004F4B60">
        <w:rPr>
          <w:rFonts w:ascii="Times New Roman" w:hAnsi="Times New Roman"/>
          <w:sz w:val="24"/>
          <w:szCs w:val="24"/>
          <w:lang w:val="sq-AL"/>
        </w:rPr>
        <w:t xml:space="preserve"> me pjes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F4B60">
        <w:rPr>
          <w:rFonts w:ascii="Times New Roman" w:hAnsi="Times New Roman"/>
          <w:sz w:val="24"/>
          <w:szCs w:val="24"/>
          <w:lang w:val="sq-AL"/>
        </w:rPr>
        <w:t>n e tij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F4B60"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F4B60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4F4B60" w:rsidRDefault="004F4B60" w:rsidP="000D0BA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Gjithashtu, Gjykata gjykon se pavar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sisht munges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330EA">
        <w:rPr>
          <w:rFonts w:ascii="Times New Roman" w:hAnsi="Times New Roman"/>
          <w:sz w:val="24"/>
          <w:szCs w:val="24"/>
          <w:lang w:val="sq-AL"/>
        </w:rPr>
        <w:t>kërkesës</w:t>
      </w:r>
      <w:r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shlyerje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,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truallin e kat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rt, Qeveria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rgjegj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se duhet 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mundur pages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e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forme efikase kompensimi sipas vendimit vendas dhe pjes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ankuesit, brenda tre muajve ( shiko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 shembull 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Vukelić kund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r Malit t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Zi</w:t>
      </w:r>
      <w:r>
        <w:rPr>
          <w:rFonts w:ascii="Times New Roman" w:hAnsi="Times New Roman"/>
          <w:sz w:val="24"/>
          <w:szCs w:val="24"/>
          <w:lang w:val="sq-AL"/>
        </w:rPr>
        <w:t xml:space="preserve">, nr. 58258/09, § 107, 4 Korrik 2013; </w:t>
      </w:r>
      <w:r>
        <w:rPr>
          <w:rFonts w:ascii="Times New Roman" w:hAnsi="Times New Roman"/>
          <w:i/>
          <w:sz w:val="24"/>
          <w:szCs w:val="24"/>
          <w:lang w:val="sq-AL"/>
        </w:rPr>
        <w:t>Mikhaylova dhe t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r </w:t>
      </w:r>
      <w:r w:rsidR="001330EA">
        <w:rPr>
          <w:rFonts w:ascii="Times New Roman" w:hAnsi="Times New Roman"/>
          <w:i/>
          <w:sz w:val="24"/>
          <w:szCs w:val="24"/>
          <w:lang w:val="sq-AL"/>
        </w:rPr>
        <w:t>Ukrainës</w:t>
      </w:r>
      <w:r>
        <w:rPr>
          <w:rFonts w:ascii="Times New Roman" w:hAnsi="Times New Roman"/>
          <w:sz w:val="24"/>
          <w:szCs w:val="24"/>
          <w:lang w:val="sq-AL"/>
        </w:rPr>
        <w:t xml:space="preserve">, nr. 16475/02, § 40, 15 Qershor 2006; dhe </w:t>
      </w:r>
      <w:r>
        <w:rPr>
          <w:rFonts w:ascii="Times New Roman" w:hAnsi="Times New Roman"/>
          <w:i/>
          <w:sz w:val="24"/>
          <w:szCs w:val="24"/>
          <w:lang w:val="sq-AL"/>
        </w:rPr>
        <w:t>Lisyanskiy kund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r </w:t>
      </w:r>
      <w:r w:rsidR="001330EA">
        <w:rPr>
          <w:rFonts w:ascii="Times New Roman" w:hAnsi="Times New Roman"/>
          <w:i/>
          <w:sz w:val="24"/>
          <w:szCs w:val="24"/>
          <w:lang w:val="sq-AL"/>
        </w:rPr>
        <w:t>Ukrainës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, nr. 17899/02, </w:t>
      </w:r>
      <w:r>
        <w:rPr>
          <w:rFonts w:ascii="Times New Roman" w:hAnsi="Times New Roman"/>
          <w:sz w:val="24"/>
          <w:szCs w:val="24"/>
          <w:lang w:val="sq-AL"/>
        </w:rPr>
        <w:t xml:space="preserve">§ 34, 4 Prill 2006). </w:t>
      </w:r>
    </w:p>
    <w:p w:rsidR="004F4B60" w:rsidRDefault="004F4B60" w:rsidP="004F4B6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F4B60" w:rsidRDefault="004B5358" w:rsidP="004F4B60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Kamat</w:t>
      </w:r>
      <w:r w:rsidR="00011DEC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>vonesa</w:t>
      </w:r>
      <w:r w:rsidR="004F4B60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4B5358" w:rsidRPr="004B5358" w:rsidRDefault="004B5358" w:rsidP="004B535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Gjykata e konsideron me vend q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330EA">
        <w:rPr>
          <w:rFonts w:ascii="Times New Roman" w:hAnsi="Times New Roman"/>
          <w:sz w:val="24"/>
          <w:szCs w:val="24"/>
          <w:lang w:val="sq-AL"/>
        </w:rPr>
        <w:t>kamatëvonesa</w:t>
      </w:r>
      <w:r>
        <w:rPr>
          <w:rFonts w:ascii="Times New Roman" w:hAnsi="Times New Roman"/>
          <w:sz w:val="24"/>
          <w:szCs w:val="24"/>
          <w:lang w:val="sq-AL"/>
        </w:rPr>
        <w:t xml:space="preserve"> duhet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bazohet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norm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marzhinale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330EA">
        <w:rPr>
          <w:rFonts w:ascii="Times New Roman" w:hAnsi="Times New Roman"/>
          <w:sz w:val="24"/>
          <w:szCs w:val="24"/>
          <w:lang w:val="sq-AL"/>
        </w:rPr>
        <w:t>huadhënies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330EA">
        <w:rPr>
          <w:rFonts w:ascii="Times New Roman" w:hAnsi="Times New Roman"/>
          <w:sz w:val="24"/>
          <w:szCs w:val="24"/>
          <w:lang w:val="sq-AL"/>
        </w:rPr>
        <w:t>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Bank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Qendrore Europiane, 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i duhen shtuar pik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tre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rqind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she. </w:t>
      </w:r>
    </w:p>
    <w:p w:rsidR="004B5358" w:rsidRDefault="004B5358" w:rsidP="004B5358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B5358" w:rsidRDefault="004B5358" w:rsidP="004B5358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 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TO ARSYE, GJYKATA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NYR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UNANIME, </w:t>
      </w:r>
    </w:p>
    <w:p w:rsidR="004B5358" w:rsidRDefault="004B5358" w:rsidP="004B5358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B5358" w:rsidRPr="004B5358" w:rsidRDefault="004B5358" w:rsidP="004B5358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i/>
          <w:sz w:val="24"/>
          <w:szCs w:val="24"/>
          <w:lang w:val="sq-AL"/>
        </w:rPr>
      </w:pPr>
      <w:r>
        <w:rPr>
          <w:rFonts w:ascii="Times New Roman" w:hAnsi="Times New Roman"/>
          <w:i/>
          <w:sz w:val="24"/>
          <w:szCs w:val="24"/>
          <w:lang w:val="sq-AL"/>
        </w:rPr>
        <w:t>I deklaron</w:t>
      </w:r>
      <w:r>
        <w:rPr>
          <w:rFonts w:ascii="Times New Roman" w:hAnsi="Times New Roman"/>
          <w:sz w:val="24"/>
          <w:szCs w:val="24"/>
          <w:lang w:val="sq-AL"/>
        </w:rPr>
        <w:t xml:space="preserve"> d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met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Nenet 6 § 1 dhe 13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si edhe Nenin 1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Protokollit Nr. 1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moszbatimin e vendimeve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Komisionit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truajt me sip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rfaqe 966 m</w:t>
      </w:r>
      <w:r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>
        <w:rPr>
          <w:rFonts w:ascii="Times New Roman" w:hAnsi="Times New Roman"/>
          <w:sz w:val="24"/>
          <w:szCs w:val="24"/>
          <w:lang w:val="sq-AL"/>
        </w:rPr>
        <w:t xml:space="preserve"> dhe 2,900 m</w:t>
      </w:r>
      <w:r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pranueshme dhe pjes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tjet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ankimit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papranuesh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m; </w:t>
      </w:r>
    </w:p>
    <w:p w:rsidR="004B5358" w:rsidRPr="004B5358" w:rsidRDefault="004B5358" w:rsidP="004B5358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i/>
          <w:sz w:val="24"/>
          <w:szCs w:val="24"/>
          <w:lang w:val="sq-AL"/>
        </w:rPr>
      </w:pPr>
      <w:r>
        <w:rPr>
          <w:rFonts w:ascii="Times New Roman" w:hAnsi="Times New Roman"/>
          <w:i/>
          <w:sz w:val="24"/>
          <w:szCs w:val="24"/>
          <w:lang w:val="sq-AL"/>
        </w:rPr>
        <w:t xml:space="preserve">Vendos </w:t>
      </w:r>
      <w:r w:rsidR="001330EA">
        <w:rPr>
          <w:rFonts w:ascii="Times New Roman" w:hAnsi="Times New Roman"/>
          <w:sz w:val="24"/>
          <w:szCs w:val="24"/>
          <w:lang w:val="sq-AL"/>
        </w:rPr>
        <w:t>se ka pasur</w:t>
      </w:r>
      <w:r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shkelje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Neneve 6 § 1 dhe 13 si edhe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Nenit 1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Protokollit Nr. 1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s; </w:t>
      </w:r>
    </w:p>
    <w:p w:rsidR="004B5358" w:rsidRDefault="004B5358" w:rsidP="004B5358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i/>
          <w:sz w:val="24"/>
          <w:szCs w:val="24"/>
          <w:lang w:val="sq-AL"/>
        </w:rPr>
      </w:pPr>
      <w:r>
        <w:rPr>
          <w:rFonts w:ascii="Times New Roman" w:hAnsi="Times New Roman"/>
          <w:i/>
          <w:sz w:val="24"/>
          <w:szCs w:val="24"/>
          <w:lang w:val="sq-AL"/>
        </w:rPr>
        <w:t xml:space="preserve">Vendos </w:t>
      </w:r>
    </w:p>
    <w:p w:rsidR="00596618" w:rsidRDefault="001330EA" w:rsidP="004B5358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se </w:t>
      </w:r>
      <w:r w:rsidR="004B5358">
        <w:rPr>
          <w:rFonts w:ascii="Times New Roman" w:hAnsi="Times New Roman"/>
          <w:sz w:val="24"/>
          <w:szCs w:val="24"/>
          <w:lang w:val="sq-AL"/>
        </w:rPr>
        <w:t>Shteti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B5358">
        <w:rPr>
          <w:rFonts w:ascii="Times New Roman" w:hAnsi="Times New Roman"/>
          <w:sz w:val="24"/>
          <w:szCs w:val="24"/>
          <w:lang w:val="sq-AL"/>
        </w:rPr>
        <w:t>rgjegj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B5358">
        <w:rPr>
          <w:rFonts w:ascii="Times New Roman" w:hAnsi="Times New Roman"/>
          <w:sz w:val="24"/>
          <w:szCs w:val="24"/>
          <w:lang w:val="sq-AL"/>
        </w:rPr>
        <w:t>s duhet t’i paguaj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B5358">
        <w:rPr>
          <w:rFonts w:ascii="Times New Roman" w:hAnsi="Times New Roman"/>
          <w:sz w:val="24"/>
          <w:szCs w:val="24"/>
          <w:lang w:val="sq-AL"/>
        </w:rPr>
        <w:t xml:space="preserve"> ankuesit EUR 27,000 (nj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B5358">
        <w:rPr>
          <w:rFonts w:ascii="Times New Roman" w:hAnsi="Times New Roman"/>
          <w:sz w:val="24"/>
          <w:szCs w:val="24"/>
          <w:lang w:val="sq-AL"/>
        </w:rPr>
        <w:t>zet e shtat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B5358">
        <w:rPr>
          <w:rFonts w:ascii="Times New Roman" w:hAnsi="Times New Roman"/>
          <w:sz w:val="24"/>
          <w:szCs w:val="24"/>
          <w:lang w:val="sq-AL"/>
        </w:rPr>
        <w:t xml:space="preserve"> mij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B5358">
        <w:rPr>
          <w:rFonts w:ascii="Times New Roman" w:hAnsi="Times New Roman"/>
          <w:sz w:val="24"/>
          <w:szCs w:val="24"/>
          <w:lang w:val="sq-AL"/>
        </w:rPr>
        <w:t xml:space="preserve"> euro), brenda tre muajve, plus </w:t>
      </w:r>
      <w:r w:rsidR="00011DEC">
        <w:rPr>
          <w:rFonts w:ascii="Times New Roman" w:hAnsi="Times New Roman"/>
          <w:sz w:val="24"/>
          <w:szCs w:val="24"/>
          <w:lang w:val="sq-AL"/>
        </w:rPr>
        <w:t>ç</w:t>
      </w:r>
      <w:r w:rsidR="004B5358">
        <w:rPr>
          <w:rFonts w:ascii="Times New Roman" w:hAnsi="Times New Roman"/>
          <w:sz w:val="24"/>
          <w:szCs w:val="24"/>
          <w:lang w:val="sq-AL"/>
        </w:rPr>
        <w:t>do taks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B5358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B5358">
        <w:rPr>
          <w:rFonts w:ascii="Times New Roman" w:hAnsi="Times New Roman"/>
          <w:sz w:val="24"/>
          <w:szCs w:val="24"/>
          <w:lang w:val="sq-AL"/>
        </w:rPr>
        <w:t xml:space="preserve"> mund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B5358"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B5358">
        <w:rPr>
          <w:rFonts w:ascii="Times New Roman" w:hAnsi="Times New Roman"/>
          <w:sz w:val="24"/>
          <w:szCs w:val="24"/>
          <w:lang w:val="sq-AL"/>
        </w:rPr>
        <w:t xml:space="preserve"> e tarifueshme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B5358">
        <w:rPr>
          <w:rFonts w:ascii="Times New Roman" w:hAnsi="Times New Roman"/>
          <w:sz w:val="24"/>
          <w:szCs w:val="24"/>
          <w:lang w:val="sq-AL"/>
        </w:rPr>
        <w:t>r d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B5358">
        <w:rPr>
          <w:rFonts w:ascii="Times New Roman" w:hAnsi="Times New Roman"/>
          <w:sz w:val="24"/>
          <w:szCs w:val="24"/>
          <w:lang w:val="sq-AL"/>
        </w:rPr>
        <w:t>min monetar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B5358">
        <w:rPr>
          <w:rFonts w:ascii="Times New Roman" w:hAnsi="Times New Roman"/>
          <w:sz w:val="24"/>
          <w:szCs w:val="24"/>
          <w:lang w:val="sq-AL"/>
        </w:rPr>
        <w:t>r sa i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B5358">
        <w:rPr>
          <w:rFonts w:ascii="Times New Roman" w:hAnsi="Times New Roman"/>
          <w:sz w:val="24"/>
          <w:szCs w:val="24"/>
          <w:lang w:val="sq-AL"/>
        </w:rPr>
        <w:t>rket pjes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B5358">
        <w:rPr>
          <w:rFonts w:ascii="Times New Roman" w:hAnsi="Times New Roman"/>
          <w:sz w:val="24"/>
          <w:szCs w:val="24"/>
          <w:lang w:val="sq-AL"/>
        </w:rPr>
        <w:t>s 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B5358">
        <w:rPr>
          <w:rFonts w:ascii="Times New Roman" w:hAnsi="Times New Roman"/>
          <w:sz w:val="24"/>
          <w:szCs w:val="24"/>
          <w:lang w:val="sq-AL"/>
        </w:rPr>
        <w:t xml:space="preserve"> tij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B5358"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B5358">
        <w:rPr>
          <w:rFonts w:ascii="Times New Roman" w:hAnsi="Times New Roman"/>
          <w:sz w:val="24"/>
          <w:szCs w:val="24"/>
          <w:lang w:val="sq-AL"/>
        </w:rPr>
        <w:t>s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B5358">
        <w:rPr>
          <w:rFonts w:ascii="Times New Roman" w:hAnsi="Times New Roman"/>
          <w:sz w:val="24"/>
          <w:szCs w:val="24"/>
          <w:lang w:val="sq-AL"/>
        </w:rPr>
        <w:t xml:space="preserve"> truajet me sip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4B5358">
        <w:rPr>
          <w:rFonts w:ascii="Times New Roman" w:hAnsi="Times New Roman"/>
          <w:sz w:val="24"/>
          <w:szCs w:val="24"/>
          <w:lang w:val="sq-AL"/>
        </w:rPr>
        <w:t>rfaqe 966 m</w:t>
      </w:r>
      <w:r w:rsidR="004B5358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dhe 3,961 m</w:t>
      </w:r>
      <w:r w:rsidR="00555F41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555F41">
        <w:rPr>
          <w:rFonts w:ascii="Times New Roman" w:hAnsi="Times New Roman"/>
          <w:sz w:val="24"/>
          <w:szCs w:val="24"/>
          <w:lang w:val="sq-AL"/>
        </w:rPr>
        <w:t>,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596618" w:rsidRPr="00596618" w:rsidRDefault="00596618" w:rsidP="00596618">
      <w:pPr>
        <w:pStyle w:val="JuPara"/>
        <w:spacing w:line="276" w:lineRule="auto"/>
        <w:ind w:left="1080" w:firstLine="0"/>
        <w:jc w:val="center"/>
        <w:rPr>
          <w:sz w:val="16"/>
          <w:szCs w:val="16"/>
          <w:lang w:val="sq-AL"/>
        </w:rPr>
      </w:pPr>
      <w:r w:rsidRPr="00596618">
        <w:rPr>
          <w:sz w:val="16"/>
          <w:szCs w:val="16"/>
          <w:lang w:val="sq-AL"/>
        </w:rPr>
        <w:lastRenderedPageBreak/>
        <w:t>VENDIMI LULI KUNDËR SHQIPËRISË</w:t>
      </w:r>
    </w:p>
    <w:p w:rsidR="00596618" w:rsidRDefault="00596618" w:rsidP="00596618">
      <w:pPr>
        <w:spacing w:after="0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55F41" w:rsidRDefault="00555F41" w:rsidP="00596618">
      <w:pPr>
        <w:spacing w:after="0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konvertuara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monedh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e Shtetit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rgjegj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norm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e aplikueshme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n e zgjidhjes; </w:t>
      </w:r>
    </w:p>
    <w:p w:rsidR="00555F41" w:rsidRDefault="001330EA" w:rsidP="004B5358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s</w:t>
      </w:r>
      <w:r w:rsidR="00555F41">
        <w:rPr>
          <w:rFonts w:ascii="Times New Roman" w:hAnsi="Times New Roman"/>
          <w:sz w:val="24"/>
          <w:szCs w:val="24"/>
          <w:lang w:val="sq-AL"/>
        </w:rPr>
        <w:t>e Shteti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>rgjegj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>s duhet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siguroj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me an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>nyrave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duhura zbatimin e vendimit komb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>tar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dh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55F41">
        <w:rPr>
          <w:rFonts w:ascii="Times New Roman" w:hAnsi="Times New Roman"/>
          <w:sz w:val="24"/>
          <w:szCs w:val="24"/>
          <w:lang w:val="sq-AL"/>
        </w:rPr>
        <w:t>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favor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ankuesit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>r truallin me sip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>rfaqe 2,900 m</w:t>
      </w:r>
      <w:r w:rsidR="00555F41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>rputhje me pjes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>n e tij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tok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s, brenda tre muajve; </w:t>
      </w:r>
    </w:p>
    <w:p w:rsidR="00555F41" w:rsidRDefault="001330EA" w:rsidP="004B5358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s</w:t>
      </w:r>
      <w:r w:rsidR="00555F41">
        <w:rPr>
          <w:rFonts w:ascii="Times New Roman" w:hAnsi="Times New Roman"/>
          <w:sz w:val="24"/>
          <w:szCs w:val="24"/>
          <w:lang w:val="sq-AL"/>
        </w:rPr>
        <w:t>e q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nga momenti i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>rfundimit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periudh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>s 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>rp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rmendur prej tre </w:t>
      </w:r>
      <w:r>
        <w:rPr>
          <w:rFonts w:ascii="Times New Roman" w:hAnsi="Times New Roman"/>
          <w:sz w:val="24"/>
          <w:szCs w:val="24"/>
          <w:lang w:val="sq-AL"/>
        </w:rPr>
        <w:t>muajsh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deri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zgjidhje, interesi i thjesht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do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paguhet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shumat e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>sip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>rme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norm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barabart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me norm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>n marzhinale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huadh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>nies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Bank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>s Qendrore Europiane plus pik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 tre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>rqind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555F41">
        <w:rPr>
          <w:rFonts w:ascii="Times New Roman" w:hAnsi="Times New Roman"/>
          <w:sz w:val="24"/>
          <w:szCs w:val="24"/>
          <w:lang w:val="sq-AL"/>
        </w:rPr>
        <w:t xml:space="preserve">she; </w:t>
      </w:r>
    </w:p>
    <w:p w:rsidR="00555F41" w:rsidRDefault="00555F41" w:rsidP="00596618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i/>
          <w:sz w:val="24"/>
          <w:szCs w:val="24"/>
          <w:lang w:val="sq-AL"/>
        </w:rPr>
        <w:t>Hedh posht</w:t>
      </w:r>
      <w:r w:rsidR="00011DEC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pjes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e mbetur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rkes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ankuesit p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shlyerje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555F41" w:rsidRDefault="00555F41" w:rsidP="00555F41">
      <w:pPr>
        <w:spacing w:after="0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55F41" w:rsidRDefault="00555F41" w:rsidP="00555F41">
      <w:pPr>
        <w:spacing w:after="0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E hartuar n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anglisht dhe </w:t>
      </w:r>
      <w:r w:rsidR="001330EA">
        <w:rPr>
          <w:rFonts w:ascii="Times New Roman" w:hAnsi="Times New Roman"/>
          <w:sz w:val="24"/>
          <w:szCs w:val="24"/>
          <w:lang w:val="sq-AL"/>
        </w:rPr>
        <w:t>shpallur</w:t>
      </w:r>
      <w:r>
        <w:rPr>
          <w:rFonts w:ascii="Times New Roman" w:hAnsi="Times New Roman"/>
          <w:sz w:val="24"/>
          <w:szCs w:val="24"/>
          <w:lang w:val="sq-AL"/>
        </w:rPr>
        <w:t xml:space="preserve"> me shkrim m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15 Shtator 2015, sipas Rregullit 77 §§ 2 dhe 3 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 w:rsidR="006234F1">
        <w:rPr>
          <w:rFonts w:ascii="Times New Roman" w:hAnsi="Times New Roman"/>
          <w:sz w:val="24"/>
          <w:szCs w:val="24"/>
          <w:lang w:val="sq-AL"/>
        </w:rPr>
        <w:t xml:space="preserve"> Rregullores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34F1">
        <w:rPr>
          <w:rFonts w:ascii="Times New Roman" w:hAnsi="Times New Roman"/>
          <w:sz w:val="24"/>
          <w:szCs w:val="24"/>
          <w:lang w:val="sq-AL"/>
        </w:rPr>
        <w:t>s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011DEC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555F41" w:rsidRDefault="00555F41" w:rsidP="00555F41">
      <w:pPr>
        <w:spacing w:after="0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B5358" w:rsidRDefault="004B5358" w:rsidP="00555F41">
      <w:pPr>
        <w:spacing w:after="0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  <w:r w:rsidRPr="00555F4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55F41" w:rsidRPr="00555F41">
        <w:rPr>
          <w:rFonts w:ascii="Times New Roman" w:hAnsi="Times New Roman"/>
          <w:sz w:val="24"/>
          <w:szCs w:val="24"/>
          <w:lang w:val="sq-AL"/>
        </w:rPr>
        <w:t>Fatoş Aracı</w:t>
      </w:r>
      <w:r w:rsidR="00555F41">
        <w:rPr>
          <w:rFonts w:ascii="Times New Roman" w:hAnsi="Times New Roman"/>
          <w:sz w:val="24"/>
          <w:szCs w:val="24"/>
          <w:lang w:val="sq-AL"/>
        </w:rPr>
        <w:tab/>
      </w:r>
      <w:r w:rsidR="00555F41">
        <w:rPr>
          <w:rFonts w:ascii="Times New Roman" w:hAnsi="Times New Roman"/>
          <w:sz w:val="24"/>
          <w:szCs w:val="24"/>
          <w:lang w:val="sq-AL"/>
        </w:rPr>
        <w:tab/>
      </w:r>
      <w:r w:rsidR="00555F41">
        <w:rPr>
          <w:rFonts w:ascii="Times New Roman" w:hAnsi="Times New Roman"/>
          <w:sz w:val="24"/>
          <w:szCs w:val="24"/>
          <w:lang w:val="sq-AL"/>
        </w:rPr>
        <w:tab/>
      </w:r>
      <w:r w:rsidR="00555F41">
        <w:rPr>
          <w:rFonts w:ascii="Times New Roman" w:hAnsi="Times New Roman"/>
          <w:sz w:val="24"/>
          <w:szCs w:val="24"/>
          <w:lang w:val="sq-AL"/>
        </w:rPr>
        <w:tab/>
      </w:r>
      <w:r w:rsidR="00555F41">
        <w:rPr>
          <w:rFonts w:ascii="Times New Roman" w:hAnsi="Times New Roman"/>
          <w:sz w:val="24"/>
          <w:szCs w:val="24"/>
          <w:lang w:val="sq-AL"/>
        </w:rPr>
        <w:tab/>
      </w:r>
      <w:r w:rsidR="00555F41">
        <w:rPr>
          <w:rFonts w:ascii="Times New Roman" w:hAnsi="Times New Roman"/>
          <w:sz w:val="24"/>
          <w:szCs w:val="24"/>
          <w:lang w:val="sq-AL"/>
        </w:rPr>
        <w:tab/>
      </w:r>
      <w:r w:rsidR="00555F41">
        <w:rPr>
          <w:rFonts w:ascii="Times New Roman" w:hAnsi="Times New Roman"/>
          <w:sz w:val="24"/>
          <w:szCs w:val="24"/>
          <w:lang w:val="sq-AL"/>
        </w:rPr>
        <w:tab/>
        <w:t xml:space="preserve">Paul Mahoney </w:t>
      </w:r>
    </w:p>
    <w:p w:rsidR="00555F41" w:rsidRPr="00555F41" w:rsidRDefault="00555F41" w:rsidP="00555F4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Style w:val="JuJudgesChar"/>
          <w:rFonts w:eastAsia="Calibri"/>
          <w:i/>
          <w:szCs w:val="24"/>
          <w:lang w:val="sq-AL"/>
        </w:rPr>
        <w:t xml:space="preserve">        </w:t>
      </w:r>
      <w:r w:rsidRPr="00555F41">
        <w:rPr>
          <w:rStyle w:val="JuJudgesChar"/>
          <w:rFonts w:eastAsia="Calibri"/>
          <w:i/>
          <w:szCs w:val="24"/>
          <w:lang w:val="sq-AL"/>
        </w:rPr>
        <w:t>Z</w:t>
      </w:r>
      <w:r w:rsidR="00011DEC">
        <w:rPr>
          <w:rStyle w:val="JuJudgesChar"/>
          <w:rFonts w:eastAsia="Calibri"/>
          <w:i/>
          <w:szCs w:val="24"/>
          <w:lang w:val="sq-AL"/>
        </w:rPr>
        <w:t>ë</w:t>
      </w:r>
      <w:r w:rsidRPr="00555F41">
        <w:rPr>
          <w:rStyle w:val="JuJudgesChar"/>
          <w:rFonts w:eastAsia="Calibri"/>
          <w:i/>
          <w:szCs w:val="24"/>
          <w:lang w:val="sq-AL"/>
        </w:rPr>
        <w:t>vend</w:t>
      </w:r>
      <w:r w:rsidR="00011DEC">
        <w:rPr>
          <w:rStyle w:val="JuJudgesChar"/>
          <w:rFonts w:eastAsia="Calibri"/>
          <w:i/>
          <w:szCs w:val="24"/>
          <w:lang w:val="sq-AL"/>
        </w:rPr>
        <w:t>ë</w:t>
      </w:r>
      <w:r w:rsidRPr="00555F41">
        <w:rPr>
          <w:rStyle w:val="JuJudgesChar"/>
          <w:rFonts w:eastAsia="Calibri"/>
          <w:i/>
          <w:szCs w:val="24"/>
          <w:lang w:val="sq-AL"/>
        </w:rPr>
        <w:t>s</w:t>
      </w:r>
      <w:r w:rsidR="006234F1">
        <w:rPr>
          <w:rStyle w:val="JuJudgesChar"/>
          <w:rFonts w:eastAsia="Calibri"/>
          <w:szCs w:val="24"/>
          <w:lang w:val="sq-AL"/>
        </w:rPr>
        <w:t xml:space="preserve"> R</w:t>
      </w:r>
      <w:r w:rsidRPr="00555F41">
        <w:rPr>
          <w:rFonts w:ascii="Times New Roman" w:hAnsi="Times New Roman"/>
          <w:i/>
          <w:sz w:val="24"/>
          <w:szCs w:val="24"/>
          <w:lang w:val="sq-AL"/>
        </w:rPr>
        <w:t>egjistrues i Seksionit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q-AL"/>
        </w:rPr>
        <w:tab/>
      </w:r>
      <w:r>
        <w:rPr>
          <w:rFonts w:ascii="Times New Roman" w:hAnsi="Times New Roman"/>
          <w:i/>
          <w:sz w:val="24"/>
          <w:szCs w:val="24"/>
          <w:lang w:val="sq-AL"/>
        </w:rPr>
        <w:tab/>
      </w:r>
      <w:r>
        <w:rPr>
          <w:rFonts w:ascii="Times New Roman" w:hAnsi="Times New Roman"/>
          <w:i/>
          <w:sz w:val="24"/>
          <w:szCs w:val="24"/>
          <w:lang w:val="sq-AL"/>
        </w:rPr>
        <w:tab/>
      </w:r>
      <w:r>
        <w:rPr>
          <w:rFonts w:ascii="Times New Roman" w:hAnsi="Times New Roman"/>
          <w:i/>
          <w:sz w:val="24"/>
          <w:szCs w:val="24"/>
          <w:lang w:val="sq-AL"/>
        </w:rPr>
        <w:tab/>
        <w:t xml:space="preserve">                President</w:t>
      </w:r>
    </w:p>
    <w:sectPr w:rsidR="00555F41" w:rsidRPr="00555F41" w:rsidSect="00F7209D">
      <w:headerReference w:type="default" r:id="rId9"/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EC6" w:rsidRDefault="00E65EC6" w:rsidP="00681D33">
      <w:pPr>
        <w:spacing w:after="0" w:line="240" w:lineRule="auto"/>
      </w:pPr>
      <w:r>
        <w:separator/>
      </w:r>
    </w:p>
  </w:endnote>
  <w:endnote w:type="continuationSeparator" w:id="0">
    <w:p w:rsidR="00E65EC6" w:rsidRDefault="00E65EC6" w:rsidP="0068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EC" w:rsidRDefault="00011DEC" w:rsidP="00681D33">
    <w:pPr>
      <w:pStyle w:val="Footer"/>
      <w:pBdr>
        <w:top w:val="single" w:sz="4" w:space="0" w:color="auto"/>
      </w:pBdr>
      <w:spacing w:after="0" w:line="240" w:lineRule="auto"/>
      <w:jc w:val="center"/>
      <w:rPr>
        <w:b/>
        <w:i/>
        <w:color w:val="000080"/>
      </w:rPr>
    </w:pPr>
    <w:r>
      <w:rPr>
        <w:b/>
        <w:i/>
        <w:color w:val="000080"/>
      </w:rPr>
      <w:t>Shërbimi i Përkthimit Zyrtar, Ministria e Drejtësisë, Republika e Shqipërisë</w:t>
    </w:r>
  </w:p>
  <w:p w:rsidR="00011DEC" w:rsidRDefault="00011DEC" w:rsidP="00681D33">
    <w:pPr>
      <w:pStyle w:val="Footer"/>
      <w:spacing w:after="0" w:line="240" w:lineRule="auto"/>
      <w:jc w:val="center"/>
      <w:rPr>
        <w:b/>
        <w:i/>
        <w:color w:val="000080"/>
      </w:rPr>
    </w:pPr>
    <w:r>
      <w:rPr>
        <w:b/>
        <w:i/>
        <w:color w:val="000080"/>
      </w:rPr>
      <w:t>Service des Traductions Officielles du Ministére de la Justice de la République d’Albanie</w:t>
    </w:r>
  </w:p>
  <w:p w:rsidR="00011DEC" w:rsidRDefault="00011DEC" w:rsidP="00681D33">
    <w:pPr>
      <w:pStyle w:val="Footer"/>
      <w:spacing w:after="0" w:line="240" w:lineRule="auto"/>
      <w:jc w:val="center"/>
      <w:rPr>
        <w:b/>
        <w:i/>
        <w:color w:val="000080"/>
      </w:rPr>
    </w:pPr>
    <w:smartTag w:uri="urn:schemas-microsoft-com:office:smarttags" w:element="place">
      <w:smartTag w:uri="urn:schemas-microsoft-com:office:smarttags" w:element="PlaceType">
        <w:r>
          <w:rPr>
            <w:b/>
            <w:i/>
            <w:color w:val="000080"/>
          </w:rPr>
          <w:t>Republic</w:t>
        </w:r>
      </w:smartTag>
      <w:r>
        <w:rPr>
          <w:b/>
          <w:i/>
          <w:color w:val="000080"/>
        </w:rPr>
        <w:t xml:space="preserve"> of </w:t>
      </w:r>
      <w:smartTag w:uri="urn:schemas-microsoft-com:office:smarttags" w:element="PlaceName">
        <w:r>
          <w:rPr>
            <w:b/>
            <w:i/>
            <w:color w:val="000080"/>
          </w:rPr>
          <w:t>Albania</w:t>
        </w:r>
      </w:smartTag>
    </w:smartTag>
    <w:r>
      <w:rPr>
        <w:b/>
        <w:i/>
        <w:color w:val="000080"/>
      </w:rPr>
      <w:t>, Ministry of Justice, Official Translations Service</w:t>
    </w:r>
  </w:p>
  <w:p w:rsidR="00011DEC" w:rsidRDefault="00011DEC" w:rsidP="00681D33">
    <w:pPr>
      <w:pStyle w:val="Footer"/>
    </w:pPr>
  </w:p>
  <w:p w:rsidR="00011DEC" w:rsidRDefault="00011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EC6" w:rsidRDefault="00E65EC6" w:rsidP="00681D33">
      <w:pPr>
        <w:spacing w:after="0" w:line="240" w:lineRule="auto"/>
      </w:pPr>
      <w:r>
        <w:separator/>
      </w:r>
    </w:p>
  </w:footnote>
  <w:footnote w:type="continuationSeparator" w:id="0">
    <w:p w:rsidR="00E65EC6" w:rsidRDefault="00E65EC6" w:rsidP="0068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EC" w:rsidRDefault="00011DEC" w:rsidP="00681D33">
    <w:pPr>
      <w:pStyle w:val="Header"/>
      <w:pBdr>
        <w:bottom w:val="single" w:sz="4" w:space="1" w:color="auto"/>
      </w:pBdr>
      <w:jc w:val="center"/>
      <w:rPr>
        <w:b/>
        <w:color w:val="000080"/>
      </w:rPr>
    </w:pPr>
    <w:r>
      <w:rPr>
        <w:b/>
        <w:color w:val="000080"/>
      </w:rPr>
      <w:t>PERKTHIM ZYRTAR                    TRADUCTION OFFICIELLE            OFFICIAL TRANSLATION</w:t>
    </w:r>
  </w:p>
  <w:p w:rsidR="00011DEC" w:rsidRPr="00F7209D" w:rsidRDefault="00011DEC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87A"/>
    <w:multiLevelType w:val="hybridMultilevel"/>
    <w:tmpl w:val="E4C6219E"/>
    <w:lvl w:ilvl="0" w:tplc="26C6DE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37EFD"/>
    <w:multiLevelType w:val="hybridMultilevel"/>
    <w:tmpl w:val="1090D724"/>
    <w:lvl w:ilvl="0" w:tplc="2EAE4B4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565C0"/>
    <w:multiLevelType w:val="hybridMultilevel"/>
    <w:tmpl w:val="B08EC6F4"/>
    <w:lvl w:ilvl="0" w:tplc="29B8D4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E6BD2"/>
    <w:multiLevelType w:val="hybridMultilevel"/>
    <w:tmpl w:val="F262374E"/>
    <w:lvl w:ilvl="0" w:tplc="AADC3350">
      <w:start w:val="1"/>
      <w:numFmt w:val="upperLetter"/>
      <w:lvlText w:val="%1."/>
      <w:lvlJc w:val="left"/>
      <w:pPr>
        <w:ind w:left="274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4" w15:restartNumberingAfterBreak="0">
    <w:nsid w:val="0C250F67"/>
    <w:multiLevelType w:val="hybridMultilevel"/>
    <w:tmpl w:val="F7E6C7FC"/>
    <w:lvl w:ilvl="0" w:tplc="4E8485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30" w:hanging="360"/>
      </w:pPr>
    </w:lvl>
    <w:lvl w:ilvl="2" w:tplc="0C07001B" w:tentative="1">
      <w:start w:val="1"/>
      <w:numFmt w:val="lowerRoman"/>
      <w:lvlText w:val="%3."/>
      <w:lvlJc w:val="right"/>
      <w:pPr>
        <w:ind w:left="2250" w:hanging="180"/>
      </w:pPr>
    </w:lvl>
    <w:lvl w:ilvl="3" w:tplc="0C07000F" w:tentative="1">
      <w:start w:val="1"/>
      <w:numFmt w:val="decimal"/>
      <w:lvlText w:val="%4."/>
      <w:lvlJc w:val="left"/>
      <w:pPr>
        <w:ind w:left="2970" w:hanging="360"/>
      </w:pPr>
    </w:lvl>
    <w:lvl w:ilvl="4" w:tplc="0C070019" w:tentative="1">
      <w:start w:val="1"/>
      <w:numFmt w:val="lowerLetter"/>
      <w:lvlText w:val="%5."/>
      <w:lvlJc w:val="left"/>
      <w:pPr>
        <w:ind w:left="3690" w:hanging="360"/>
      </w:pPr>
    </w:lvl>
    <w:lvl w:ilvl="5" w:tplc="0C07001B" w:tentative="1">
      <w:start w:val="1"/>
      <w:numFmt w:val="lowerRoman"/>
      <w:lvlText w:val="%6."/>
      <w:lvlJc w:val="right"/>
      <w:pPr>
        <w:ind w:left="4410" w:hanging="180"/>
      </w:pPr>
    </w:lvl>
    <w:lvl w:ilvl="6" w:tplc="0C07000F" w:tentative="1">
      <w:start w:val="1"/>
      <w:numFmt w:val="decimal"/>
      <w:lvlText w:val="%7."/>
      <w:lvlJc w:val="left"/>
      <w:pPr>
        <w:ind w:left="5130" w:hanging="360"/>
      </w:pPr>
    </w:lvl>
    <w:lvl w:ilvl="7" w:tplc="0C070019" w:tentative="1">
      <w:start w:val="1"/>
      <w:numFmt w:val="lowerLetter"/>
      <w:lvlText w:val="%8."/>
      <w:lvlJc w:val="left"/>
      <w:pPr>
        <w:ind w:left="5850" w:hanging="360"/>
      </w:pPr>
    </w:lvl>
    <w:lvl w:ilvl="8" w:tplc="0C0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E1C058B"/>
    <w:multiLevelType w:val="hybridMultilevel"/>
    <w:tmpl w:val="C62C0BC6"/>
    <w:lvl w:ilvl="0" w:tplc="60B8F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494736"/>
    <w:multiLevelType w:val="hybridMultilevel"/>
    <w:tmpl w:val="9FF880C2"/>
    <w:lvl w:ilvl="0" w:tplc="CC266476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962387"/>
    <w:multiLevelType w:val="hybridMultilevel"/>
    <w:tmpl w:val="AA9CC010"/>
    <w:lvl w:ilvl="0" w:tplc="4E441A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5DEA"/>
    <w:multiLevelType w:val="hybridMultilevel"/>
    <w:tmpl w:val="CDA84902"/>
    <w:lvl w:ilvl="0" w:tplc="0A50E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1511E"/>
    <w:multiLevelType w:val="hybridMultilevel"/>
    <w:tmpl w:val="51EC5992"/>
    <w:lvl w:ilvl="0" w:tplc="845C1E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019F8"/>
    <w:multiLevelType w:val="hybridMultilevel"/>
    <w:tmpl w:val="B226D6D6"/>
    <w:lvl w:ilvl="0" w:tplc="D1123F6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CF7145"/>
    <w:multiLevelType w:val="hybridMultilevel"/>
    <w:tmpl w:val="5B0898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54756"/>
    <w:multiLevelType w:val="hybridMultilevel"/>
    <w:tmpl w:val="D18A47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11773"/>
    <w:multiLevelType w:val="hybridMultilevel"/>
    <w:tmpl w:val="EC44AA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E2BBB"/>
    <w:multiLevelType w:val="hybridMultilevel"/>
    <w:tmpl w:val="AC70E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E3509"/>
    <w:multiLevelType w:val="hybridMultilevel"/>
    <w:tmpl w:val="71E24F9E"/>
    <w:lvl w:ilvl="0" w:tplc="0A7440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761BB2"/>
    <w:multiLevelType w:val="hybridMultilevel"/>
    <w:tmpl w:val="2482E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D77DF"/>
    <w:multiLevelType w:val="hybridMultilevel"/>
    <w:tmpl w:val="F39EAB4C"/>
    <w:lvl w:ilvl="0" w:tplc="0D4A1F0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F41080"/>
    <w:multiLevelType w:val="hybridMultilevel"/>
    <w:tmpl w:val="F0CED20E"/>
    <w:lvl w:ilvl="0" w:tplc="1BF4BD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23DB6"/>
    <w:multiLevelType w:val="hybridMultilevel"/>
    <w:tmpl w:val="9BA48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763A8"/>
    <w:multiLevelType w:val="hybridMultilevel"/>
    <w:tmpl w:val="E88A785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A0915"/>
    <w:multiLevelType w:val="hybridMultilevel"/>
    <w:tmpl w:val="140ECD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42D82"/>
    <w:multiLevelType w:val="hybridMultilevel"/>
    <w:tmpl w:val="F5AECEC4"/>
    <w:lvl w:ilvl="0" w:tplc="28186D7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3076E0"/>
    <w:multiLevelType w:val="hybridMultilevel"/>
    <w:tmpl w:val="E132D3F4"/>
    <w:lvl w:ilvl="0" w:tplc="1056FD52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7827BA"/>
    <w:multiLevelType w:val="hybridMultilevel"/>
    <w:tmpl w:val="454CE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94F82"/>
    <w:multiLevelType w:val="hybridMultilevel"/>
    <w:tmpl w:val="9DAE91F4"/>
    <w:lvl w:ilvl="0" w:tplc="3F32B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3712CB"/>
    <w:multiLevelType w:val="hybridMultilevel"/>
    <w:tmpl w:val="A2D65E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C24AC"/>
    <w:multiLevelType w:val="hybridMultilevel"/>
    <w:tmpl w:val="C98A51C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F302B"/>
    <w:multiLevelType w:val="hybridMultilevel"/>
    <w:tmpl w:val="38AC6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62E8C"/>
    <w:multiLevelType w:val="hybridMultilevel"/>
    <w:tmpl w:val="1878F908"/>
    <w:lvl w:ilvl="0" w:tplc="F738BCC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9203E"/>
    <w:multiLevelType w:val="hybridMultilevel"/>
    <w:tmpl w:val="D2F80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24BF5"/>
    <w:multiLevelType w:val="hybridMultilevel"/>
    <w:tmpl w:val="5338E0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45F8C"/>
    <w:multiLevelType w:val="hybridMultilevel"/>
    <w:tmpl w:val="B37C221E"/>
    <w:lvl w:ilvl="0" w:tplc="C58C0E66">
      <w:start w:val="1"/>
      <w:numFmt w:val="lowerLetter"/>
      <w:lvlText w:val="(%1)"/>
      <w:lvlJc w:val="left"/>
      <w:pPr>
        <w:ind w:left="1440" w:hanging="360"/>
      </w:pPr>
      <w:rPr>
        <w:rFonts w:hint="default"/>
        <w:i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9D68F3"/>
    <w:multiLevelType w:val="hybridMultilevel"/>
    <w:tmpl w:val="58EA9442"/>
    <w:lvl w:ilvl="0" w:tplc="05248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709EE"/>
    <w:multiLevelType w:val="hybridMultilevel"/>
    <w:tmpl w:val="3698B852"/>
    <w:lvl w:ilvl="0" w:tplc="D0D05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E0999"/>
    <w:multiLevelType w:val="hybridMultilevel"/>
    <w:tmpl w:val="7632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14794"/>
    <w:multiLevelType w:val="hybridMultilevel"/>
    <w:tmpl w:val="C82CEC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44496"/>
    <w:multiLevelType w:val="hybridMultilevel"/>
    <w:tmpl w:val="93441084"/>
    <w:lvl w:ilvl="0" w:tplc="EC2E41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F91C75"/>
    <w:multiLevelType w:val="hybridMultilevel"/>
    <w:tmpl w:val="B4C8CBC4"/>
    <w:lvl w:ilvl="0" w:tplc="ED8EEA8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0"/>
  </w:num>
  <w:num w:numId="3">
    <w:abstractNumId w:val="21"/>
  </w:num>
  <w:num w:numId="4">
    <w:abstractNumId w:val="33"/>
  </w:num>
  <w:num w:numId="5">
    <w:abstractNumId w:val="12"/>
  </w:num>
  <w:num w:numId="6">
    <w:abstractNumId w:val="13"/>
  </w:num>
  <w:num w:numId="7">
    <w:abstractNumId w:val="26"/>
  </w:num>
  <w:num w:numId="8">
    <w:abstractNumId w:val="28"/>
  </w:num>
  <w:num w:numId="9">
    <w:abstractNumId w:val="36"/>
  </w:num>
  <w:num w:numId="10">
    <w:abstractNumId w:val="35"/>
  </w:num>
  <w:num w:numId="11">
    <w:abstractNumId w:val="7"/>
  </w:num>
  <w:num w:numId="12">
    <w:abstractNumId w:val="24"/>
  </w:num>
  <w:num w:numId="13">
    <w:abstractNumId w:val="8"/>
  </w:num>
  <w:num w:numId="14">
    <w:abstractNumId w:val="15"/>
  </w:num>
  <w:num w:numId="15">
    <w:abstractNumId w:val="31"/>
  </w:num>
  <w:num w:numId="16">
    <w:abstractNumId w:val="3"/>
  </w:num>
  <w:num w:numId="17">
    <w:abstractNumId w:val="16"/>
  </w:num>
  <w:num w:numId="18">
    <w:abstractNumId w:val="20"/>
  </w:num>
  <w:num w:numId="19">
    <w:abstractNumId w:val="29"/>
  </w:num>
  <w:num w:numId="20">
    <w:abstractNumId w:val="18"/>
  </w:num>
  <w:num w:numId="21">
    <w:abstractNumId w:val="9"/>
  </w:num>
  <w:num w:numId="22">
    <w:abstractNumId w:val="4"/>
  </w:num>
  <w:num w:numId="23">
    <w:abstractNumId w:val="5"/>
  </w:num>
  <w:num w:numId="24">
    <w:abstractNumId w:val="27"/>
  </w:num>
  <w:num w:numId="25">
    <w:abstractNumId w:val="2"/>
  </w:num>
  <w:num w:numId="26">
    <w:abstractNumId w:val="11"/>
  </w:num>
  <w:num w:numId="27">
    <w:abstractNumId w:val="23"/>
  </w:num>
  <w:num w:numId="28">
    <w:abstractNumId w:val="25"/>
  </w:num>
  <w:num w:numId="29">
    <w:abstractNumId w:val="32"/>
  </w:num>
  <w:num w:numId="30">
    <w:abstractNumId w:val="34"/>
  </w:num>
  <w:num w:numId="31">
    <w:abstractNumId w:val="10"/>
  </w:num>
  <w:num w:numId="32">
    <w:abstractNumId w:val="38"/>
  </w:num>
  <w:num w:numId="33">
    <w:abstractNumId w:val="37"/>
  </w:num>
  <w:num w:numId="34">
    <w:abstractNumId w:val="1"/>
  </w:num>
  <w:num w:numId="35">
    <w:abstractNumId w:val="22"/>
  </w:num>
  <w:num w:numId="36">
    <w:abstractNumId w:val="6"/>
  </w:num>
  <w:num w:numId="37">
    <w:abstractNumId w:val="17"/>
  </w:num>
  <w:num w:numId="38">
    <w:abstractNumId w:val="19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6B"/>
    <w:rsid w:val="00007B9F"/>
    <w:rsid w:val="00011DEC"/>
    <w:rsid w:val="00013BAA"/>
    <w:rsid w:val="00015E79"/>
    <w:rsid w:val="00025800"/>
    <w:rsid w:val="00037FCE"/>
    <w:rsid w:val="000414E2"/>
    <w:rsid w:val="0005468B"/>
    <w:rsid w:val="00056536"/>
    <w:rsid w:val="0005769D"/>
    <w:rsid w:val="00067EE2"/>
    <w:rsid w:val="000753B5"/>
    <w:rsid w:val="00076F41"/>
    <w:rsid w:val="00080A34"/>
    <w:rsid w:val="000832E0"/>
    <w:rsid w:val="000907F3"/>
    <w:rsid w:val="00097FA2"/>
    <w:rsid w:val="000A0FA7"/>
    <w:rsid w:val="000A3285"/>
    <w:rsid w:val="000A3F5C"/>
    <w:rsid w:val="000A4C0F"/>
    <w:rsid w:val="000A5B39"/>
    <w:rsid w:val="000A6AC8"/>
    <w:rsid w:val="000B2433"/>
    <w:rsid w:val="000C2D10"/>
    <w:rsid w:val="000C4106"/>
    <w:rsid w:val="000C44CD"/>
    <w:rsid w:val="000C6D6D"/>
    <w:rsid w:val="000D0BAA"/>
    <w:rsid w:val="000D3482"/>
    <w:rsid w:val="000E24A2"/>
    <w:rsid w:val="000F6BA1"/>
    <w:rsid w:val="00103DA1"/>
    <w:rsid w:val="001149D0"/>
    <w:rsid w:val="0011563C"/>
    <w:rsid w:val="00116D1D"/>
    <w:rsid w:val="00117962"/>
    <w:rsid w:val="0012766C"/>
    <w:rsid w:val="00131D65"/>
    <w:rsid w:val="00131F8C"/>
    <w:rsid w:val="0013268F"/>
    <w:rsid w:val="001330EA"/>
    <w:rsid w:val="00136839"/>
    <w:rsid w:val="00137011"/>
    <w:rsid w:val="00146147"/>
    <w:rsid w:val="00150A1D"/>
    <w:rsid w:val="00151288"/>
    <w:rsid w:val="00154DDA"/>
    <w:rsid w:val="00156D33"/>
    <w:rsid w:val="00157366"/>
    <w:rsid w:val="001638F7"/>
    <w:rsid w:val="001879B5"/>
    <w:rsid w:val="00190618"/>
    <w:rsid w:val="00192220"/>
    <w:rsid w:val="00196C4E"/>
    <w:rsid w:val="001A0BF8"/>
    <w:rsid w:val="001A5E9B"/>
    <w:rsid w:val="001B041B"/>
    <w:rsid w:val="001B1A1B"/>
    <w:rsid w:val="001B6068"/>
    <w:rsid w:val="001C3953"/>
    <w:rsid w:val="001C4C76"/>
    <w:rsid w:val="001D035A"/>
    <w:rsid w:val="001D10DD"/>
    <w:rsid w:val="001D22B1"/>
    <w:rsid w:val="001D5DD6"/>
    <w:rsid w:val="001E00E4"/>
    <w:rsid w:val="001E22DC"/>
    <w:rsid w:val="001F22C0"/>
    <w:rsid w:val="001F2B45"/>
    <w:rsid w:val="002045F8"/>
    <w:rsid w:val="002061D4"/>
    <w:rsid w:val="002069DA"/>
    <w:rsid w:val="00207E50"/>
    <w:rsid w:val="002126AF"/>
    <w:rsid w:val="00212CB7"/>
    <w:rsid w:val="00222DE5"/>
    <w:rsid w:val="00223840"/>
    <w:rsid w:val="00227922"/>
    <w:rsid w:val="00227D07"/>
    <w:rsid w:val="002322E7"/>
    <w:rsid w:val="00235248"/>
    <w:rsid w:val="00241A7B"/>
    <w:rsid w:val="002431C7"/>
    <w:rsid w:val="0026151D"/>
    <w:rsid w:val="0026196A"/>
    <w:rsid w:val="00262BDB"/>
    <w:rsid w:val="002647D9"/>
    <w:rsid w:val="002660D6"/>
    <w:rsid w:val="0028135C"/>
    <w:rsid w:val="00284B27"/>
    <w:rsid w:val="00294210"/>
    <w:rsid w:val="0029548F"/>
    <w:rsid w:val="002A1B0D"/>
    <w:rsid w:val="002B2D86"/>
    <w:rsid w:val="002B3B69"/>
    <w:rsid w:val="002C169C"/>
    <w:rsid w:val="002C2F73"/>
    <w:rsid w:val="002C39A6"/>
    <w:rsid w:val="002C7202"/>
    <w:rsid w:val="002D0239"/>
    <w:rsid w:val="002D2003"/>
    <w:rsid w:val="002D2349"/>
    <w:rsid w:val="002E1F31"/>
    <w:rsid w:val="002E5743"/>
    <w:rsid w:val="002F064C"/>
    <w:rsid w:val="002F42ED"/>
    <w:rsid w:val="002F6DC6"/>
    <w:rsid w:val="002F736E"/>
    <w:rsid w:val="002F7A45"/>
    <w:rsid w:val="003051D8"/>
    <w:rsid w:val="00305408"/>
    <w:rsid w:val="00305C57"/>
    <w:rsid w:val="00316AC2"/>
    <w:rsid w:val="00321ED4"/>
    <w:rsid w:val="003254E5"/>
    <w:rsid w:val="003264BC"/>
    <w:rsid w:val="003454F2"/>
    <w:rsid w:val="00346B6A"/>
    <w:rsid w:val="00347959"/>
    <w:rsid w:val="003572B8"/>
    <w:rsid w:val="003601C1"/>
    <w:rsid w:val="0036080C"/>
    <w:rsid w:val="003639FB"/>
    <w:rsid w:val="00365C0C"/>
    <w:rsid w:val="00367E66"/>
    <w:rsid w:val="00373ED0"/>
    <w:rsid w:val="0037650D"/>
    <w:rsid w:val="0037731D"/>
    <w:rsid w:val="003817D3"/>
    <w:rsid w:val="003864E4"/>
    <w:rsid w:val="00394F3C"/>
    <w:rsid w:val="003961CF"/>
    <w:rsid w:val="003A2F31"/>
    <w:rsid w:val="003A5E02"/>
    <w:rsid w:val="003A790C"/>
    <w:rsid w:val="003B210F"/>
    <w:rsid w:val="003B52E3"/>
    <w:rsid w:val="003B7267"/>
    <w:rsid w:val="003C2497"/>
    <w:rsid w:val="003D23AE"/>
    <w:rsid w:val="003D4DD8"/>
    <w:rsid w:val="003D7A3C"/>
    <w:rsid w:val="003E1B9D"/>
    <w:rsid w:val="003E7185"/>
    <w:rsid w:val="003E72E3"/>
    <w:rsid w:val="003F0372"/>
    <w:rsid w:val="003F2490"/>
    <w:rsid w:val="003F3F3F"/>
    <w:rsid w:val="003F4569"/>
    <w:rsid w:val="003F5386"/>
    <w:rsid w:val="003F669C"/>
    <w:rsid w:val="003F7CC7"/>
    <w:rsid w:val="00404058"/>
    <w:rsid w:val="004119E2"/>
    <w:rsid w:val="00411BB7"/>
    <w:rsid w:val="00417244"/>
    <w:rsid w:val="00417247"/>
    <w:rsid w:val="004203CF"/>
    <w:rsid w:val="0042244A"/>
    <w:rsid w:val="00433AF7"/>
    <w:rsid w:val="004422A2"/>
    <w:rsid w:val="0045245F"/>
    <w:rsid w:val="00454DA3"/>
    <w:rsid w:val="00455625"/>
    <w:rsid w:val="00456226"/>
    <w:rsid w:val="00456A2E"/>
    <w:rsid w:val="00457BAA"/>
    <w:rsid w:val="004627B6"/>
    <w:rsid w:val="00470105"/>
    <w:rsid w:val="00475B60"/>
    <w:rsid w:val="00477C01"/>
    <w:rsid w:val="004803B5"/>
    <w:rsid w:val="00480441"/>
    <w:rsid w:val="00482C66"/>
    <w:rsid w:val="00484B29"/>
    <w:rsid w:val="0048714D"/>
    <w:rsid w:val="004A0667"/>
    <w:rsid w:val="004A486A"/>
    <w:rsid w:val="004A7588"/>
    <w:rsid w:val="004B0A32"/>
    <w:rsid w:val="004B2024"/>
    <w:rsid w:val="004B5358"/>
    <w:rsid w:val="004B5742"/>
    <w:rsid w:val="004C1636"/>
    <w:rsid w:val="004D440D"/>
    <w:rsid w:val="004E296B"/>
    <w:rsid w:val="004E4663"/>
    <w:rsid w:val="004E5B59"/>
    <w:rsid w:val="004E5C95"/>
    <w:rsid w:val="004F4B60"/>
    <w:rsid w:val="004F775C"/>
    <w:rsid w:val="00501AEF"/>
    <w:rsid w:val="00513ECF"/>
    <w:rsid w:val="00515273"/>
    <w:rsid w:val="005177F6"/>
    <w:rsid w:val="00520C6E"/>
    <w:rsid w:val="00525DA7"/>
    <w:rsid w:val="00531F57"/>
    <w:rsid w:val="00534918"/>
    <w:rsid w:val="005378D2"/>
    <w:rsid w:val="00541478"/>
    <w:rsid w:val="00546B6F"/>
    <w:rsid w:val="005476FE"/>
    <w:rsid w:val="00553B00"/>
    <w:rsid w:val="00555F41"/>
    <w:rsid w:val="00556230"/>
    <w:rsid w:val="00556995"/>
    <w:rsid w:val="005608D6"/>
    <w:rsid w:val="00572888"/>
    <w:rsid w:val="00581B11"/>
    <w:rsid w:val="00581D05"/>
    <w:rsid w:val="00583DAB"/>
    <w:rsid w:val="0059346B"/>
    <w:rsid w:val="005958B4"/>
    <w:rsid w:val="00596618"/>
    <w:rsid w:val="005A06A3"/>
    <w:rsid w:val="005A293F"/>
    <w:rsid w:val="005A7B43"/>
    <w:rsid w:val="005B30DE"/>
    <w:rsid w:val="005C27AB"/>
    <w:rsid w:val="005D25F5"/>
    <w:rsid w:val="005D38E9"/>
    <w:rsid w:val="005D7022"/>
    <w:rsid w:val="005E1D02"/>
    <w:rsid w:val="005E1EEE"/>
    <w:rsid w:val="005F593E"/>
    <w:rsid w:val="00600894"/>
    <w:rsid w:val="006019C2"/>
    <w:rsid w:val="006121D5"/>
    <w:rsid w:val="006159AD"/>
    <w:rsid w:val="006234F1"/>
    <w:rsid w:val="00626986"/>
    <w:rsid w:val="00634156"/>
    <w:rsid w:val="0063619F"/>
    <w:rsid w:val="00637FAA"/>
    <w:rsid w:val="00641369"/>
    <w:rsid w:val="0064257A"/>
    <w:rsid w:val="00643051"/>
    <w:rsid w:val="00646FC4"/>
    <w:rsid w:val="00651211"/>
    <w:rsid w:val="006515C6"/>
    <w:rsid w:val="00653520"/>
    <w:rsid w:val="006623A5"/>
    <w:rsid w:val="0066660F"/>
    <w:rsid w:val="00675591"/>
    <w:rsid w:val="00681D33"/>
    <w:rsid w:val="00684E0F"/>
    <w:rsid w:val="006861E0"/>
    <w:rsid w:val="00687955"/>
    <w:rsid w:val="00690798"/>
    <w:rsid w:val="006A272E"/>
    <w:rsid w:val="006A2E5B"/>
    <w:rsid w:val="006A56A0"/>
    <w:rsid w:val="006A5982"/>
    <w:rsid w:val="006B6FAF"/>
    <w:rsid w:val="006C0DF0"/>
    <w:rsid w:val="006D0696"/>
    <w:rsid w:val="006D7580"/>
    <w:rsid w:val="006F1273"/>
    <w:rsid w:val="006F3110"/>
    <w:rsid w:val="006F4055"/>
    <w:rsid w:val="00703127"/>
    <w:rsid w:val="00706844"/>
    <w:rsid w:val="007079FF"/>
    <w:rsid w:val="0071347C"/>
    <w:rsid w:val="00713EFE"/>
    <w:rsid w:val="00716EC3"/>
    <w:rsid w:val="00723529"/>
    <w:rsid w:val="0072372E"/>
    <w:rsid w:val="007240A0"/>
    <w:rsid w:val="007324BC"/>
    <w:rsid w:val="00743227"/>
    <w:rsid w:val="00744619"/>
    <w:rsid w:val="00746087"/>
    <w:rsid w:val="00746BD8"/>
    <w:rsid w:val="00751292"/>
    <w:rsid w:val="0075518F"/>
    <w:rsid w:val="00760705"/>
    <w:rsid w:val="00760968"/>
    <w:rsid w:val="0076671D"/>
    <w:rsid w:val="00767125"/>
    <w:rsid w:val="00770DD4"/>
    <w:rsid w:val="0077150D"/>
    <w:rsid w:val="00781020"/>
    <w:rsid w:val="00783C18"/>
    <w:rsid w:val="0078546C"/>
    <w:rsid w:val="007856C1"/>
    <w:rsid w:val="007858CA"/>
    <w:rsid w:val="00790985"/>
    <w:rsid w:val="00795B15"/>
    <w:rsid w:val="007975CD"/>
    <w:rsid w:val="007A494B"/>
    <w:rsid w:val="007A5212"/>
    <w:rsid w:val="007A595D"/>
    <w:rsid w:val="007B317C"/>
    <w:rsid w:val="007B6BB9"/>
    <w:rsid w:val="007C2D2C"/>
    <w:rsid w:val="007C2D91"/>
    <w:rsid w:val="007C42FA"/>
    <w:rsid w:val="007D0735"/>
    <w:rsid w:val="007D76C6"/>
    <w:rsid w:val="007E271D"/>
    <w:rsid w:val="007E5D40"/>
    <w:rsid w:val="007E64CE"/>
    <w:rsid w:val="007F4069"/>
    <w:rsid w:val="007F5FDE"/>
    <w:rsid w:val="00803B1F"/>
    <w:rsid w:val="00805DAF"/>
    <w:rsid w:val="008126A6"/>
    <w:rsid w:val="008131E4"/>
    <w:rsid w:val="00815053"/>
    <w:rsid w:val="008160F5"/>
    <w:rsid w:val="0082033F"/>
    <w:rsid w:val="0082128D"/>
    <w:rsid w:val="008241DC"/>
    <w:rsid w:val="00824626"/>
    <w:rsid w:val="008269CC"/>
    <w:rsid w:val="00831415"/>
    <w:rsid w:val="00833479"/>
    <w:rsid w:val="008418B7"/>
    <w:rsid w:val="00843BA7"/>
    <w:rsid w:val="00844979"/>
    <w:rsid w:val="008472AD"/>
    <w:rsid w:val="00866495"/>
    <w:rsid w:val="00872C55"/>
    <w:rsid w:val="00881FB8"/>
    <w:rsid w:val="008845B6"/>
    <w:rsid w:val="00886F93"/>
    <w:rsid w:val="0089064C"/>
    <w:rsid w:val="00891A52"/>
    <w:rsid w:val="008A0414"/>
    <w:rsid w:val="008A21C3"/>
    <w:rsid w:val="008A2A63"/>
    <w:rsid w:val="008A43E7"/>
    <w:rsid w:val="008B7AC2"/>
    <w:rsid w:val="008C236E"/>
    <w:rsid w:val="008D1040"/>
    <w:rsid w:val="008D1BDF"/>
    <w:rsid w:val="008D49F9"/>
    <w:rsid w:val="008D66FA"/>
    <w:rsid w:val="008E4A37"/>
    <w:rsid w:val="008F70EA"/>
    <w:rsid w:val="009072BD"/>
    <w:rsid w:val="00911CAD"/>
    <w:rsid w:val="00911D9B"/>
    <w:rsid w:val="00916195"/>
    <w:rsid w:val="00917976"/>
    <w:rsid w:val="0092055D"/>
    <w:rsid w:val="009212B4"/>
    <w:rsid w:val="00933D03"/>
    <w:rsid w:val="00934255"/>
    <w:rsid w:val="0093657D"/>
    <w:rsid w:val="00941368"/>
    <w:rsid w:val="009435B5"/>
    <w:rsid w:val="00943B38"/>
    <w:rsid w:val="00946273"/>
    <w:rsid w:val="00947B0F"/>
    <w:rsid w:val="00954CA4"/>
    <w:rsid w:val="00955224"/>
    <w:rsid w:val="009604FA"/>
    <w:rsid w:val="00961BA4"/>
    <w:rsid w:val="0097241B"/>
    <w:rsid w:val="00973E1C"/>
    <w:rsid w:val="00975FF4"/>
    <w:rsid w:val="00977759"/>
    <w:rsid w:val="00977F75"/>
    <w:rsid w:val="00980167"/>
    <w:rsid w:val="009A2322"/>
    <w:rsid w:val="009A6386"/>
    <w:rsid w:val="009B764D"/>
    <w:rsid w:val="009C0FE0"/>
    <w:rsid w:val="009C1640"/>
    <w:rsid w:val="009C3C43"/>
    <w:rsid w:val="009C59D1"/>
    <w:rsid w:val="009C6B5B"/>
    <w:rsid w:val="009E6CFA"/>
    <w:rsid w:val="009F0532"/>
    <w:rsid w:val="009F7D0C"/>
    <w:rsid w:val="00A0295A"/>
    <w:rsid w:val="00A054DC"/>
    <w:rsid w:val="00A1004E"/>
    <w:rsid w:val="00A14687"/>
    <w:rsid w:val="00A150D8"/>
    <w:rsid w:val="00A207A2"/>
    <w:rsid w:val="00A354BF"/>
    <w:rsid w:val="00A3669A"/>
    <w:rsid w:val="00A50096"/>
    <w:rsid w:val="00A52D5C"/>
    <w:rsid w:val="00A62DDB"/>
    <w:rsid w:val="00A7071E"/>
    <w:rsid w:val="00A87C51"/>
    <w:rsid w:val="00A87E9E"/>
    <w:rsid w:val="00A91921"/>
    <w:rsid w:val="00AA6197"/>
    <w:rsid w:val="00AA6BD8"/>
    <w:rsid w:val="00AB1788"/>
    <w:rsid w:val="00AB70A6"/>
    <w:rsid w:val="00AC4666"/>
    <w:rsid w:val="00AC78F8"/>
    <w:rsid w:val="00AD570A"/>
    <w:rsid w:val="00AE0714"/>
    <w:rsid w:val="00AE4148"/>
    <w:rsid w:val="00AE4684"/>
    <w:rsid w:val="00AE4E47"/>
    <w:rsid w:val="00AE6AD5"/>
    <w:rsid w:val="00AF14A2"/>
    <w:rsid w:val="00AF1CC4"/>
    <w:rsid w:val="00B01B72"/>
    <w:rsid w:val="00B2086A"/>
    <w:rsid w:val="00B25413"/>
    <w:rsid w:val="00B26F6E"/>
    <w:rsid w:val="00B31229"/>
    <w:rsid w:val="00B459E3"/>
    <w:rsid w:val="00B50ED9"/>
    <w:rsid w:val="00B5373A"/>
    <w:rsid w:val="00B60BB8"/>
    <w:rsid w:val="00B6152F"/>
    <w:rsid w:val="00B659B9"/>
    <w:rsid w:val="00B65DD5"/>
    <w:rsid w:val="00B71389"/>
    <w:rsid w:val="00B73FD1"/>
    <w:rsid w:val="00B7732E"/>
    <w:rsid w:val="00B85D54"/>
    <w:rsid w:val="00B86BF1"/>
    <w:rsid w:val="00B933CC"/>
    <w:rsid w:val="00B96552"/>
    <w:rsid w:val="00BA002C"/>
    <w:rsid w:val="00BA6CED"/>
    <w:rsid w:val="00BA785E"/>
    <w:rsid w:val="00BB0D80"/>
    <w:rsid w:val="00BB2B1C"/>
    <w:rsid w:val="00BB4A95"/>
    <w:rsid w:val="00BB637D"/>
    <w:rsid w:val="00BC0CD3"/>
    <w:rsid w:val="00BC0D9F"/>
    <w:rsid w:val="00BC1CDE"/>
    <w:rsid w:val="00BC281D"/>
    <w:rsid w:val="00BC5F59"/>
    <w:rsid w:val="00BD0C0A"/>
    <w:rsid w:val="00BD3030"/>
    <w:rsid w:val="00BD3113"/>
    <w:rsid w:val="00BD6FBC"/>
    <w:rsid w:val="00BE3A70"/>
    <w:rsid w:val="00BE73EC"/>
    <w:rsid w:val="00BF26B4"/>
    <w:rsid w:val="00BF2DCF"/>
    <w:rsid w:val="00BF5AB8"/>
    <w:rsid w:val="00BF5B60"/>
    <w:rsid w:val="00C057A8"/>
    <w:rsid w:val="00C062FD"/>
    <w:rsid w:val="00C067A2"/>
    <w:rsid w:val="00C139D0"/>
    <w:rsid w:val="00C14C1B"/>
    <w:rsid w:val="00C14CBF"/>
    <w:rsid w:val="00C205FA"/>
    <w:rsid w:val="00C21DEF"/>
    <w:rsid w:val="00C23654"/>
    <w:rsid w:val="00C23710"/>
    <w:rsid w:val="00C23A21"/>
    <w:rsid w:val="00C264FD"/>
    <w:rsid w:val="00C40CF7"/>
    <w:rsid w:val="00C44879"/>
    <w:rsid w:val="00C50F51"/>
    <w:rsid w:val="00C51072"/>
    <w:rsid w:val="00C60073"/>
    <w:rsid w:val="00C7540F"/>
    <w:rsid w:val="00C76761"/>
    <w:rsid w:val="00C77A24"/>
    <w:rsid w:val="00C8155A"/>
    <w:rsid w:val="00C81DD4"/>
    <w:rsid w:val="00C81FE1"/>
    <w:rsid w:val="00C82859"/>
    <w:rsid w:val="00C85B6C"/>
    <w:rsid w:val="00C877A9"/>
    <w:rsid w:val="00C90AFC"/>
    <w:rsid w:val="00C91906"/>
    <w:rsid w:val="00C91EBB"/>
    <w:rsid w:val="00C93A59"/>
    <w:rsid w:val="00CA3E71"/>
    <w:rsid w:val="00CA4721"/>
    <w:rsid w:val="00CA7129"/>
    <w:rsid w:val="00CB3327"/>
    <w:rsid w:val="00CB334C"/>
    <w:rsid w:val="00CB73AB"/>
    <w:rsid w:val="00CD0EFD"/>
    <w:rsid w:val="00CD4A10"/>
    <w:rsid w:val="00CD7047"/>
    <w:rsid w:val="00CD7600"/>
    <w:rsid w:val="00CE075A"/>
    <w:rsid w:val="00CE1161"/>
    <w:rsid w:val="00CE3A60"/>
    <w:rsid w:val="00CE4D84"/>
    <w:rsid w:val="00CE737D"/>
    <w:rsid w:val="00CF4075"/>
    <w:rsid w:val="00D01BC1"/>
    <w:rsid w:val="00D05D65"/>
    <w:rsid w:val="00D065D2"/>
    <w:rsid w:val="00D207F5"/>
    <w:rsid w:val="00D23645"/>
    <w:rsid w:val="00D31D7E"/>
    <w:rsid w:val="00D404E6"/>
    <w:rsid w:val="00D41510"/>
    <w:rsid w:val="00D41BA3"/>
    <w:rsid w:val="00D4615C"/>
    <w:rsid w:val="00D47680"/>
    <w:rsid w:val="00D51ABA"/>
    <w:rsid w:val="00D56C96"/>
    <w:rsid w:val="00D56FF5"/>
    <w:rsid w:val="00D607A6"/>
    <w:rsid w:val="00D62F80"/>
    <w:rsid w:val="00D80665"/>
    <w:rsid w:val="00D86833"/>
    <w:rsid w:val="00DA2025"/>
    <w:rsid w:val="00DB2DAC"/>
    <w:rsid w:val="00DC0FD0"/>
    <w:rsid w:val="00DC356A"/>
    <w:rsid w:val="00DC44AC"/>
    <w:rsid w:val="00DD10CF"/>
    <w:rsid w:val="00DD520F"/>
    <w:rsid w:val="00DD56AC"/>
    <w:rsid w:val="00DD75F7"/>
    <w:rsid w:val="00DD7BC4"/>
    <w:rsid w:val="00DE10B9"/>
    <w:rsid w:val="00DF02A7"/>
    <w:rsid w:val="00DF3C7E"/>
    <w:rsid w:val="00E00D8E"/>
    <w:rsid w:val="00E12494"/>
    <w:rsid w:val="00E22B3C"/>
    <w:rsid w:val="00E260C3"/>
    <w:rsid w:val="00E26EE4"/>
    <w:rsid w:val="00E30EC5"/>
    <w:rsid w:val="00E31E38"/>
    <w:rsid w:val="00E3519B"/>
    <w:rsid w:val="00E35F2E"/>
    <w:rsid w:val="00E407E7"/>
    <w:rsid w:val="00E44FED"/>
    <w:rsid w:val="00E47CC3"/>
    <w:rsid w:val="00E61E84"/>
    <w:rsid w:val="00E61F99"/>
    <w:rsid w:val="00E63745"/>
    <w:rsid w:val="00E64BC9"/>
    <w:rsid w:val="00E65EC6"/>
    <w:rsid w:val="00E7286C"/>
    <w:rsid w:val="00E729D6"/>
    <w:rsid w:val="00E737F1"/>
    <w:rsid w:val="00E74C14"/>
    <w:rsid w:val="00E74DD7"/>
    <w:rsid w:val="00E757E4"/>
    <w:rsid w:val="00E916BF"/>
    <w:rsid w:val="00E9358A"/>
    <w:rsid w:val="00E97C06"/>
    <w:rsid w:val="00EA2CA3"/>
    <w:rsid w:val="00EA4BCA"/>
    <w:rsid w:val="00EA6DB5"/>
    <w:rsid w:val="00EB5FE0"/>
    <w:rsid w:val="00EB65DB"/>
    <w:rsid w:val="00EB7F56"/>
    <w:rsid w:val="00EC1EBF"/>
    <w:rsid w:val="00ED54CD"/>
    <w:rsid w:val="00EE147F"/>
    <w:rsid w:val="00EE56F8"/>
    <w:rsid w:val="00EE7749"/>
    <w:rsid w:val="00EF27F8"/>
    <w:rsid w:val="00EF6DAE"/>
    <w:rsid w:val="00F0465E"/>
    <w:rsid w:val="00F159EE"/>
    <w:rsid w:val="00F3307D"/>
    <w:rsid w:val="00F35FAD"/>
    <w:rsid w:val="00F40343"/>
    <w:rsid w:val="00F4292C"/>
    <w:rsid w:val="00F4336B"/>
    <w:rsid w:val="00F54E62"/>
    <w:rsid w:val="00F60EF1"/>
    <w:rsid w:val="00F67AC0"/>
    <w:rsid w:val="00F70592"/>
    <w:rsid w:val="00F7209D"/>
    <w:rsid w:val="00F73087"/>
    <w:rsid w:val="00F8049C"/>
    <w:rsid w:val="00F8171B"/>
    <w:rsid w:val="00F93F28"/>
    <w:rsid w:val="00F942A8"/>
    <w:rsid w:val="00F956D9"/>
    <w:rsid w:val="00FB6755"/>
    <w:rsid w:val="00FD15EB"/>
    <w:rsid w:val="00FD675C"/>
    <w:rsid w:val="00FE09F7"/>
    <w:rsid w:val="00FE0D42"/>
    <w:rsid w:val="00FE193D"/>
    <w:rsid w:val="00FE3609"/>
    <w:rsid w:val="00FE5A8F"/>
    <w:rsid w:val="00FF65C6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891F7-6D43-4EF3-AB09-2165C751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6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EC3"/>
    <w:pPr>
      <w:ind w:left="720"/>
      <w:contextualSpacing/>
    </w:pPr>
  </w:style>
  <w:style w:type="table" w:styleId="TableGrid">
    <w:name w:val="Table Grid"/>
    <w:basedOn w:val="TableNormal"/>
    <w:uiPriority w:val="59"/>
    <w:rsid w:val="008C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681D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81D33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681D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681D3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D3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81D33"/>
    <w:rPr>
      <w:rFonts w:ascii="Tahoma" w:hAnsi="Tahoma" w:cs="Tahoma"/>
      <w:sz w:val="16"/>
      <w:szCs w:val="16"/>
    </w:rPr>
  </w:style>
  <w:style w:type="paragraph" w:customStyle="1" w:styleId="JuPara">
    <w:name w:val="Ju_Para"/>
    <w:aliases w:val="Left,First line:  0 cm"/>
    <w:basedOn w:val="Normal"/>
    <w:link w:val="JuParaChar"/>
    <w:rsid w:val="00681D33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681D33"/>
    <w:rPr>
      <w:rFonts w:ascii="Times New Roman" w:eastAsia="Times New Roman" w:hAnsi="Times New Roman"/>
      <w:sz w:val="24"/>
      <w:lang w:val="en-GB" w:eastAsia="fr-FR"/>
    </w:rPr>
  </w:style>
  <w:style w:type="paragraph" w:customStyle="1" w:styleId="JuJudges">
    <w:name w:val="Ju_Judges"/>
    <w:basedOn w:val="Normal"/>
    <w:link w:val="JuJudgesChar"/>
    <w:rsid w:val="00681D33"/>
    <w:pPr>
      <w:tabs>
        <w:tab w:val="left" w:pos="567"/>
        <w:tab w:val="left" w:pos="1134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n-GB" w:eastAsia="fr-FR"/>
    </w:rPr>
  </w:style>
  <w:style w:type="character" w:customStyle="1" w:styleId="JuJudgesChar">
    <w:name w:val="Ju_Judges Char"/>
    <w:link w:val="JuJudges"/>
    <w:locked/>
    <w:rsid w:val="00681D33"/>
    <w:rPr>
      <w:rFonts w:ascii="Times New Roman" w:eastAsia="Times New Roman" w:hAnsi="Times New Roman"/>
      <w:sz w:val="24"/>
      <w:lang w:val="en-GB" w:eastAsia="fr-FR"/>
    </w:rPr>
  </w:style>
  <w:style w:type="paragraph" w:customStyle="1" w:styleId="JuCase">
    <w:name w:val="Ju_Case"/>
    <w:basedOn w:val="JuPara"/>
    <w:next w:val="JuPara"/>
    <w:link w:val="JuCaseChar"/>
    <w:rsid w:val="00681D33"/>
    <w:rPr>
      <w:b/>
    </w:rPr>
  </w:style>
  <w:style w:type="character" w:customStyle="1" w:styleId="JuCaseChar">
    <w:name w:val="Ju_Case Char"/>
    <w:link w:val="JuCase"/>
    <w:rsid w:val="00681D33"/>
    <w:rPr>
      <w:rFonts w:ascii="Times New Roman" w:eastAsia="Times New Roman" w:hAnsi="Times New Roman"/>
      <w:b/>
      <w:sz w:val="24"/>
      <w:lang w:val="en-GB" w:eastAsia="fr-FR"/>
    </w:rPr>
  </w:style>
  <w:style w:type="paragraph" w:customStyle="1" w:styleId="Default">
    <w:name w:val="Default"/>
    <w:rsid w:val="00CD4A1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uiPriority w:val="99"/>
    <w:unhideWhenUsed/>
    <w:rsid w:val="009435B5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B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54ECC-110E-4973-BF6B-EA7347A4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Ministria e Drejtesise</Company>
  <LinksUpToDate>false</LinksUpToDate>
  <CharactersWithSpaces>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</dc:creator>
  <cp:keywords/>
  <cp:lastModifiedBy>dritantelhaj@gmail.com</cp:lastModifiedBy>
  <cp:revision>2</cp:revision>
  <dcterms:created xsi:type="dcterms:W3CDTF">2020-07-01T12:49:00Z</dcterms:created>
  <dcterms:modified xsi:type="dcterms:W3CDTF">2020-07-01T12:49:00Z</dcterms:modified>
</cp:coreProperties>
</file>