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D6" w:rsidRPr="009232AD" w:rsidRDefault="00DA36D6" w:rsidP="00DA36D6">
      <w:pPr>
        <w:spacing w:after="0" w:line="240" w:lineRule="auto"/>
        <w:jc w:val="center"/>
        <w:rPr>
          <w:rFonts w:ascii="Garamond" w:hAnsi="Garamond"/>
          <w:sz w:val="24"/>
          <w:szCs w:val="24"/>
        </w:rPr>
      </w:pPr>
      <w:bookmarkStart w:id="0" w:name="_GoBack"/>
      <w:bookmarkEnd w:id="0"/>
      <w:r w:rsidRPr="009232AD">
        <w:rPr>
          <w:rFonts w:ascii="Garamond" w:hAnsi="Garamond"/>
          <w:sz w:val="24"/>
          <w:szCs w:val="24"/>
        </w:rPr>
        <w:t>SEKSIONI I DYTË</w:t>
      </w:r>
    </w:p>
    <w:p w:rsidR="00DA36D6" w:rsidRPr="009232AD" w:rsidRDefault="00DA36D6" w:rsidP="00DA36D6">
      <w:pPr>
        <w:spacing w:after="0" w:line="240" w:lineRule="auto"/>
        <w:jc w:val="center"/>
        <w:rPr>
          <w:rFonts w:ascii="Garamond" w:hAnsi="Garamond"/>
          <w:sz w:val="24"/>
          <w:szCs w:val="24"/>
        </w:rPr>
      </w:pPr>
    </w:p>
    <w:p w:rsidR="00DA36D6" w:rsidRPr="009232AD" w:rsidRDefault="00DA36D6" w:rsidP="00DA36D6">
      <w:pPr>
        <w:spacing w:after="0" w:line="240" w:lineRule="auto"/>
        <w:jc w:val="center"/>
        <w:rPr>
          <w:rFonts w:ascii="Garamond" w:hAnsi="Garamond"/>
          <w:sz w:val="24"/>
          <w:szCs w:val="24"/>
        </w:rPr>
      </w:pPr>
      <w:r w:rsidRPr="009232AD">
        <w:rPr>
          <w:rFonts w:ascii="Garamond" w:hAnsi="Garamond"/>
          <w:sz w:val="24"/>
          <w:szCs w:val="24"/>
        </w:rPr>
        <w:t>ÇËSHTJA PRIZRENI KUNDËR SHQIPËRISË</w:t>
      </w:r>
    </w:p>
    <w:p w:rsidR="00DA36D6" w:rsidRPr="009232AD" w:rsidRDefault="00DA36D6" w:rsidP="00DA36D6">
      <w:pPr>
        <w:spacing w:after="0" w:line="240" w:lineRule="auto"/>
        <w:jc w:val="center"/>
        <w:rPr>
          <w:rFonts w:ascii="Garamond" w:hAnsi="Garamond"/>
          <w:sz w:val="24"/>
          <w:szCs w:val="24"/>
        </w:rPr>
      </w:pPr>
    </w:p>
    <w:p w:rsidR="00DA36D6" w:rsidRPr="009232AD" w:rsidRDefault="00DA36D6" w:rsidP="00DA36D6">
      <w:pPr>
        <w:spacing w:after="0" w:line="240" w:lineRule="auto"/>
        <w:jc w:val="center"/>
        <w:rPr>
          <w:rFonts w:ascii="Garamond" w:hAnsi="Garamond"/>
          <w:sz w:val="24"/>
          <w:szCs w:val="24"/>
        </w:rPr>
      </w:pPr>
      <w:r w:rsidRPr="009232AD">
        <w:rPr>
          <w:rFonts w:ascii="Garamond" w:hAnsi="Garamond"/>
          <w:sz w:val="24"/>
          <w:szCs w:val="24"/>
        </w:rPr>
        <w:t>(</w:t>
      </w:r>
      <w:r w:rsidR="005F2568" w:rsidRPr="009232AD">
        <w:rPr>
          <w:rFonts w:ascii="Garamond" w:hAnsi="Garamond"/>
          <w:sz w:val="24"/>
          <w:szCs w:val="24"/>
        </w:rPr>
        <w:t xml:space="preserve">kërkesa </w:t>
      </w:r>
      <w:r w:rsidRPr="009232AD">
        <w:rPr>
          <w:rFonts w:ascii="Garamond" w:hAnsi="Garamond"/>
          <w:sz w:val="24"/>
          <w:szCs w:val="24"/>
        </w:rPr>
        <w:t>nr. 29309/16)</w:t>
      </w:r>
    </w:p>
    <w:p w:rsidR="00DA36D6" w:rsidRPr="009232AD" w:rsidRDefault="00DA36D6" w:rsidP="00DA36D6">
      <w:pPr>
        <w:spacing w:after="0" w:line="240" w:lineRule="auto"/>
        <w:jc w:val="center"/>
        <w:rPr>
          <w:rFonts w:ascii="Garamond" w:hAnsi="Garamond"/>
          <w:sz w:val="24"/>
          <w:szCs w:val="24"/>
        </w:rPr>
      </w:pPr>
    </w:p>
    <w:p w:rsidR="00DA36D6" w:rsidRPr="009232AD" w:rsidRDefault="00DA36D6" w:rsidP="00DA36D6">
      <w:pPr>
        <w:spacing w:after="0" w:line="240" w:lineRule="auto"/>
        <w:jc w:val="center"/>
        <w:rPr>
          <w:rFonts w:ascii="Garamond" w:hAnsi="Garamond"/>
          <w:sz w:val="24"/>
          <w:szCs w:val="24"/>
        </w:rPr>
      </w:pPr>
      <w:r w:rsidRPr="009232AD">
        <w:rPr>
          <w:rFonts w:ascii="Garamond" w:hAnsi="Garamond"/>
          <w:sz w:val="24"/>
          <w:szCs w:val="24"/>
        </w:rPr>
        <w:t>VENDIM</w:t>
      </w:r>
    </w:p>
    <w:p w:rsidR="00DA36D6" w:rsidRPr="009232AD" w:rsidRDefault="00DA36D6" w:rsidP="00DA36D6">
      <w:pPr>
        <w:spacing w:after="0" w:line="240" w:lineRule="auto"/>
        <w:jc w:val="center"/>
        <w:rPr>
          <w:rFonts w:ascii="Garamond" w:hAnsi="Garamond"/>
          <w:sz w:val="24"/>
          <w:szCs w:val="24"/>
        </w:rPr>
      </w:pPr>
    </w:p>
    <w:p w:rsidR="00DA36D6" w:rsidRPr="009232AD" w:rsidRDefault="00DA36D6" w:rsidP="00DA36D6">
      <w:pPr>
        <w:spacing w:after="0" w:line="240" w:lineRule="auto"/>
        <w:jc w:val="center"/>
        <w:rPr>
          <w:rFonts w:ascii="Garamond" w:hAnsi="Garamond"/>
          <w:sz w:val="24"/>
          <w:szCs w:val="24"/>
        </w:rPr>
      </w:pPr>
      <w:r w:rsidRPr="009232AD">
        <w:rPr>
          <w:rFonts w:ascii="Garamond" w:hAnsi="Garamond"/>
          <w:sz w:val="24"/>
          <w:szCs w:val="24"/>
        </w:rPr>
        <w:t>STRASBURG</w:t>
      </w:r>
    </w:p>
    <w:p w:rsidR="00DA36D6" w:rsidRPr="009232AD" w:rsidRDefault="00DA36D6" w:rsidP="00DA36D6">
      <w:pPr>
        <w:spacing w:after="0" w:line="240" w:lineRule="auto"/>
        <w:jc w:val="center"/>
        <w:rPr>
          <w:rFonts w:ascii="Garamond" w:hAnsi="Garamond"/>
          <w:sz w:val="24"/>
          <w:szCs w:val="24"/>
        </w:rPr>
      </w:pPr>
    </w:p>
    <w:p w:rsidR="00DA36D6" w:rsidRPr="009232AD" w:rsidRDefault="00DA36D6" w:rsidP="00DA36D6">
      <w:pPr>
        <w:spacing w:after="0" w:line="240" w:lineRule="auto"/>
        <w:jc w:val="center"/>
        <w:rPr>
          <w:rFonts w:ascii="Garamond" w:hAnsi="Garamond"/>
          <w:sz w:val="24"/>
          <w:szCs w:val="24"/>
        </w:rPr>
      </w:pPr>
      <w:r w:rsidRPr="009232AD">
        <w:rPr>
          <w:rFonts w:ascii="Garamond" w:hAnsi="Garamond"/>
          <w:sz w:val="24"/>
          <w:szCs w:val="24"/>
        </w:rPr>
        <w:t xml:space="preserve">11 </w:t>
      </w:r>
      <w:r w:rsidR="005F2568" w:rsidRPr="009232AD">
        <w:rPr>
          <w:rFonts w:ascii="Garamond" w:hAnsi="Garamond"/>
          <w:sz w:val="24"/>
          <w:szCs w:val="24"/>
        </w:rPr>
        <w:t xml:space="preserve">qershor </w:t>
      </w:r>
      <w:r w:rsidRPr="009232AD">
        <w:rPr>
          <w:rFonts w:ascii="Garamond" w:hAnsi="Garamond"/>
          <w:sz w:val="24"/>
          <w:szCs w:val="24"/>
        </w:rPr>
        <w:t>2019</w:t>
      </w:r>
    </w:p>
    <w:p w:rsidR="00DA36D6" w:rsidRPr="009232AD" w:rsidRDefault="00DA36D6" w:rsidP="00DA36D6">
      <w:pPr>
        <w:spacing w:after="0" w:line="240" w:lineRule="auto"/>
        <w:ind w:firstLine="284"/>
        <w:jc w:val="both"/>
        <w:rPr>
          <w:rFonts w:ascii="Garamond" w:hAnsi="Garamond"/>
          <w:sz w:val="24"/>
          <w:szCs w:val="24"/>
        </w:rPr>
      </w:pPr>
    </w:p>
    <w:p w:rsidR="005F2568" w:rsidRDefault="00DA36D6" w:rsidP="005F2568">
      <w:pPr>
        <w:spacing w:after="0" w:line="240" w:lineRule="auto"/>
        <w:jc w:val="center"/>
        <w:rPr>
          <w:rFonts w:ascii="Garamond" w:hAnsi="Garamond"/>
          <w:i/>
          <w:sz w:val="24"/>
          <w:szCs w:val="24"/>
        </w:rPr>
      </w:pPr>
      <w:r w:rsidRPr="005F2568">
        <w:rPr>
          <w:rFonts w:ascii="Garamond" w:hAnsi="Garamond"/>
          <w:i/>
          <w:sz w:val="24"/>
          <w:szCs w:val="24"/>
        </w:rPr>
        <w:t>Ky vendim është bërë i formës së prerë</w:t>
      </w:r>
      <w:r w:rsidR="005F2568" w:rsidRPr="005F2568">
        <w:rPr>
          <w:rFonts w:ascii="Garamond" w:hAnsi="Garamond"/>
          <w:i/>
          <w:sz w:val="24"/>
          <w:szCs w:val="24"/>
        </w:rPr>
        <w:t>,</w:t>
      </w:r>
      <w:r w:rsidRPr="005F2568">
        <w:rPr>
          <w:rFonts w:ascii="Garamond" w:hAnsi="Garamond"/>
          <w:i/>
          <w:sz w:val="24"/>
          <w:szCs w:val="24"/>
        </w:rPr>
        <w:t xml:space="preserve"> bazuar në </w:t>
      </w:r>
      <w:r w:rsidR="005F2568" w:rsidRPr="005F2568">
        <w:rPr>
          <w:rFonts w:ascii="Garamond" w:hAnsi="Garamond"/>
          <w:i/>
          <w:sz w:val="24"/>
          <w:szCs w:val="24"/>
        </w:rPr>
        <w:t xml:space="preserve">nenin </w:t>
      </w:r>
      <w:r w:rsidRPr="005F2568">
        <w:rPr>
          <w:rFonts w:ascii="Garamond" w:hAnsi="Garamond"/>
          <w:i/>
          <w:sz w:val="24"/>
          <w:szCs w:val="24"/>
        </w:rPr>
        <w:t xml:space="preserve">44 § 2 të Konventës. </w:t>
      </w:r>
    </w:p>
    <w:p w:rsidR="00DA36D6" w:rsidRPr="005F2568" w:rsidRDefault="00DA36D6" w:rsidP="005F2568">
      <w:pPr>
        <w:spacing w:after="0" w:line="240" w:lineRule="auto"/>
        <w:jc w:val="center"/>
        <w:rPr>
          <w:rFonts w:ascii="Garamond" w:hAnsi="Garamond"/>
          <w:i/>
          <w:sz w:val="24"/>
          <w:szCs w:val="24"/>
        </w:rPr>
      </w:pPr>
      <w:r w:rsidRPr="005F2568">
        <w:rPr>
          <w:rFonts w:ascii="Garamond" w:hAnsi="Garamond"/>
          <w:i/>
          <w:sz w:val="24"/>
          <w:szCs w:val="24"/>
        </w:rPr>
        <w:t>Ai mund të bëhet objekt i rishikimit redaktues.</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Në çështjen Prizreni kundër Shqipërisë,</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Gjykata E</w:t>
      </w:r>
      <w:r w:rsidR="005F2568">
        <w:rPr>
          <w:rFonts w:ascii="Garamond" w:hAnsi="Garamond"/>
          <w:sz w:val="24"/>
          <w:szCs w:val="24"/>
        </w:rPr>
        <w:t>v</w:t>
      </w:r>
      <w:r w:rsidRPr="009232AD">
        <w:rPr>
          <w:rFonts w:ascii="Garamond" w:hAnsi="Garamond"/>
          <w:sz w:val="24"/>
          <w:szCs w:val="24"/>
        </w:rPr>
        <w:t>ropiane e të Drejtave të Njeriut (</w:t>
      </w:r>
      <w:r w:rsidR="008F18C5" w:rsidRPr="009232AD">
        <w:rPr>
          <w:rFonts w:ascii="Garamond" w:hAnsi="Garamond"/>
          <w:sz w:val="24"/>
          <w:szCs w:val="24"/>
        </w:rPr>
        <w:t>seksioni i dytë</w:t>
      </w:r>
      <w:r w:rsidRPr="009232AD">
        <w:rPr>
          <w:rFonts w:ascii="Garamond" w:hAnsi="Garamond"/>
          <w:sz w:val="24"/>
          <w:szCs w:val="24"/>
        </w:rPr>
        <w:t xml:space="preserve">), e mbledhur si një Dhomë e përbërë nga: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 xml:space="preserve">Robert Spano, </w:t>
      </w:r>
      <w:r w:rsidR="008F18C5" w:rsidRPr="009232AD">
        <w:rPr>
          <w:rFonts w:ascii="Garamond" w:hAnsi="Garamond"/>
          <w:sz w:val="24"/>
          <w:szCs w:val="24"/>
        </w:rPr>
        <w:t>kryetar</w:t>
      </w:r>
      <w:r w:rsidRPr="009232AD">
        <w:rPr>
          <w:rFonts w:ascii="Garamond" w:hAnsi="Garamond"/>
          <w:sz w:val="24"/>
          <w:szCs w:val="24"/>
        </w:rPr>
        <w: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Marko Bošnjak,</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 xml:space="preserve">Işıl Karakaş, </w:t>
      </w:r>
    </w:p>
    <w:p w:rsidR="00DA36D6" w:rsidRPr="009232AD" w:rsidRDefault="00DA36D6" w:rsidP="00DA36D6">
      <w:pPr>
        <w:spacing w:after="0" w:line="240" w:lineRule="auto"/>
        <w:ind w:firstLine="720"/>
        <w:jc w:val="both"/>
        <w:rPr>
          <w:rFonts w:ascii="Garamond" w:hAnsi="Garamond"/>
          <w:sz w:val="24"/>
          <w:szCs w:val="24"/>
        </w:rPr>
      </w:pPr>
      <w:r w:rsidRPr="009232AD">
        <w:rPr>
          <w:rFonts w:ascii="Garamond" w:hAnsi="Garamond"/>
          <w:sz w:val="24"/>
          <w:szCs w:val="24"/>
        </w:rPr>
        <w:t>Julia Laffranque,</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Valeriu Griţco,</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 xml:space="preserve">Arnfinn Bårdsen,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ab/>
        <w:t xml:space="preserve">Darian Pavli, gjyqtarë dhe Stanley Naismith, </w:t>
      </w:r>
      <w:r w:rsidR="008F18C5" w:rsidRPr="009232AD">
        <w:rPr>
          <w:rFonts w:ascii="Garamond" w:hAnsi="Garamond"/>
          <w:sz w:val="24"/>
          <w:szCs w:val="24"/>
        </w:rPr>
        <w:t xml:space="preserve">sekretar </w:t>
      </w:r>
      <w:r w:rsidRPr="009232AD">
        <w:rPr>
          <w:rFonts w:ascii="Garamond" w:hAnsi="Garamond"/>
          <w:sz w:val="24"/>
          <w:szCs w:val="24"/>
        </w:rPr>
        <w:t xml:space="preserve">i </w:t>
      </w:r>
      <w:r w:rsidR="008F18C5" w:rsidRPr="009232AD">
        <w:rPr>
          <w:rFonts w:ascii="Garamond" w:hAnsi="Garamond"/>
          <w:sz w:val="24"/>
          <w:szCs w:val="24"/>
        </w:rPr>
        <w:t>seksionit</w:t>
      </w:r>
      <w:r w:rsidRPr="009232AD">
        <w:rPr>
          <w:rFonts w:ascii="Garamond" w:hAnsi="Garamond"/>
          <w:sz w:val="24"/>
          <w:szCs w:val="24"/>
        </w:rPr>
        <w:t>,</w:t>
      </w:r>
    </w:p>
    <w:p w:rsidR="00DA36D6" w:rsidRPr="009232AD" w:rsidRDefault="008F18C5"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pasi </w:t>
      </w:r>
      <w:r w:rsidR="00DA36D6" w:rsidRPr="009232AD">
        <w:rPr>
          <w:rFonts w:ascii="Garamond" w:hAnsi="Garamond"/>
          <w:sz w:val="24"/>
          <w:szCs w:val="24"/>
        </w:rPr>
        <w:t xml:space="preserve">diskutuan me dyer të mbyllura </w:t>
      </w:r>
      <w:r>
        <w:rPr>
          <w:rFonts w:ascii="Garamond" w:hAnsi="Garamond"/>
          <w:sz w:val="24"/>
          <w:szCs w:val="24"/>
        </w:rPr>
        <w:t>n</w:t>
      </w:r>
      <w:r w:rsidR="00DA36D6" w:rsidRPr="009232AD">
        <w:rPr>
          <w:rFonts w:ascii="Garamond" w:hAnsi="Garamond"/>
          <w:sz w:val="24"/>
          <w:szCs w:val="24"/>
        </w:rPr>
        <w:t>ë datë</w:t>
      </w:r>
      <w:r>
        <w:rPr>
          <w:rFonts w:ascii="Garamond" w:hAnsi="Garamond"/>
          <w:sz w:val="24"/>
          <w:szCs w:val="24"/>
        </w:rPr>
        <w:t>n</w:t>
      </w:r>
      <w:r w:rsidR="00DA36D6" w:rsidRPr="009232AD">
        <w:rPr>
          <w:rFonts w:ascii="Garamond" w:hAnsi="Garamond"/>
          <w:sz w:val="24"/>
          <w:szCs w:val="24"/>
        </w:rPr>
        <w:t xml:space="preserve"> 21 </w:t>
      </w:r>
      <w:r w:rsidRPr="009232AD">
        <w:rPr>
          <w:rFonts w:ascii="Garamond" w:hAnsi="Garamond"/>
          <w:sz w:val="24"/>
          <w:szCs w:val="24"/>
        </w:rPr>
        <w:t xml:space="preserve">maj </w:t>
      </w:r>
      <w:r w:rsidR="00DA36D6" w:rsidRPr="009232AD">
        <w:rPr>
          <w:rFonts w:ascii="Garamond" w:hAnsi="Garamond"/>
          <w:sz w:val="24"/>
          <w:szCs w:val="24"/>
        </w:rPr>
        <w:t>2019,</w:t>
      </w:r>
    </w:p>
    <w:p w:rsidR="00DA36D6" w:rsidRPr="009232AD" w:rsidRDefault="008F18C5"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shpall </w:t>
      </w:r>
      <w:r w:rsidR="00DA36D6" w:rsidRPr="009232AD">
        <w:rPr>
          <w:rFonts w:ascii="Garamond" w:hAnsi="Garamond"/>
          <w:sz w:val="24"/>
          <w:szCs w:val="24"/>
        </w:rPr>
        <w:t>vendimin e mëposhtëm, i cili u miratua në po atë datë</w:t>
      </w:r>
      <w:r>
        <w:rPr>
          <w:rFonts w:ascii="Garamond" w:hAnsi="Garamond"/>
          <w:sz w:val="24"/>
          <w:szCs w:val="24"/>
        </w:rPr>
        <w:t>.</w:t>
      </w:r>
      <w:r w:rsidR="00DA36D6"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PROCEDURA</w:t>
      </w:r>
    </w:p>
    <w:p w:rsidR="00DA36D6" w:rsidRPr="009232AD" w:rsidRDefault="00665EFF" w:rsidP="00DA36D6">
      <w:pPr>
        <w:spacing w:after="0" w:line="240" w:lineRule="auto"/>
        <w:ind w:firstLine="284"/>
        <w:jc w:val="both"/>
        <w:rPr>
          <w:rFonts w:ascii="Garamond" w:hAnsi="Garamond"/>
          <w:sz w:val="24"/>
          <w:szCs w:val="24"/>
        </w:rPr>
      </w:pPr>
      <w:r w:rsidRPr="009232AD">
        <w:rPr>
          <w:rFonts w:ascii="Garamond" w:hAnsi="Garamond"/>
          <w:sz w:val="24"/>
          <w:szCs w:val="24"/>
        </w:rPr>
        <w:fldChar w:fldCharType="begin"/>
      </w:r>
      <w:r w:rsidR="00DA36D6" w:rsidRPr="009232AD">
        <w:rPr>
          <w:rFonts w:ascii="Garamond" w:hAnsi="Garamond"/>
          <w:sz w:val="24"/>
          <w:szCs w:val="24"/>
        </w:rPr>
        <w:instrText xml:space="preserve"> SEQ level0 \*arabic </w:instrText>
      </w:r>
      <w:r w:rsidRPr="009232AD">
        <w:rPr>
          <w:rFonts w:ascii="Garamond" w:hAnsi="Garamond"/>
          <w:sz w:val="24"/>
          <w:szCs w:val="24"/>
        </w:rPr>
        <w:fldChar w:fldCharType="separate"/>
      </w:r>
      <w:r w:rsidR="00DA36D6" w:rsidRPr="009232AD">
        <w:rPr>
          <w:rFonts w:ascii="Garamond" w:hAnsi="Garamond"/>
          <w:sz w:val="24"/>
          <w:szCs w:val="24"/>
        </w:rPr>
        <w:t>1</w:t>
      </w:r>
      <w:r w:rsidRPr="009232AD">
        <w:rPr>
          <w:rFonts w:ascii="Garamond" w:hAnsi="Garamond"/>
          <w:sz w:val="24"/>
          <w:szCs w:val="24"/>
        </w:rPr>
        <w:fldChar w:fldCharType="end"/>
      </w:r>
      <w:r w:rsidR="00DA36D6" w:rsidRPr="009232AD">
        <w:rPr>
          <w:rFonts w:ascii="Garamond" w:hAnsi="Garamond"/>
          <w:sz w:val="24"/>
          <w:szCs w:val="24"/>
        </w:rPr>
        <w:t>.</w:t>
      </w:r>
      <w:r w:rsidR="00900F23" w:rsidRPr="009232AD">
        <w:rPr>
          <w:rFonts w:ascii="Garamond" w:hAnsi="Garamond"/>
          <w:sz w:val="24"/>
          <w:szCs w:val="24"/>
        </w:rPr>
        <w:t xml:space="preserve"> </w:t>
      </w:r>
      <w:r w:rsidR="00DA36D6" w:rsidRPr="009232AD">
        <w:rPr>
          <w:rFonts w:ascii="Garamond" w:hAnsi="Garamond"/>
          <w:sz w:val="24"/>
          <w:szCs w:val="24"/>
        </w:rPr>
        <w:t xml:space="preserve">Çështja filloi me një kërkesë (nr. 29309/16) kundër Republikës së Shqipërisë, paraqitur në </w:t>
      </w:r>
      <w:r w:rsidR="00227F48" w:rsidRPr="009232AD">
        <w:rPr>
          <w:rFonts w:ascii="Garamond" w:hAnsi="Garamond"/>
          <w:sz w:val="24"/>
          <w:szCs w:val="24"/>
        </w:rPr>
        <w:t>gjykatë</w:t>
      </w:r>
      <w:r w:rsidR="00227F48">
        <w:rPr>
          <w:rFonts w:ascii="Garamond" w:hAnsi="Garamond"/>
          <w:sz w:val="24"/>
          <w:szCs w:val="24"/>
        </w:rPr>
        <w:t>,</w:t>
      </w:r>
      <w:r w:rsidR="00227F48" w:rsidRPr="009232AD">
        <w:rPr>
          <w:rFonts w:ascii="Garamond" w:hAnsi="Garamond"/>
          <w:sz w:val="24"/>
          <w:szCs w:val="24"/>
        </w:rPr>
        <w:t xml:space="preserve"> </w:t>
      </w:r>
      <w:r w:rsidR="008F18C5">
        <w:rPr>
          <w:rFonts w:ascii="Garamond" w:hAnsi="Garamond"/>
          <w:sz w:val="24"/>
          <w:szCs w:val="24"/>
        </w:rPr>
        <w:t>në</w:t>
      </w:r>
      <w:r w:rsidR="00DA36D6" w:rsidRPr="009232AD">
        <w:rPr>
          <w:rFonts w:ascii="Garamond" w:hAnsi="Garamond"/>
          <w:sz w:val="24"/>
          <w:szCs w:val="24"/>
        </w:rPr>
        <w:t xml:space="preserve"> datë</w:t>
      </w:r>
      <w:r w:rsidR="008F18C5">
        <w:rPr>
          <w:rFonts w:ascii="Garamond" w:hAnsi="Garamond"/>
          <w:sz w:val="24"/>
          <w:szCs w:val="24"/>
        </w:rPr>
        <w:t>n</w:t>
      </w:r>
      <w:r w:rsidR="00DA36D6" w:rsidRPr="009232AD">
        <w:rPr>
          <w:rFonts w:ascii="Garamond" w:hAnsi="Garamond"/>
          <w:sz w:val="24"/>
          <w:szCs w:val="24"/>
        </w:rPr>
        <w:t xml:space="preserve"> 16 </w:t>
      </w:r>
      <w:r w:rsidR="008F18C5" w:rsidRPr="009232AD">
        <w:rPr>
          <w:rFonts w:ascii="Garamond" w:hAnsi="Garamond"/>
          <w:sz w:val="24"/>
          <w:szCs w:val="24"/>
        </w:rPr>
        <w:t xml:space="preserve">maj </w:t>
      </w:r>
      <w:r w:rsidR="00DA36D6" w:rsidRPr="009232AD">
        <w:rPr>
          <w:rFonts w:ascii="Garamond" w:hAnsi="Garamond"/>
          <w:sz w:val="24"/>
          <w:szCs w:val="24"/>
        </w:rPr>
        <w:t xml:space="preserve">2016, mbështetur në </w:t>
      </w:r>
      <w:r w:rsidR="005F2568" w:rsidRPr="009232AD">
        <w:rPr>
          <w:rFonts w:ascii="Garamond" w:hAnsi="Garamond"/>
          <w:sz w:val="24"/>
          <w:szCs w:val="24"/>
        </w:rPr>
        <w:t xml:space="preserve">nenin </w:t>
      </w:r>
      <w:r w:rsidR="00DA36D6" w:rsidRPr="009232AD">
        <w:rPr>
          <w:rFonts w:ascii="Garamond" w:hAnsi="Garamond"/>
          <w:sz w:val="24"/>
          <w:szCs w:val="24"/>
        </w:rPr>
        <w:t>34 të Konventës për Mbrojtjen e të Drejtave të</w:t>
      </w:r>
      <w:r w:rsidR="005F2568">
        <w:rPr>
          <w:rFonts w:ascii="Garamond" w:hAnsi="Garamond"/>
          <w:sz w:val="24"/>
          <w:szCs w:val="24"/>
        </w:rPr>
        <w:t xml:space="preserve"> Njeriut dhe Lirive Themelore (Konventa</w:t>
      </w:r>
      <w:r w:rsidR="00DA36D6" w:rsidRPr="009232AD">
        <w:rPr>
          <w:rFonts w:ascii="Garamond" w:hAnsi="Garamond"/>
          <w:sz w:val="24"/>
          <w:szCs w:val="24"/>
        </w:rPr>
        <w:t>), nga një shteta</w:t>
      </w:r>
      <w:r w:rsidR="005F2568">
        <w:rPr>
          <w:rFonts w:ascii="Garamond" w:hAnsi="Garamond"/>
          <w:sz w:val="24"/>
          <w:szCs w:val="24"/>
        </w:rPr>
        <w:t>s shqiptar, z. Fatos Prizreni (kërkuesi</w:t>
      </w:r>
      <w:r w:rsidR="00DA36D6"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Kërkuesi u përfaqësua nga </w:t>
      </w:r>
      <w:r w:rsidR="005F2568" w:rsidRPr="009232AD">
        <w:rPr>
          <w:rFonts w:ascii="Garamond" w:hAnsi="Garamond"/>
          <w:sz w:val="24"/>
          <w:szCs w:val="24"/>
        </w:rPr>
        <w:t>z</w:t>
      </w:r>
      <w:r w:rsidR="005F2568">
        <w:rPr>
          <w:rFonts w:ascii="Garamond" w:hAnsi="Garamond"/>
          <w:sz w:val="24"/>
          <w:szCs w:val="24"/>
        </w:rPr>
        <w:t>n</w:t>
      </w:r>
      <w:r w:rsidR="005F2568" w:rsidRPr="009232AD">
        <w:rPr>
          <w:rFonts w:ascii="Garamond" w:hAnsi="Garamond"/>
          <w:sz w:val="24"/>
          <w:szCs w:val="24"/>
        </w:rPr>
        <w:t>j</w:t>
      </w:r>
      <w:r w:rsidRPr="009232AD">
        <w:rPr>
          <w:rFonts w:ascii="Garamond" w:hAnsi="Garamond"/>
          <w:sz w:val="24"/>
          <w:szCs w:val="24"/>
        </w:rPr>
        <w:t>. E. Skendaj, nga Komiteti i Helsinkit. Qeveria shqiptare (</w:t>
      </w:r>
      <w:r w:rsidR="005F2568" w:rsidRPr="009232AD">
        <w:rPr>
          <w:rFonts w:ascii="Garamond" w:hAnsi="Garamond"/>
          <w:sz w:val="24"/>
          <w:szCs w:val="24"/>
        </w:rPr>
        <w:t>qeveria</w:t>
      </w:r>
      <w:r w:rsidRPr="009232AD">
        <w:rPr>
          <w:rFonts w:ascii="Garamond" w:hAnsi="Garamond"/>
          <w:sz w:val="24"/>
          <w:szCs w:val="24"/>
        </w:rPr>
        <w:t xml:space="preserve">) u përfaqësua nga </w:t>
      </w:r>
      <w:r w:rsidR="008F18C5" w:rsidRPr="009232AD">
        <w:rPr>
          <w:rFonts w:ascii="Garamond" w:hAnsi="Garamond"/>
          <w:sz w:val="24"/>
          <w:szCs w:val="24"/>
        </w:rPr>
        <w:t xml:space="preserve">agjenti </w:t>
      </w:r>
      <w:r w:rsidRPr="009232AD">
        <w:rPr>
          <w:rFonts w:ascii="Garamond" w:hAnsi="Garamond"/>
          <w:sz w:val="24"/>
          <w:szCs w:val="24"/>
        </w:rPr>
        <w:t xml:space="preserve">i saj, </w:t>
      </w:r>
      <w:r w:rsidR="005F2568" w:rsidRPr="009232AD">
        <w:rPr>
          <w:rFonts w:ascii="Garamond" w:hAnsi="Garamond"/>
          <w:sz w:val="24"/>
          <w:szCs w:val="24"/>
        </w:rPr>
        <w:t>z</w:t>
      </w:r>
      <w:r w:rsidR="005F2568">
        <w:rPr>
          <w:rFonts w:ascii="Garamond" w:hAnsi="Garamond"/>
          <w:sz w:val="24"/>
          <w:szCs w:val="24"/>
        </w:rPr>
        <w:t>n</w:t>
      </w:r>
      <w:r w:rsidR="005F2568" w:rsidRPr="009232AD">
        <w:rPr>
          <w:rFonts w:ascii="Garamond" w:hAnsi="Garamond"/>
          <w:sz w:val="24"/>
          <w:szCs w:val="24"/>
        </w:rPr>
        <w:t>j</w:t>
      </w:r>
      <w:r w:rsidRPr="009232AD">
        <w:rPr>
          <w:rFonts w:ascii="Garamond" w:hAnsi="Garamond"/>
          <w:sz w:val="24"/>
          <w:szCs w:val="24"/>
        </w:rPr>
        <w:t xml:space="preserve">. Alma Hicka nga Avokatura e Shtetit.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 Kërkuesi u ankua për mungesë të një hetimi efikas për vdekjen e vëllait të tij, teksa ishte duke vuajtur dënimin me burgim, në kundërshtim me </w:t>
      </w:r>
      <w:r w:rsidR="008F18C5" w:rsidRPr="009232AD">
        <w:rPr>
          <w:rFonts w:ascii="Garamond" w:hAnsi="Garamond"/>
          <w:sz w:val="24"/>
          <w:szCs w:val="24"/>
        </w:rPr>
        <w:t xml:space="preserve">nenin </w:t>
      </w:r>
      <w:r w:rsidRPr="009232AD">
        <w:rPr>
          <w:rFonts w:ascii="Garamond" w:hAnsi="Garamond"/>
          <w:sz w:val="24"/>
          <w:szCs w:val="24"/>
        </w:rPr>
        <w:t>2 të Konventës. Gjithashtu, ai u ankua për trajtimin çnjerëzor dhe degradues ndaj vëllait të tij</w:t>
      </w:r>
      <w:r w:rsidR="008F18C5">
        <w:rPr>
          <w:rFonts w:ascii="Garamond" w:hAnsi="Garamond"/>
          <w:sz w:val="24"/>
          <w:szCs w:val="24"/>
        </w:rPr>
        <w:t>,</w:t>
      </w:r>
      <w:r w:rsidRPr="009232AD">
        <w:rPr>
          <w:rFonts w:ascii="Garamond" w:hAnsi="Garamond"/>
          <w:sz w:val="24"/>
          <w:szCs w:val="24"/>
        </w:rPr>
        <w:t xml:space="preserve"> si rezultat i mungesës së trajtimit mjekësor dhe faktit se vëllai i tij kishte qenë i prangosur teksa ishte në spital, në kundërshtim me </w:t>
      </w:r>
      <w:r w:rsidR="008F18C5" w:rsidRPr="009232AD">
        <w:rPr>
          <w:rFonts w:ascii="Garamond" w:hAnsi="Garamond"/>
          <w:sz w:val="24"/>
          <w:szCs w:val="24"/>
        </w:rPr>
        <w:t xml:space="preserve">nenin </w:t>
      </w:r>
      <w:r w:rsidRPr="009232AD">
        <w:rPr>
          <w:rFonts w:ascii="Garamond" w:hAnsi="Garamond"/>
          <w:sz w:val="24"/>
          <w:szCs w:val="24"/>
        </w:rPr>
        <w:t xml:space="preserve">3 të Konventës.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 </w:t>
      </w:r>
      <w:r w:rsidR="008F18C5">
        <w:rPr>
          <w:rFonts w:ascii="Garamond" w:hAnsi="Garamond"/>
          <w:sz w:val="24"/>
          <w:szCs w:val="24"/>
        </w:rPr>
        <w:t>N</w:t>
      </w:r>
      <w:r w:rsidRPr="009232AD">
        <w:rPr>
          <w:rFonts w:ascii="Garamond" w:hAnsi="Garamond"/>
          <w:sz w:val="24"/>
          <w:szCs w:val="24"/>
        </w:rPr>
        <w:t>ë datë</w:t>
      </w:r>
      <w:r w:rsidR="008F18C5">
        <w:rPr>
          <w:rFonts w:ascii="Garamond" w:hAnsi="Garamond"/>
          <w:sz w:val="24"/>
          <w:szCs w:val="24"/>
        </w:rPr>
        <w:t>n</w:t>
      </w:r>
      <w:r w:rsidRPr="009232AD">
        <w:rPr>
          <w:rFonts w:ascii="Garamond" w:hAnsi="Garamond"/>
          <w:sz w:val="24"/>
          <w:szCs w:val="24"/>
        </w:rPr>
        <w:t xml:space="preserve"> 4 </w:t>
      </w:r>
      <w:r w:rsidR="008F18C5" w:rsidRPr="009232AD">
        <w:rPr>
          <w:rFonts w:ascii="Garamond" w:hAnsi="Garamond"/>
          <w:sz w:val="24"/>
          <w:szCs w:val="24"/>
        </w:rPr>
        <w:t xml:space="preserve">tetor </w:t>
      </w:r>
      <w:r w:rsidRPr="009232AD">
        <w:rPr>
          <w:rFonts w:ascii="Garamond" w:hAnsi="Garamond"/>
          <w:sz w:val="24"/>
          <w:szCs w:val="24"/>
        </w:rPr>
        <w:t xml:space="preserve">2016, </w:t>
      </w:r>
      <w:r w:rsidR="008F18C5" w:rsidRPr="009232AD">
        <w:rPr>
          <w:rFonts w:ascii="Garamond" w:hAnsi="Garamond"/>
          <w:sz w:val="24"/>
          <w:szCs w:val="24"/>
        </w:rPr>
        <w:t xml:space="preserve">qeveria </w:t>
      </w:r>
      <w:r w:rsidRPr="009232AD">
        <w:rPr>
          <w:rFonts w:ascii="Garamond" w:hAnsi="Garamond"/>
          <w:sz w:val="24"/>
          <w:szCs w:val="24"/>
        </w:rPr>
        <w:t xml:space="preserve">u njoftua për ankesat në lidhje me mungesën e pretenduar për një hetim efikas për vdekjen e vëllait të kërkuesit, teksa ai po vuante një dënim me burgim, si edhe për një trajtim të pretenduar çnjerëzor dhe degradues si rezultat i mungesës së trajtimit mjekësor dhe faktit se kishte qenë në pranga ndërsa ishte në spital. Pjesa tjetër e kërkesës u shpall e papranueshme sipas </w:t>
      </w:r>
      <w:r w:rsidR="008F18C5" w:rsidRPr="00CF3F54">
        <w:rPr>
          <w:rFonts w:ascii="Garamond" w:hAnsi="Garamond"/>
          <w:sz w:val="24"/>
          <w:szCs w:val="24"/>
        </w:rPr>
        <w:t>rregull</w:t>
      </w:r>
      <w:r w:rsidR="00CF3F54" w:rsidRPr="00CF3F54">
        <w:rPr>
          <w:rFonts w:ascii="Garamond" w:hAnsi="Garamond"/>
          <w:sz w:val="24"/>
          <w:szCs w:val="24"/>
        </w:rPr>
        <w:t>ës</w:t>
      </w:r>
      <w:r w:rsidR="008F18C5" w:rsidRPr="009232AD">
        <w:rPr>
          <w:rFonts w:ascii="Garamond" w:hAnsi="Garamond"/>
          <w:sz w:val="24"/>
          <w:szCs w:val="24"/>
        </w:rPr>
        <w:t xml:space="preserve"> </w:t>
      </w:r>
      <w:r w:rsidRPr="009232AD">
        <w:rPr>
          <w:rFonts w:ascii="Garamond" w:hAnsi="Garamond"/>
          <w:sz w:val="24"/>
          <w:szCs w:val="24"/>
        </w:rPr>
        <w:t xml:space="preserve">54 § 3 të Rregullores së </w:t>
      </w:r>
      <w:r w:rsidR="00227F48" w:rsidRPr="009232AD">
        <w:rPr>
          <w:rFonts w:ascii="Garamond" w:hAnsi="Garamond"/>
          <w:sz w:val="24"/>
          <w:szCs w:val="24"/>
        </w:rPr>
        <w:t>gjykatës</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FAKTET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1. RRETHANAT E ÇËSHTJES</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 Kërkuesi ka lindur në vitin 1963 dhe jeton në Elbasan, Shqipëri. Ai është vëllai i </w:t>
      </w:r>
      <w:r w:rsidR="004F0976">
        <w:rPr>
          <w:rFonts w:ascii="Garamond" w:hAnsi="Garamond"/>
          <w:sz w:val="24"/>
          <w:szCs w:val="24"/>
        </w:rPr>
        <w:t>SH.P.</w:t>
      </w:r>
      <w:r w:rsidRPr="009232AD">
        <w:rPr>
          <w:rFonts w:ascii="Garamond" w:hAnsi="Garamond"/>
          <w:sz w:val="24"/>
          <w:szCs w:val="24"/>
        </w:rPr>
        <w:t xml:space="preserve">, lindur në vitin 1973. </w:t>
      </w:r>
      <w:r w:rsidR="004F0976">
        <w:rPr>
          <w:rFonts w:ascii="Garamond" w:hAnsi="Garamond"/>
          <w:sz w:val="24"/>
          <w:szCs w:val="24"/>
        </w:rPr>
        <w:t>SH.P.</w:t>
      </w:r>
      <w:r w:rsidRPr="009232AD">
        <w:rPr>
          <w:rFonts w:ascii="Garamond" w:hAnsi="Garamond"/>
          <w:sz w:val="24"/>
          <w:szCs w:val="24"/>
        </w:rPr>
        <w:t xml:space="preserve"> vdiq më 22 shkurt 2011.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A. Vdekja e vëllait të kërkuesit </w:t>
      </w:r>
    </w:p>
    <w:p w:rsidR="00DA36D6" w:rsidRPr="009232AD" w:rsidRDefault="00665EFF" w:rsidP="00DA36D6">
      <w:pPr>
        <w:spacing w:after="0" w:line="240" w:lineRule="auto"/>
        <w:ind w:firstLine="284"/>
        <w:jc w:val="both"/>
        <w:rPr>
          <w:rFonts w:ascii="Garamond" w:hAnsi="Garamond"/>
          <w:sz w:val="24"/>
          <w:szCs w:val="24"/>
        </w:rPr>
      </w:pPr>
      <w:r w:rsidRPr="009232AD">
        <w:rPr>
          <w:rFonts w:ascii="Garamond" w:hAnsi="Garamond"/>
          <w:sz w:val="24"/>
          <w:szCs w:val="24"/>
        </w:rPr>
        <w:lastRenderedPageBreak/>
        <w:fldChar w:fldCharType="begin"/>
      </w:r>
      <w:r w:rsidR="00DA36D6" w:rsidRPr="009232AD">
        <w:rPr>
          <w:rFonts w:ascii="Garamond" w:hAnsi="Garamond"/>
          <w:sz w:val="24"/>
          <w:szCs w:val="24"/>
        </w:rPr>
        <w:instrText xml:space="preserve"> SEQ level0 \*arabic </w:instrText>
      </w:r>
      <w:r w:rsidRPr="009232AD">
        <w:rPr>
          <w:rFonts w:ascii="Garamond" w:hAnsi="Garamond"/>
          <w:sz w:val="24"/>
          <w:szCs w:val="24"/>
        </w:rPr>
        <w:fldChar w:fldCharType="separate"/>
      </w:r>
      <w:r w:rsidR="00DA36D6" w:rsidRPr="009232AD">
        <w:rPr>
          <w:rFonts w:ascii="Garamond" w:hAnsi="Garamond"/>
          <w:sz w:val="24"/>
          <w:szCs w:val="24"/>
        </w:rPr>
        <w:t>2</w:t>
      </w:r>
      <w:r w:rsidRPr="009232AD">
        <w:rPr>
          <w:rFonts w:ascii="Garamond" w:hAnsi="Garamond"/>
          <w:sz w:val="24"/>
          <w:szCs w:val="24"/>
        </w:rPr>
        <w:fldChar w:fldCharType="end"/>
      </w:r>
      <w:r w:rsidR="00DA36D6" w:rsidRPr="009232AD">
        <w:rPr>
          <w:rFonts w:ascii="Garamond" w:hAnsi="Garamond"/>
          <w:sz w:val="24"/>
          <w:szCs w:val="24"/>
        </w:rPr>
        <w:t xml:space="preserve">. Më 29 </w:t>
      </w:r>
      <w:r w:rsidR="003F5506" w:rsidRPr="009232AD">
        <w:rPr>
          <w:rFonts w:ascii="Garamond" w:hAnsi="Garamond"/>
          <w:sz w:val="24"/>
          <w:szCs w:val="24"/>
        </w:rPr>
        <w:t xml:space="preserve">mars </w:t>
      </w:r>
      <w:r w:rsidR="00DA36D6" w:rsidRPr="009232AD">
        <w:rPr>
          <w:rFonts w:ascii="Garamond" w:hAnsi="Garamond"/>
          <w:sz w:val="24"/>
          <w:szCs w:val="24"/>
        </w:rPr>
        <w:t xml:space="preserve">2010, Gjykata e Rrethit Shkodër dënoi </w:t>
      </w:r>
      <w:r w:rsidR="004F0976">
        <w:rPr>
          <w:rFonts w:ascii="Garamond" w:hAnsi="Garamond"/>
          <w:sz w:val="24"/>
          <w:szCs w:val="24"/>
        </w:rPr>
        <w:t>SH.P.</w:t>
      </w:r>
      <w:r w:rsidR="00DA36D6" w:rsidRPr="009232AD">
        <w:rPr>
          <w:rFonts w:ascii="Garamond" w:hAnsi="Garamond"/>
          <w:sz w:val="24"/>
          <w:szCs w:val="24"/>
        </w:rPr>
        <w:t xml:space="preserve"> me katër vjet burg për vrasje të mbetur në tentativë. Procesi u zhvillua </w:t>
      </w:r>
      <w:r w:rsidR="00DA36D6" w:rsidRPr="003F5506">
        <w:rPr>
          <w:rFonts w:ascii="Garamond" w:hAnsi="Garamond"/>
          <w:i/>
          <w:sz w:val="24"/>
          <w:szCs w:val="24"/>
        </w:rPr>
        <w:t>in absentia</w:t>
      </w:r>
      <w:r w:rsidR="00DA36D6" w:rsidRPr="009232AD">
        <w:rPr>
          <w:rFonts w:ascii="Garamond" w:hAnsi="Garamond"/>
          <w:sz w:val="24"/>
          <w:szCs w:val="24"/>
        </w:rPr>
        <w:t xml:space="preserve">. Më 2 </w:t>
      </w:r>
      <w:r w:rsidR="003F5506" w:rsidRPr="009232AD">
        <w:rPr>
          <w:rFonts w:ascii="Garamond" w:hAnsi="Garamond"/>
          <w:sz w:val="24"/>
          <w:szCs w:val="24"/>
        </w:rPr>
        <w:t xml:space="preserve">dhjetor </w:t>
      </w:r>
      <w:r w:rsidR="00DA36D6" w:rsidRPr="009232AD">
        <w:rPr>
          <w:rFonts w:ascii="Garamond" w:hAnsi="Garamond"/>
          <w:sz w:val="24"/>
          <w:szCs w:val="24"/>
        </w:rPr>
        <w:t xml:space="preserve">2010, Gjykata e Apelit Shkodër la në fuqi vendimin e Gjykatës së Rrethit Shkodër. Më 3 shkurt 2011, vendimi i fundit u ekzekutua dhe </w:t>
      </w:r>
      <w:r w:rsidR="004F0976">
        <w:rPr>
          <w:rFonts w:ascii="Garamond" w:hAnsi="Garamond"/>
          <w:sz w:val="24"/>
          <w:szCs w:val="24"/>
        </w:rPr>
        <w:t>SH.P.</w:t>
      </w:r>
      <w:r w:rsidR="00DA36D6" w:rsidRPr="009232AD">
        <w:rPr>
          <w:rFonts w:ascii="Garamond" w:hAnsi="Garamond"/>
          <w:sz w:val="24"/>
          <w:szCs w:val="24"/>
        </w:rPr>
        <w:t xml:space="preserve"> u dërgua të vuante dënimin në institucionin e paraburgimit Lezhë.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7. Nga dosja e çështjes rezulton se </w:t>
      </w:r>
      <w:r w:rsidR="004F0976">
        <w:rPr>
          <w:rFonts w:ascii="Garamond" w:hAnsi="Garamond"/>
          <w:sz w:val="24"/>
          <w:szCs w:val="24"/>
        </w:rPr>
        <w:t>SH.P.</w:t>
      </w:r>
      <w:r w:rsidRPr="009232AD">
        <w:rPr>
          <w:rFonts w:ascii="Garamond" w:hAnsi="Garamond"/>
          <w:sz w:val="24"/>
          <w:szCs w:val="24"/>
        </w:rPr>
        <w:t xml:space="preserve"> u diagnostikua nga doktori i institucionit të paraburgimit Lezhë me </w:t>
      </w:r>
      <w:r w:rsidRPr="00F63BA9">
        <w:rPr>
          <w:rFonts w:ascii="Garamond" w:hAnsi="Garamond"/>
          <w:sz w:val="24"/>
          <w:szCs w:val="24"/>
        </w:rPr>
        <w:t xml:space="preserve">parapanesis inferior (paralizë e pjesshme e të dyja këmbëve) dhe elephantiasis (filariasi limfatik). Më 9 shkurt 2011, </w:t>
      </w:r>
      <w:r w:rsidR="004F0976" w:rsidRPr="00F63BA9">
        <w:rPr>
          <w:rFonts w:ascii="Garamond" w:hAnsi="Garamond"/>
          <w:sz w:val="24"/>
          <w:szCs w:val="24"/>
        </w:rPr>
        <w:t>SH.P.</w:t>
      </w:r>
      <w:r w:rsidRPr="00F63BA9">
        <w:rPr>
          <w:rFonts w:ascii="Garamond" w:hAnsi="Garamond"/>
          <w:sz w:val="24"/>
          <w:szCs w:val="24"/>
        </w:rPr>
        <w:t xml:space="preserve"> u transferua në mënyrë urgjente në Qendrën Spitalore të Burgjeve, Tiranë, sepse sipas doktorit në institucionin e paraburgimit Lezhë, ai nuk mund të trajtohej në mënyrën e duhur në një burg të zakonshëm. Më 17 </w:t>
      </w:r>
      <w:r w:rsidR="003F5506" w:rsidRPr="00F63BA9">
        <w:rPr>
          <w:rFonts w:ascii="Garamond" w:hAnsi="Garamond"/>
          <w:sz w:val="24"/>
          <w:szCs w:val="24"/>
        </w:rPr>
        <w:t xml:space="preserve">shkurt </w:t>
      </w:r>
      <w:r w:rsidRPr="00F63BA9">
        <w:rPr>
          <w:rFonts w:ascii="Garamond" w:hAnsi="Garamond"/>
          <w:sz w:val="24"/>
          <w:szCs w:val="24"/>
        </w:rPr>
        <w:t xml:space="preserve">2011, ai u transferua në Qendrën Spitalore Universitare Tiranë. Nga dosja spitalore e datës 17 </w:t>
      </w:r>
      <w:r w:rsidR="003F5506" w:rsidRPr="00F63BA9">
        <w:rPr>
          <w:rFonts w:ascii="Garamond" w:hAnsi="Garamond"/>
          <w:sz w:val="24"/>
          <w:szCs w:val="24"/>
        </w:rPr>
        <w:t xml:space="preserve">shkurt </w:t>
      </w:r>
      <w:r w:rsidRPr="00F63BA9">
        <w:rPr>
          <w:rFonts w:ascii="Garamond" w:hAnsi="Garamond"/>
          <w:sz w:val="24"/>
          <w:szCs w:val="24"/>
        </w:rPr>
        <w:t>2011, rezulton se vëllai i kërkuesit është diagnostikuar me elephantiasis, obezitet morbid dhe pamjaftueshmëri të shumëfishtë në organe, dhe iu përcaktuan mjekimet.</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8. Rezulton se më 22 </w:t>
      </w:r>
      <w:r w:rsidR="003F5506" w:rsidRPr="009232AD">
        <w:rPr>
          <w:rFonts w:ascii="Garamond" w:hAnsi="Garamond"/>
          <w:sz w:val="24"/>
          <w:szCs w:val="24"/>
        </w:rPr>
        <w:t xml:space="preserve">shkurt </w:t>
      </w:r>
      <w:r w:rsidRPr="009232AD">
        <w:rPr>
          <w:rFonts w:ascii="Garamond" w:hAnsi="Garamond"/>
          <w:sz w:val="24"/>
          <w:szCs w:val="24"/>
        </w:rPr>
        <w:t xml:space="preserve">2011, </w:t>
      </w:r>
      <w:r w:rsidR="004F0976">
        <w:rPr>
          <w:rFonts w:ascii="Garamond" w:hAnsi="Garamond"/>
          <w:sz w:val="24"/>
          <w:szCs w:val="24"/>
        </w:rPr>
        <w:t>SH.P.</w:t>
      </w:r>
      <w:r w:rsidRPr="009232AD">
        <w:rPr>
          <w:rFonts w:ascii="Garamond" w:hAnsi="Garamond"/>
          <w:sz w:val="24"/>
          <w:szCs w:val="24"/>
        </w:rPr>
        <w:t xml:space="preserve"> vdiq në njësinë e kujdesit intensiv në Spitalin Universitar Tiranë.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B. Veprimet hetimore</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9. </w:t>
      </w:r>
      <w:r w:rsidR="003F5506">
        <w:rPr>
          <w:rFonts w:ascii="Garamond" w:hAnsi="Garamond"/>
          <w:sz w:val="24"/>
          <w:szCs w:val="24"/>
        </w:rPr>
        <w:t>N</w:t>
      </w:r>
      <w:r w:rsidRPr="009232AD">
        <w:rPr>
          <w:rFonts w:ascii="Garamond" w:hAnsi="Garamond"/>
          <w:sz w:val="24"/>
          <w:szCs w:val="24"/>
        </w:rPr>
        <w:t>ë datë</w:t>
      </w:r>
      <w:r w:rsidR="003F5506">
        <w:rPr>
          <w:rFonts w:ascii="Garamond" w:hAnsi="Garamond"/>
          <w:sz w:val="24"/>
          <w:szCs w:val="24"/>
        </w:rPr>
        <w:t>n</w:t>
      </w:r>
      <w:r w:rsidRPr="009232AD">
        <w:rPr>
          <w:rFonts w:ascii="Garamond" w:hAnsi="Garamond"/>
          <w:sz w:val="24"/>
          <w:szCs w:val="24"/>
        </w:rPr>
        <w:t xml:space="preserve"> 22 </w:t>
      </w:r>
      <w:r w:rsidR="003F5506" w:rsidRPr="009232AD">
        <w:rPr>
          <w:rFonts w:ascii="Garamond" w:hAnsi="Garamond"/>
          <w:sz w:val="24"/>
          <w:szCs w:val="24"/>
        </w:rPr>
        <w:t xml:space="preserve">shkurt </w:t>
      </w:r>
      <w:r w:rsidRPr="009232AD">
        <w:rPr>
          <w:rFonts w:ascii="Garamond" w:hAnsi="Garamond"/>
          <w:sz w:val="24"/>
          <w:szCs w:val="24"/>
        </w:rPr>
        <w:t>2011, një grup i përbërë nga një oficer i policisë gjyqësore, një kriminalist dhe një ekspert mjekoligjor</w:t>
      </w:r>
      <w:r w:rsidR="003F5506">
        <w:rPr>
          <w:rFonts w:ascii="Garamond" w:hAnsi="Garamond"/>
          <w:sz w:val="24"/>
          <w:szCs w:val="24"/>
        </w:rPr>
        <w:t>,</w:t>
      </w:r>
      <w:r w:rsidRPr="009232AD">
        <w:rPr>
          <w:rFonts w:ascii="Garamond" w:hAnsi="Garamond"/>
          <w:sz w:val="24"/>
          <w:szCs w:val="24"/>
        </w:rPr>
        <w:t xml:space="preserve"> realiz</w:t>
      </w:r>
      <w:r w:rsidR="003F5506">
        <w:rPr>
          <w:rFonts w:ascii="Garamond" w:hAnsi="Garamond"/>
          <w:sz w:val="24"/>
          <w:szCs w:val="24"/>
        </w:rPr>
        <w:t>oi</w:t>
      </w:r>
      <w:r w:rsidRPr="009232AD">
        <w:rPr>
          <w:rFonts w:ascii="Garamond" w:hAnsi="Garamond"/>
          <w:sz w:val="24"/>
          <w:szCs w:val="24"/>
        </w:rPr>
        <w:t xml:space="preserve"> kryerjen e vendit të ngjarjes në Qendrën Spitalore Universitare të Tiranës, dhe kryerjen e kufomës së </w:t>
      </w:r>
      <w:r w:rsidR="004F0976">
        <w:rPr>
          <w:rFonts w:ascii="Garamond" w:hAnsi="Garamond"/>
          <w:sz w:val="24"/>
          <w:szCs w:val="24"/>
        </w:rPr>
        <w:t>SH.P.</w:t>
      </w:r>
      <w:r w:rsidRPr="009232AD">
        <w:rPr>
          <w:rFonts w:ascii="Garamond" w:hAnsi="Garamond"/>
          <w:sz w:val="24"/>
          <w:szCs w:val="24"/>
        </w:rPr>
        <w:t xml:space="preserve">, si edhe bëri fotografi në skenën e krimin. Në po të njëjtën ditë, oficeri i policisë gjyqësore sekuestroi kartelën klinike të </w:t>
      </w:r>
      <w:r w:rsidR="004F0976">
        <w:rPr>
          <w:rFonts w:ascii="Garamond" w:hAnsi="Garamond"/>
          <w:sz w:val="24"/>
          <w:szCs w:val="24"/>
        </w:rPr>
        <w:t>SH.P.</w:t>
      </w:r>
      <w:r w:rsidRPr="009232AD">
        <w:rPr>
          <w:rFonts w:ascii="Garamond" w:hAnsi="Garamond"/>
          <w:sz w:val="24"/>
          <w:szCs w:val="24"/>
        </w:rPr>
        <w:t xml:space="preserve">, e cila mbahej në Qendrën Spitalore Universitare të Tiranës.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10. Më 22 </w:t>
      </w:r>
      <w:r w:rsidR="003F5506" w:rsidRPr="009232AD">
        <w:rPr>
          <w:rFonts w:ascii="Garamond" w:hAnsi="Garamond"/>
          <w:sz w:val="24"/>
          <w:szCs w:val="24"/>
        </w:rPr>
        <w:t xml:space="preserve">shkurt </w:t>
      </w:r>
      <w:r w:rsidRPr="009232AD">
        <w:rPr>
          <w:rFonts w:ascii="Garamond" w:hAnsi="Garamond"/>
          <w:sz w:val="24"/>
          <w:szCs w:val="24"/>
        </w:rPr>
        <w:t xml:space="preserve">2011, oficeri i policisë gjyqësore, i ngarkuar me çështjen, urdhëroi një këqyrje mjekoligjore të </w:t>
      </w:r>
      <w:r w:rsidR="004F0976">
        <w:rPr>
          <w:rFonts w:ascii="Garamond" w:hAnsi="Garamond"/>
          <w:sz w:val="24"/>
          <w:szCs w:val="24"/>
        </w:rPr>
        <w:t>SH.P.</w:t>
      </w:r>
      <w:r w:rsidRPr="009232AD">
        <w:rPr>
          <w:rFonts w:ascii="Garamond" w:hAnsi="Garamond"/>
          <w:sz w:val="24"/>
          <w:szCs w:val="24"/>
        </w:rPr>
        <w:t xml:space="preserve"> dhe i paraqiti pyetjet më poshtë ekspertëve mjekoligjorë: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“1. Çfarë dëmtimesh ishin të dukshme tek i ndjeri?</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Çfarë i kishte shkaktuar ato?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 Cili ishte shkaku i vdekjes së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4. A kishte qenë ai subjekt i një trajtimi mjekësor neglizhent?”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11. Më 22 </w:t>
      </w:r>
      <w:r w:rsidR="003F5506" w:rsidRPr="009232AD">
        <w:rPr>
          <w:rFonts w:ascii="Garamond" w:hAnsi="Garamond"/>
          <w:sz w:val="24"/>
          <w:szCs w:val="24"/>
        </w:rPr>
        <w:t xml:space="preserve">shkurt </w:t>
      </w:r>
      <w:r w:rsidRPr="009232AD">
        <w:rPr>
          <w:rFonts w:ascii="Garamond" w:hAnsi="Garamond"/>
          <w:sz w:val="24"/>
          <w:szCs w:val="24"/>
        </w:rPr>
        <w:t xml:space="preserve">2011, kërkuesi u mor në pyetje si personi me dijeni për ngjarjen. Ai pohoi se pjesëtarët e familjes së tij e kishin informuar se vëllai i tij po dërgohej në institucionin e ekzekutimin e vendimeve penale Lezhë. Më 17 </w:t>
      </w:r>
      <w:r w:rsidR="003F5506" w:rsidRPr="009232AD">
        <w:rPr>
          <w:rFonts w:ascii="Garamond" w:hAnsi="Garamond"/>
          <w:sz w:val="24"/>
          <w:szCs w:val="24"/>
        </w:rPr>
        <w:t xml:space="preserve">shkurt </w:t>
      </w:r>
      <w:r w:rsidRPr="009232AD">
        <w:rPr>
          <w:rFonts w:ascii="Garamond" w:hAnsi="Garamond"/>
          <w:sz w:val="24"/>
          <w:szCs w:val="24"/>
        </w:rPr>
        <w:t>2011, nëna i kishte thënë se vëllai i tij ishte sëmurë dhe po transferohej në spitalin e Tiranës. Kur kishte mbërritur në spital, e kishte gjetur vëlla</w:t>
      </w:r>
      <w:r w:rsidR="003F5506">
        <w:rPr>
          <w:rFonts w:ascii="Garamond" w:hAnsi="Garamond"/>
          <w:sz w:val="24"/>
          <w:szCs w:val="24"/>
        </w:rPr>
        <w:t>në</w:t>
      </w:r>
      <w:r w:rsidRPr="009232AD">
        <w:rPr>
          <w:rFonts w:ascii="Garamond" w:hAnsi="Garamond"/>
          <w:sz w:val="24"/>
          <w:szCs w:val="24"/>
        </w:rPr>
        <w:t xml:space="preserve"> pa ndjenja dhe të lidhur në krevat me çarçafë. Ai kishte vënë re se dysheku dhe batanijet ishin të lagura dhe se zona rreth krevatit ishte shumë e pistë. Rreth orës gjashtë të mëngjesit, më 22 </w:t>
      </w:r>
      <w:r w:rsidR="003F5506" w:rsidRPr="009232AD">
        <w:rPr>
          <w:rFonts w:ascii="Garamond" w:hAnsi="Garamond"/>
          <w:sz w:val="24"/>
          <w:szCs w:val="24"/>
        </w:rPr>
        <w:t xml:space="preserve">shkurt </w:t>
      </w:r>
      <w:r w:rsidRPr="009232AD">
        <w:rPr>
          <w:rFonts w:ascii="Garamond" w:hAnsi="Garamond"/>
          <w:sz w:val="24"/>
          <w:szCs w:val="24"/>
        </w:rPr>
        <w:t>2011, motra e tij e kishte telefonuar për t’i thënë se situata e vëllait të tyre ishte përkeqësuar. Kur kishte mbërritur në spital, e kishte gjetur v</w:t>
      </w:r>
      <w:r w:rsidR="00F3020C">
        <w:rPr>
          <w:rFonts w:ascii="Garamond" w:hAnsi="Garamond"/>
          <w:sz w:val="24"/>
          <w:szCs w:val="24"/>
        </w:rPr>
        <w:t>ë</w:t>
      </w:r>
      <w:r w:rsidRPr="009232AD">
        <w:rPr>
          <w:rFonts w:ascii="Garamond" w:hAnsi="Garamond"/>
          <w:sz w:val="24"/>
          <w:szCs w:val="24"/>
        </w:rPr>
        <w:t>lla</w:t>
      </w:r>
      <w:r w:rsidR="00E16F14">
        <w:rPr>
          <w:rFonts w:ascii="Garamond" w:hAnsi="Garamond"/>
          <w:sz w:val="24"/>
          <w:szCs w:val="24"/>
        </w:rPr>
        <w:t>n</w:t>
      </w:r>
      <w:r w:rsidR="00F3020C">
        <w:rPr>
          <w:rFonts w:ascii="Garamond" w:hAnsi="Garamond"/>
          <w:sz w:val="24"/>
          <w:szCs w:val="24"/>
        </w:rPr>
        <w:t>ë</w:t>
      </w:r>
      <w:r w:rsidRPr="009232AD">
        <w:rPr>
          <w:rFonts w:ascii="Garamond" w:hAnsi="Garamond"/>
          <w:sz w:val="24"/>
          <w:szCs w:val="24"/>
        </w:rPr>
        <w:t xml:space="preserve"> të vdekur. Si shtoi se donte të dinte shkakun e vdekjes së vëllait të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12. Më 25 </w:t>
      </w:r>
      <w:r w:rsidR="00316DF2" w:rsidRPr="009232AD">
        <w:rPr>
          <w:rFonts w:ascii="Garamond" w:hAnsi="Garamond"/>
          <w:sz w:val="24"/>
          <w:szCs w:val="24"/>
        </w:rPr>
        <w:t xml:space="preserve">shkurt </w:t>
      </w:r>
      <w:r w:rsidRPr="009232AD">
        <w:rPr>
          <w:rFonts w:ascii="Garamond" w:hAnsi="Garamond"/>
          <w:sz w:val="24"/>
          <w:szCs w:val="24"/>
        </w:rPr>
        <w:t>2011, oficeri i policisë gjyqësore</w:t>
      </w:r>
      <w:r w:rsidR="00316DF2">
        <w:rPr>
          <w:rFonts w:ascii="Garamond" w:hAnsi="Garamond"/>
          <w:sz w:val="24"/>
          <w:szCs w:val="24"/>
        </w:rPr>
        <w:t>,</w:t>
      </w:r>
      <w:r w:rsidRPr="009232AD">
        <w:rPr>
          <w:rFonts w:ascii="Garamond" w:hAnsi="Garamond"/>
          <w:sz w:val="24"/>
          <w:szCs w:val="24"/>
        </w:rPr>
        <w:t xml:space="preserve"> përgjegjës</w:t>
      </w:r>
      <w:r w:rsidR="00316DF2">
        <w:rPr>
          <w:rFonts w:ascii="Garamond" w:hAnsi="Garamond"/>
          <w:sz w:val="24"/>
          <w:szCs w:val="24"/>
        </w:rPr>
        <w:t>,</w:t>
      </w:r>
      <w:r w:rsidRPr="009232AD">
        <w:rPr>
          <w:rFonts w:ascii="Garamond" w:hAnsi="Garamond"/>
          <w:sz w:val="24"/>
          <w:szCs w:val="24"/>
        </w:rPr>
        <w:t xml:space="preserve"> kontrolloi regjistrin e shtrimeve në Spitalin e Burgut Tiranë, ku ishte regjistruar se </w:t>
      </w:r>
      <w:r w:rsidR="004F0976">
        <w:rPr>
          <w:rFonts w:ascii="Garamond" w:hAnsi="Garamond"/>
          <w:sz w:val="24"/>
          <w:szCs w:val="24"/>
        </w:rPr>
        <w:t>SH.P.</w:t>
      </w:r>
      <w:r w:rsidR="00316DF2">
        <w:rPr>
          <w:rFonts w:ascii="Garamond" w:hAnsi="Garamond"/>
          <w:sz w:val="24"/>
          <w:szCs w:val="24"/>
        </w:rPr>
        <w:t>,</w:t>
      </w:r>
      <w:r w:rsidRPr="009232AD">
        <w:rPr>
          <w:rFonts w:ascii="Garamond" w:hAnsi="Garamond"/>
          <w:sz w:val="24"/>
          <w:szCs w:val="24"/>
        </w:rPr>
        <w:t xml:space="preserve"> ishte transferuar në atë godinë, më 9 </w:t>
      </w:r>
      <w:r w:rsidR="00316DF2" w:rsidRPr="009232AD">
        <w:rPr>
          <w:rFonts w:ascii="Garamond" w:hAnsi="Garamond"/>
          <w:sz w:val="24"/>
          <w:szCs w:val="24"/>
        </w:rPr>
        <w:t xml:space="preserve">shkurt </w:t>
      </w:r>
      <w:r w:rsidRPr="009232AD">
        <w:rPr>
          <w:rFonts w:ascii="Garamond" w:hAnsi="Garamond"/>
          <w:sz w:val="24"/>
          <w:szCs w:val="24"/>
        </w:rPr>
        <w:t xml:space="preserve">2011.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13. Më 9 </w:t>
      </w:r>
      <w:r w:rsidR="00316DF2" w:rsidRPr="009232AD">
        <w:rPr>
          <w:rFonts w:ascii="Garamond" w:hAnsi="Garamond"/>
          <w:sz w:val="24"/>
          <w:szCs w:val="24"/>
        </w:rPr>
        <w:t xml:space="preserve">mars </w:t>
      </w:r>
      <w:r w:rsidRPr="009232AD">
        <w:rPr>
          <w:rFonts w:ascii="Garamond" w:hAnsi="Garamond"/>
          <w:sz w:val="24"/>
          <w:szCs w:val="24"/>
        </w:rPr>
        <w:t xml:space="preserve">2011 dhe përsëri më 25 </w:t>
      </w:r>
      <w:r w:rsidR="00316DF2" w:rsidRPr="009232AD">
        <w:rPr>
          <w:rFonts w:ascii="Garamond" w:hAnsi="Garamond"/>
          <w:sz w:val="24"/>
          <w:szCs w:val="24"/>
        </w:rPr>
        <w:t xml:space="preserve">mars </w:t>
      </w:r>
      <w:r w:rsidRPr="009232AD">
        <w:rPr>
          <w:rFonts w:ascii="Garamond" w:hAnsi="Garamond"/>
          <w:sz w:val="24"/>
          <w:szCs w:val="24"/>
        </w:rPr>
        <w:t xml:space="preserve">2011, </w:t>
      </w:r>
      <w:r w:rsidR="00316DF2" w:rsidRPr="009232AD">
        <w:rPr>
          <w:rFonts w:ascii="Garamond" w:hAnsi="Garamond"/>
          <w:sz w:val="24"/>
          <w:szCs w:val="24"/>
        </w:rPr>
        <w:t xml:space="preserve">Prokuroria </w:t>
      </w:r>
      <w:r w:rsidRPr="009232AD">
        <w:rPr>
          <w:rFonts w:ascii="Garamond" w:hAnsi="Garamond"/>
          <w:sz w:val="24"/>
          <w:szCs w:val="24"/>
        </w:rPr>
        <w:t xml:space="preserve">e Tiranës kërkoi dosjen e </w:t>
      </w:r>
      <w:r w:rsidR="004F0976">
        <w:rPr>
          <w:rFonts w:ascii="Garamond" w:hAnsi="Garamond"/>
          <w:sz w:val="24"/>
          <w:szCs w:val="24"/>
        </w:rPr>
        <w:t>SH.P.</w:t>
      </w:r>
      <w:r w:rsidRPr="009232AD">
        <w:rPr>
          <w:rFonts w:ascii="Garamond" w:hAnsi="Garamond"/>
          <w:sz w:val="24"/>
          <w:szCs w:val="24"/>
        </w:rPr>
        <w:t xml:space="preserve"> nga mjedisi i paraburgimit Lezhë. Më 21 </w:t>
      </w:r>
      <w:r w:rsidR="00316DF2" w:rsidRPr="009232AD">
        <w:rPr>
          <w:rFonts w:ascii="Garamond" w:hAnsi="Garamond"/>
          <w:sz w:val="24"/>
          <w:szCs w:val="24"/>
        </w:rPr>
        <w:t xml:space="preserve">mars </w:t>
      </w:r>
      <w:r w:rsidRPr="009232AD">
        <w:rPr>
          <w:rFonts w:ascii="Garamond" w:hAnsi="Garamond"/>
          <w:sz w:val="24"/>
          <w:szCs w:val="24"/>
        </w:rPr>
        <w:t xml:space="preserve">2011, </w:t>
      </w:r>
      <w:r w:rsidR="00316DF2" w:rsidRPr="009232AD">
        <w:rPr>
          <w:rFonts w:ascii="Garamond" w:hAnsi="Garamond"/>
          <w:sz w:val="24"/>
          <w:szCs w:val="24"/>
        </w:rPr>
        <w:t xml:space="preserve">Institucioni </w:t>
      </w:r>
      <w:r w:rsidRPr="009232AD">
        <w:rPr>
          <w:rFonts w:ascii="Garamond" w:hAnsi="Garamond"/>
          <w:sz w:val="24"/>
          <w:szCs w:val="24"/>
        </w:rPr>
        <w:t xml:space="preserve">i </w:t>
      </w:r>
      <w:r w:rsidR="00316DF2" w:rsidRPr="009232AD">
        <w:rPr>
          <w:rFonts w:ascii="Garamond" w:hAnsi="Garamond"/>
          <w:sz w:val="24"/>
          <w:szCs w:val="24"/>
        </w:rPr>
        <w:t xml:space="preserve">Ekzekutimit </w:t>
      </w:r>
      <w:r w:rsidRPr="009232AD">
        <w:rPr>
          <w:rFonts w:ascii="Garamond" w:hAnsi="Garamond"/>
          <w:sz w:val="24"/>
          <w:szCs w:val="24"/>
        </w:rPr>
        <w:t xml:space="preserve">të </w:t>
      </w:r>
      <w:r w:rsidR="00316DF2" w:rsidRPr="009232AD">
        <w:rPr>
          <w:rFonts w:ascii="Garamond" w:hAnsi="Garamond"/>
          <w:sz w:val="24"/>
          <w:szCs w:val="24"/>
        </w:rPr>
        <w:t xml:space="preserve">Vendimeve Penale </w:t>
      </w:r>
      <w:r w:rsidRPr="009232AD">
        <w:rPr>
          <w:rFonts w:ascii="Garamond" w:hAnsi="Garamond"/>
          <w:sz w:val="24"/>
          <w:szCs w:val="24"/>
        </w:rPr>
        <w:t>Lezhë u përgjigj me anë të një shkrese</w:t>
      </w:r>
      <w:r w:rsidR="00316DF2">
        <w:rPr>
          <w:rFonts w:ascii="Garamond" w:hAnsi="Garamond"/>
          <w:sz w:val="24"/>
          <w:szCs w:val="24"/>
        </w:rPr>
        <w:t>,</w:t>
      </w:r>
      <w:r w:rsidRPr="009232AD">
        <w:rPr>
          <w:rFonts w:ascii="Garamond" w:hAnsi="Garamond"/>
          <w:sz w:val="24"/>
          <w:szCs w:val="24"/>
        </w:rPr>
        <w:t xml:space="preserve"> ku deklaronte se kërkuesi vuante nga </w:t>
      </w:r>
      <w:r w:rsidRPr="009E5BCB">
        <w:rPr>
          <w:rFonts w:ascii="Garamond" w:hAnsi="Garamond"/>
          <w:sz w:val="24"/>
          <w:szCs w:val="24"/>
        </w:rPr>
        <w:t>dispnea,</w:t>
      </w:r>
      <w:r w:rsidRPr="009232AD">
        <w:rPr>
          <w:rFonts w:ascii="Garamond" w:hAnsi="Garamond"/>
          <w:sz w:val="24"/>
          <w:szCs w:val="24"/>
        </w:rPr>
        <w:t xml:space="preserve"> pjesët e poshtme të dy</w:t>
      </w:r>
      <w:r w:rsidR="00316DF2">
        <w:rPr>
          <w:rFonts w:ascii="Garamond" w:hAnsi="Garamond"/>
          <w:sz w:val="24"/>
          <w:szCs w:val="24"/>
        </w:rPr>
        <w:t xml:space="preserve"> gjymtyrëve të tij kishin edemë</w:t>
      </w:r>
      <w:r w:rsidRPr="009232AD">
        <w:rPr>
          <w:rFonts w:ascii="Garamond" w:hAnsi="Garamond"/>
          <w:sz w:val="24"/>
          <w:szCs w:val="24"/>
        </w:rPr>
        <w:t xml:space="preserve"> dhe</w:t>
      </w:r>
      <w:r w:rsidR="00316DF2">
        <w:rPr>
          <w:rFonts w:ascii="Garamond" w:hAnsi="Garamond"/>
          <w:sz w:val="24"/>
          <w:szCs w:val="24"/>
        </w:rPr>
        <w:t>,</w:t>
      </w:r>
      <w:r w:rsidRPr="009232AD">
        <w:rPr>
          <w:rFonts w:ascii="Garamond" w:hAnsi="Garamond"/>
          <w:sz w:val="24"/>
          <w:szCs w:val="24"/>
        </w:rPr>
        <w:t xml:space="preserve"> se për këtë arsye</w:t>
      </w:r>
      <w:r w:rsidR="00316DF2">
        <w:rPr>
          <w:rFonts w:ascii="Garamond" w:hAnsi="Garamond"/>
          <w:sz w:val="24"/>
          <w:szCs w:val="24"/>
        </w:rPr>
        <w:t>,</w:t>
      </w:r>
      <w:r w:rsidRPr="009232AD">
        <w:rPr>
          <w:rFonts w:ascii="Garamond" w:hAnsi="Garamond"/>
          <w:sz w:val="24"/>
          <w:szCs w:val="24"/>
        </w:rPr>
        <w:t xml:space="preserve"> ai ishte transferuar me urgjencë në Spitalin e Burgut Tiranë. Gjithashtu, ata bashkëngjitën dosjen e burgut të </w:t>
      </w:r>
      <w:r w:rsidR="004F0976">
        <w:rPr>
          <w:rFonts w:ascii="Garamond" w:hAnsi="Garamond"/>
          <w:sz w:val="24"/>
          <w:szCs w:val="24"/>
        </w:rPr>
        <w:t>SH.P.</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14. Më 10 </w:t>
      </w:r>
      <w:r w:rsidR="002051E3" w:rsidRPr="009232AD">
        <w:rPr>
          <w:rFonts w:ascii="Garamond" w:hAnsi="Garamond"/>
          <w:sz w:val="24"/>
          <w:szCs w:val="24"/>
        </w:rPr>
        <w:t xml:space="preserve">mars </w:t>
      </w:r>
      <w:r w:rsidRPr="009232AD">
        <w:rPr>
          <w:rFonts w:ascii="Garamond" w:hAnsi="Garamond"/>
          <w:sz w:val="24"/>
          <w:szCs w:val="24"/>
        </w:rPr>
        <w:t xml:space="preserve">2011, prokurori përgjegjës për çështjen urdhëroi një sërë veprimesh hetimore të cilat do të realizoheshin nga një oficer i policisë gjyqësore: </w:t>
      </w:r>
    </w:p>
    <w:p w:rsidR="00DA36D6" w:rsidRPr="009232AD" w:rsidRDefault="002051E3" w:rsidP="00DA36D6">
      <w:pPr>
        <w:spacing w:after="0" w:line="240" w:lineRule="auto"/>
        <w:ind w:firstLine="284"/>
        <w:jc w:val="both"/>
        <w:rPr>
          <w:rFonts w:ascii="Garamond" w:hAnsi="Garamond"/>
          <w:sz w:val="24"/>
          <w:szCs w:val="24"/>
        </w:rPr>
      </w:pPr>
      <w:r>
        <w:rPr>
          <w:rFonts w:ascii="Garamond" w:hAnsi="Garamond"/>
          <w:sz w:val="24"/>
          <w:szCs w:val="24"/>
        </w:rPr>
        <w:t>“</w:t>
      </w:r>
      <w:r w:rsidR="00DA36D6" w:rsidRPr="009232AD">
        <w:rPr>
          <w:rFonts w:ascii="Garamond" w:hAnsi="Garamond"/>
          <w:sz w:val="24"/>
          <w:szCs w:val="24"/>
        </w:rPr>
        <w:t>1</w:t>
      </w:r>
      <w:r>
        <w:rPr>
          <w:rFonts w:ascii="Garamond" w:hAnsi="Garamond"/>
          <w:sz w:val="24"/>
          <w:szCs w:val="24"/>
        </w:rPr>
        <w:t>.</w:t>
      </w:r>
      <w:r w:rsidR="00DA36D6" w:rsidRPr="009232AD">
        <w:rPr>
          <w:rFonts w:ascii="Garamond" w:hAnsi="Garamond"/>
          <w:sz w:val="24"/>
          <w:szCs w:val="24"/>
        </w:rPr>
        <w:t xml:space="preserve"> </w:t>
      </w:r>
      <w:r w:rsidRPr="009232AD">
        <w:rPr>
          <w:rFonts w:ascii="Garamond" w:hAnsi="Garamond"/>
          <w:sz w:val="24"/>
          <w:szCs w:val="24"/>
        </w:rPr>
        <w:t xml:space="preserve">Të </w:t>
      </w:r>
      <w:r w:rsidR="00DA36D6" w:rsidRPr="009232AD">
        <w:rPr>
          <w:rFonts w:ascii="Garamond" w:hAnsi="Garamond"/>
          <w:sz w:val="24"/>
          <w:szCs w:val="24"/>
        </w:rPr>
        <w:t>kontaktohen ekspertët mjekoligjorë, të cilët do të kryenin një kontroll mjekoligjor për të gjetur shkakun e vdekjes së të ndjerit; 2</w:t>
      </w:r>
      <w:r>
        <w:rPr>
          <w:rFonts w:ascii="Garamond" w:hAnsi="Garamond"/>
          <w:sz w:val="24"/>
          <w:szCs w:val="24"/>
        </w:rPr>
        <w:t>.</w:t>
      </w:r>
      <w:r w:rsidR="00DA36D6" w:rsidRPr="009232AD">
        <w:rPr>
          <w:rFonts w:ascii="Garamond" w:hAnsi="Garamond"/>
          <w:sz w:val="24"/>
          <w:szCs w:val="24"/>
        </w:rPr>
        <w:t xml:space="preserve"> </w:t>
      </w:r>
      <w:r w:rsidRPr="009232AD">
        <w:rPr>
          <w:rFonts w:ascii="Garamond" w:hAnsi="Garamond"/>
          <w:sz w:val="24"/>
          <w:szCs w:val="24"/>
        </w:rPr>
        <w:t xml:space="preserve">Të </w:t>
      </w:r>
      <w:r w:rsidR="00DA36D6" w:rsidRPr="009232AD">
        <w:rPr>
          <w:rFonts w:ascii="Garamond" w:hAnsi="Garamond"/>
          <w:sz w:val="24"/>
          <w:szCs w:val="24"/>
        </w:rPr>
        <w:t xml:space="preserve">sekuestrohet dosja penale dhe kartela mjekësore e </w:t>
      </w:r>
      <w:r w:rsidR="004F0976">
        <w:rPr>
          <w:rFonts w:ascii="Garamond" w:hAnsi="Garamond"/>
          <w:sz w:val="24"/>
          <w:szCs w:val="24"/>
        </w:rPr>
        <w:t>SH.P.</w:t>
      </w:r>
      <w:r w:rsidR="00DA36D6" w:rsidRPr="009232AD">
        <w:rPr>
          <w:rFonts w:ascii="Garamond" w:hAnsi="Garamond"/>
          <w:sz w:val="24"/>
          <w:szCs w:val="24"/>
        </w:rPr>
        <w:t xml:space="preserve"> nga ambientet e burgimit, si edhe nga spitali; 3</w:t>
      </w:r>
      <w:r>
        <w:rPr>
          <w:rFonts w:ascii="Garamond" w:hAnsi="Garamond"/>
          <w:sz w:val="24"/>
          <w:szCs w:val="24"/>
        </w:rPr>
        <w:t>.</w:t>
      </w:r>
      <w:r w:rsidR="00DA36D6" w:rsidRPr="009232AD">
        <w:rPr>
          <w:rFonts w:ascii="Garamond" w:hAnsi="Garamond"/>
          <w:sz w:val="24"/>
          <w:szCs w:val="24"/>
        </w:rPr>
        <w:t xml:space="preserve"> </w:t>
      </w:r>
      <w:r w:rsidRPr="009232AD">
        <w:rPr>
          <w:rFonts w:ascii="Garamond" w:hAnsi="Garamond"/>
          <w:sz w:val="24"/>
          <w:szCs w:val="24"/>
        </w:rPr>
        <w:t xml:space="preserve">Të </w:t>
      </w:r>
      <w:r w:rsidR="00DA36D6" w:rsidRPr="009232AD">
        <w:rPr>
          <w:rFonts w:ascii="Garamond" w:hAnsi="Garamond"/>
          <w:sz w:val="24"/>
          <w:szCs w:val="24"/>
        </w:rPr>
        <w:t xml:space="preserve">kontrollohet në regjistrat e Spitalit të Burgut Tiranës, Spitalit Universitar Tiranë dhe të </w:t>
      </w:r>
      <w:r w:rsidRPr="009232AD">
        <w:rPr>
          <w:rFonts w:ascii="Garamond" w:hAnsi="Garamond"/>
          <w:sz w:val="24"/>
          <w:szCs w:val="24"/>
        </w:rPr>
        <w:t xml:space="preserve">spitalit civil </w:t>
      </w:r>
      <w:r w:rsidR="00DA36D6" w:rsidRPr="009232AD">
        <w:rPr>
          <w:rFonts w:ascii="Garamond" w:hAnsi="Garamond"/>
          <w:sz w:val="24"/>
          <w:szCs w:val="24"/>
        </w:rPr>
        <w:t xml:space="preserve">Shkodër, për të zbuluar se kur është pranuar </w:t>
      </w:r>
      <w:r w:rsidR="00DA36D6" w:rsidRPr="009232AD">
        <w:rPr>
          <w:rFonts w:ascii="Garamond" w:hAnsi="Garamond"/>
          <w:sz w:val="24"/>
          <w:szCs w:val="24"/>
        </w:rPr>
        <w:lastRenderedPageBreak/>
        <w:t>në spital, cila ka qenë diagnoza, sa kohë ka qëndruar atje etj.</w:t>
      </w:r>
      <w:r>
        <w:rPr>
          <w:rFonts w:ascii="Garamond" w:hAnsi="Garamond"/>
          <w:sz w:val="24"/>
          <w:szCs w:val="24"/>
        </w:rPr>
        <w:t>,</w:t>
      </w:r>
      <w:r w:rsidR="00DA36D6" w:rsidRPr="009232AD">
        <w:rPr>
          <w:rFonts w:ascii="Garamond" w:hAnsi="Garamond"/>
          <w:sz w:val="24"/>
          <w:szCs w:val="24"/>
        </w:rPr>
        <w:t xml:space="preserve"> faqet e regjistrit të cilat janë relevante për kërkimin duhet t’i bashkëngjiten raportit; 4</w:t>
      </w:r>
      <w:r>
        <w:rPr>
          <w:rFonts w:ascii="Garamond" w:hAnsi="Garamond"/>
          <w:sz w:val="24"/>
          <w:szCs w:val="24"/>
        </w:rPr>
        <w:t>.</w:t>
      </w:r>
      <w:r w:rsidR="00DA36D6" w:rsidRPr="009232AD">
        <w:rPr>
          <w:rFonts w:ascii="Garamond" w:hAnsi="Garamond"/>
          <w:sz w:val="24"/>
          <w:szCs w:val="24"/>
        </w:rPr>
        <w:t xml:space="preserve"> </w:t>
      </w:r>
      <w:r w:rsidRPr="009232AD">
        <w:rPr>
          <w:rFonts w:ascii="Garamond" w:hAnsi="Garamond"/>
          <w:sz w:val="24"/>
          <w:szCs w:val="24"/>
        </w:rPr>
        <w:t xml:space="preserve">Të </w:t>
      </w:r>
      <w:r w:rsidR="00DA36D6" w:rsidRPr="009232AD">
        <w:rPr>
          <w:rFonts w:ascii="Garamond" w:hAnsi="Garamond"/>
          <w:sz w:val="24"/>
          <w:szCs w:val="24"/>
        </w:rPr>
        <w:t xml:space="preserve">merren në pyetje punonjësit e burgut të Tiranës, stafi mjekësor, i cili është kujdesur për </w:t>
      </w:r>
      <w:r w:rsidR="004F0976">
        <w:rPr>
          <w:rFonts w:ascii="Garamond" w:hAnsi="Garamond"/>
          <w:sz w:val="24"/>
          <w:szCs w:val="24"/>
        </w:rPr>
        <w:t>SH.P.</w:t>
      </w:r>
      <w:r w:rsidR="00DA36D6" w:rsidRPr="009232AD">
        <w:rPr>
          <w:rFonts w:ascii="Garamond" w:hAnsi="Garamond"/>
          <w:sz w:val="24"/>
          <w:szCs w:val="24"/>
        </w:rPr>
        <w:t xml:space="preserve"> dhe anëtarët e familjes së tij për historikun e tij mjekësor, trajtimin e tij, kur është pranuar në spital për herë të fundit etj.; dhe 5</w:t>
      </w:r>
      <w:r>
        <w:rPr>
          <w:rFonts w:ascii="Garamond" w:hAnsi="Garamond"/>
          <w:sz w:val="24"/>
          <w:szCs w:val="24"/>
        </w:rPr>
        <w:t>.</w:t>
      </w:r>
      <w:r w:rsidR="00DA36D6" w:rsidRPr="009232AD">
        <w:rPr>
          <w:rFonts w:ascii="Garamond" w:hAnsi="Garamond"/>
          <w:sz w:val="24"/>
          <w:szCs w:val="24"/>
        </w:rPr>
        <w:t xml:space="preserve"> </w:t>
      </w:r>
      <w:r w:rsidRPr="009232AD">
        <w:rPr>
          <w:rFonts w:ascii="Garamond" w:hAnsi="Garamond"/>
          <w:sz w:val="24"/>
          <w:szCs w:val="24"/>
        </w:rPr>
        <w:t xml:space="preserve">Të </w:t>
      </w:r>
      <w:r w:rsidR="00DA36D6" w:rsidRPr="009232AD">
        <w:rPr>
          <w:rFonts w:ascii="Garamond" w:hAnsi="Garamond"/>
          <w:sz w:val="24"/>
          <w:szCs w:val="24"/>
        </w:rPr>
        <w:t xml:space="preserve">realizohen veprime të tjera të cilat mund të vlerësohen si të nevojshme përpara datës 29 </w:t>
      </w:r>
      <w:r w:rsidR="001C68A4" w:rsidRPr="009232AD">
        <w:rPr>
          <w:rFonts w:ascii="Garamond" w:hAnsi="Garamond"/>
          <w:sz w:val="24"/>
          <w:szCs w:val="24"/>
        </w:rPr>
        <w:t xml:space="preserve">mars </w:t>
      </w:r>
      <w:r w:rsidR="00DA36D6" w:rsidRPr="009232AD">
        <w:rPr>
          <w:rFonts w:ascii="Garamond" w:hAnsi="Garamond"/>
          <w:sz w:val="24"/>
          <w:szCs w:val="24"/>
        </w:rPr>
        <w:t>2011.”</w:t>
      </w:r>
    </w:p>
    <w:p w:rsidR="00DA36D6" w:rsidRPr="009232AD" w:rsidRDefault="00DA36D6" w:rsidP="00DA36D6">
      <w:pPr>
        <w:spacing w:after="0" w:line="240" w:lineRule="auto"/>
        <w:ind w:firstLine="284"/>
        <w:jc w:val="both"/>
        <w:rPr>
          <w:rFonts w:ascii="Garamond" w:hAnsi="Garamond"/>
          <w:sz w:val="24"/>
          <w:szCs w:val="24"/>
        </w:rPr>
      </w:pPr>
      <w:r w:rsidRPr="0058326F">
        <w:rPr>
          <w:rFonts w:ascii="Garamond" w:hAnsi="Garamond"/>
          <w:sz w:val="24"/>
          <w:szCs w:val="24"/>
        </w:rPr>
        <w:t xml:space="preserve">15. Më 25 </w:t>
      </w:r>
      <w:r w:rsidR="001C68A4" w:rsidRPr="0058326F">
        <w:rPr>
          <w:rFonts w:ascii="Garamond" w:hAnsi="Garamond"/>
          <w:sz w:val="24"/>
          <w:szCs w:val="24"/>
        </w:rPr>
        <w:t xml:space="preserve">mars </w:t>
      </w:r>
      <w:r w:rsidRPr="0058326F">
        <w:rPr>
          <w:rFonts w:ascii="Garamond" w:hAnsi="Garamond"/>
          <w:sz w:val="24"/>
          <w:szCs w:val="24"/>
        </w:rPr>
        <w:t>2011, I.O., një nga doktorët që është kujdesur për vëlla</w:t>
      </w:r>
      <w:r w:rsidR="004F0976">
        <w:rPr>
          <w:rFonts w:ascii="Garamond" w:hAnsi="Garamond"/>
          <w:sz w:val="24"/>
          <w:szCs w:val="24"/>
        </w:rPr>
        <w:t>në</w:t>
      </w:r>
      <w:r w:rsidRPr="0058326F">
        <w:rPr>
          <w:rFonts w:ascii="Garamond" w:hAnsi="Garamond"/>
          <w:sz w:val="24"/>
          <w:szCs w:val="24"/>
        </w:rPr>
        <w:t xml:space="preserve"> e kërkuesit në spital, i pyetur nga oficeri i policisë gjyqësore, pohoi se teksa ishte nën mbikëqyrjen e tyre, </w:t>
      </w:r>
      <w:r w:rsidR="004F0976">
        <w:rPr>
          <w:rFonts w:ascii="Garamond" w:hAnsi="Garamond"/>
          <w:sz w:val="24"/>
          <w:szCs w:val="24"/>
        </w:rPr>
        <w:t>SH.P.</w:t>
      </w:r>
      <w:r w:rsidRPr="0058326F">
        <w:rPr>
          <w:rFonts w:ascii="Garamond" w:hAnsi="Garamond"/>
          <w:sz w:val="24"/>
          <w:szCs w:val="24"/>
        </w:rPr>
        <w:t xml:space="preserve"> ishte diagnostikuar me pamjaftueshmëri të shumëfishtë dhe obezitet morbid. </w:t>
      </w:r>
      <w:r w:rsidR="004F0976">
        <w:rPr>
          <w:rFonts w:ascii="Garamond" w:hAnsi="Garamond"/>
          <w:sz w:val="24"/>
          <w:szCs w:val="24"/>
        </w:rPr>
        <w:t>SH.P.</w:t>
      </w:r>
      <w:r w:rsidRPr="0058326F">
        <w:rPr>
          <w:rFonts w:ascii="Garamond" w:hAnsi="Garamond"/>
          <w:sz w:val="24"/>
          <w:szCs w:val="24"/>
        </w:rPr>
        <w:t xml:space="preserve"> ishte trajtuar si çdo pacient tjetër dhe trajtimi me mjekime dhënë në recetë ishte administruar në përputhje me rregullat.</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16. Më 25 </w:t>
      </w:r>
      <w:r w:rsidR="001C68A4" w:rsidRPr="009232AD">
        <w:rPr>
          <w:rFonts w:ascii="Garamond" w:hAnsi="Garamond"/>
          <w:sz w:val="24"/>
          <w:szCs w:val="24"/>
        </w:rPr>
        <w:t xml:space="preserve">mars </w:t>
      </w:r>
      <w:r w:rsidRPr="009232AD">
        <w:rPr>
          <w:rFonts w:ascii="Garamond" w:hAnsi="Garamond"/>
          <w:sz w:val="24"/>
          <w:szCs w:val="24"/>
        </w:rPr>
        <w:t>2011, P.D., një nga doktorët i cili ishte kujdesur për vëlla</w:t>
      </w:r>
      <w:r w:rsidR="004F0976">
        <w:rPr>
          <w:rFonts w:ascii="Garamond" w:hAnsi="Garamond"/>
          <w:sz w:val="24"/>
          <w:szCs w:val="24"/>
        </w:rPr>
        <w:t>në</w:t>
      </w:r>
      <w:r w:rsidRPr="009232AD">
        <w:rPr>
          <w:rFonts w:ascii="Garamond" w:hAnsi="Garamond"/>
          <w:sz w:val="24"/>
          <w:szCs w:val="24"/>
        </w:rPr>
        <w:t xml:space="preserve"> e kërkuesit në spital, i pyetur nga oficeri i policisë gjyqësore, pohoi se </w:t>
      </w:r>
      <w:r w:rsidR="004F0976">
        <w:rPr>
          <w:rFonts w:ascii="Garamond" w:hAnsi="Garamond"/>
          <w:sz w:val="24"/>
          <w:szCs w:val="24"/>
        </w:rPr>
        <w:t>SH.P.</w:t>
      </w:r>
      <w:r w:rsidRPr="009232AD">
        <w:rPr>
          <w:rFonts w:ascii="Garamond" w:hAnsi="Garamond"/>
          <w:sz w:val="24"/>
          <w:szCs w:val="24"/>
        </w:rPr>
        <w:t xml:space="preserve"> ishte transferuar në Spitalin e Burgut Tiranë nga </w:t>
      </w:r>
      <w:r w:rsidR="004F0976" w:rsidRPr="009232AD">
        <w:rPr>
          <w:rFonts w:ascii="Garamond" w:hAnsi="Garamond"/>
          <w:sz w:val="24"/>
          <w:szCs w:val="24"/>
        </w:rPr>
        <w:t xml:space="preserve">Spitali </w:t>
      </w:r>
      <w:r w:rsidRPr="009232AD">
        <w:rPr>
          <w:rFonts w:ascii="Garamond" w:hAnsi="Garamond"/>
          <w:sz w:val="24"/>
          <w:szCs w:val="24"/>
        </w:rPr>
        <w:t xml:space="preserve">i </w:t>
      </w:r>
      <w:r w:rsidR="004F0976" w:rsidRPr="009232AD">
        <w:rPr>
          <w:rFonts w:ascii="Garamond" w:hAnsi="Garamond"/>
          <w:sz w:val="24"/>
          <w:szCs w:val="24"/>
        </w:rPr>
        <w:t xml:space="preserve">Burgut </w:t>
      </w:r>
      <w:r w:rsidRPr="009232AD">
        <w:rPr>
          <w:rFonts w:ascii="Garamond" w:hAnsi="Garamond"/>
          <w:sz w:val="24"/>
          <w:szCs w:val="24"/>
        </w:rPr>
        <w:t xml:space="preserve">Lezhë. Ai ishte trajtuar si çdo pacient tjetër dhe trajtimi i dhënë në recetë ishte administruar në përputhje me rregullat.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17. Më 30 </w:t>
      </w:r>
      <w:r w:rsidR="001C68A4" w:rsidRPr="009232AD">
        <w:rPr>
          <w:rFonts w:ascii="Garamond" w:hAnsi="Garamond"/>
          <w:sz w:val="24"/>
          <w:szCs w:val="24"/>
        </w:rPr>
        <w:t xml:space="preserve">mars </w:t>
      </w:r>
      <w:r w:rsidRPr="009232AD">
        <w:rPr>
          <w:rFonts w:ascii="Garamond" w:hAnsi="Garamond"/>
          <w:sz w:val="24"/>
          <w:szCs w:val="24"/>
        </w:rPr>
        <w:t xml:space="preserve">2011, një grup ekspertësh mjekoligjorë ekzaminuan </w:t>
      </w:r>
      <w:r w:rsidR="004F0976">
        <w:rPr>
          <w:rFonts w:ascii="Garamond" w:hAnsi="Garamond"/>
          <w:sz w:val="24"/>
          <w:szCs w:val="24"/>
        </w:rPr>
        <w:t>SH.P.</w:t>
      </w:r>
      <w:r w:rsidRPr="009232AD">
        <w:rPr>
          <w:rFonts w:ascii="Garamond" w:hAnsi="Garamond"/>
          <w:sz w:val="24"/>
          <w:szCs w:val="24"/>
        </w:rPr>
        <w:t xml:space="preserve"> </w:t>
      </w:r>
      <w:r w:rsidR="004F0976" w:rsidRPr="009232AD">
        <w:rPr>
          <w:rFonts w:ascii="Garamond" w:hAnsi="Garamond"/>
          <w:sz w:val="24"/>
          <w:szCs w:val="24"/>
        </w:rPr>
        <w:t xml:space="preserve">Raporti </w:t>
      </w:r>
      <w:r w:rsidRPr="009232AD">
        <w:rPr>
          <w:rFonts w:ascii="Garamond" w:hAnsi="Garamond"/>
          <w:sz w:val="24"/>
          <w:szCs w:val="24"/>
        </w:rPr>
        <w:t>mjekoligjor deklaronte</w:t>
      </w:r>
      <w:r w:rsidR="004F0976">
        <w:rPr>
          <w:rFonts w:ascii="Garamond" w:hAnsi="Garamond"/>
          <w:sz w:val="24"/>
          <w:szCs w:val="24"/>
        </w:rPr>
        <w:t>,</w:t>
      </w:r>
      <w:r w:rsidRPr="009232AD">
        <w:rPr>
          <w:rFonts w:ascii="Garamond" w:hAnsi="Garamond"/>
          <w:sz w:val="24"/>
          <w:szCs w:val="24"/>
        </w:rPr>
        <w:t xml:space="preserve"> se </w:t>
      </w:r>
      <w:r w:rsidRPr="004F0976">
        <w:rPr>
          <w:rFonts w:ascii="Garamond" w:hAnsi="Garamond"/>
          <w:i/>
          <w:sz w:val="24"/>
          <w:szCs w:val="24"/>
        </w:rPr>
        <w:t>inter alia</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 “1. Në të dy parakrahët u vunë re ekimoza. Edema në ekstremitetet e poshtme. Posoriasis</w:t>
      </w:r>
      <w:r w:rsidR="00007453">
        <w:rPr>
          <w:rFonts w:ascii="Garamond" w:hAnsi="Garamond"/>
          <w:sz w:val="24"/>
          <w:szCs w:val="24"/>
        </w:rPr>
        <w:t xml:space="preserve"> </w:t>
      </w:r>
      <w:r w:rsidRPr="009232AD">
        <w:rPr>
          <w:rFonts w:ascii="Garamond" w:hAnsi="Garamond"/>
          <w:sz w:val="24"/>
          <w:szCs w:val="24"/>
        </w:rPr>
        <w: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 Ekimoza e shkaktuar nga sende të mprehta. Pjesa tjetër e dëmtimeve janë pasojë e sëmundjeve të tjera të të ndjerit</w:t>
      </w:r>
      <w:r w:rsidR="00007453">
        <w:rPr>
          <w:rFonts w:ascii="Garamond" w:hAnsi="Garamond"/>
          <w:sz w:val="24"/>
          <w:szCs w:val="24"/>
        </w:rPr>
        <w:t xml:space="preserve"> </w:t>
      </w:r>
      <w:r w:rsidRPr="009232AD">
        <w:rPr>
          <w:rFonts w:ascii="Garamond" w:hAnsi="Garamond"/>
          <w:sz w:val="24"/>
          <w:szCs w:val="24"/>
        </w:rPr>
        <w: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 Në gjakun e </w:t>
      </w:r>
      <w:r w:rsidR="004F0976">
        <w:rPr>
          <w:rFonts w:ascii="Garamond" w:hAnsi="Garamond"/>
          <w:sz w:val="24"/>
          <w:szCs w:val="24"/>
        </w:rPr>
        <w:t>SH.P.</w:t>
      </w:r>
      <w:r w:rsidRPr="009232AD">
        <w:rPr>
          <w:rFonts w:ascii="Garamond" w:hAnsi="Garamond"/>
          <w:sz w:val="24"/>
          <w:szCs w:val="24"/>
        </w:rPr>
        <w:t xml:space="preserve"> nuk </w:t>
      </w:r>
      <w:r w:rsidR="00007453">
        <w:rPr>
          <w:rFonts w:ascii="Garamond" w:hAnsi="Garamond"/>
          <w:sz w:val="24"/>
          <w:szCs w:val="24"/>
        </w:rPr>
        <w:t>u</w:t>
      </w:r>
      <w:r w:rsidRPr="009232AD">
        <w:rPr>
          <w:rFonts w:ascii="Garamond" w:hAnsi="Garamond"/>
          <w:sz w:val="24"/>
          <w:szCs w:val="24"/>
        </w:rPr>
        <w:t xml:space="preserve"> gjendën gjurmë të mjekimeve ose të substancave narkotike ose psikotrope</w:t>
      </w:r>
      <w:r w:rsidR="00007453">
        <w:rPr>
          <w:rFonts w:ascii="Garamond" w:hAnsi="Garamond"/>
          <w:sz w:val="24"/>
          <w:szCs w:val="24"/>
        </w:rPr>
        <w:t xml:space="preserve"> </w:t>
      </w:r>
      <w:r w:rsidRPr="009232AD">
        <w:rPr>
          <w:rFonts w:ascii="Garamond" w:hAnsi="Garamond"/>
          <w:sz w:val="24"/>
          <w:szCs w:val="24"/>
        </w:rPr>
        <w: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 Vdekja e </w:t>
      </w:r>
      <w:r w:rsidR="004F0976">
        <w:rPr>
          <w:rFonts w:ascii="Garamond" w:hAnsi="Garamond"/>
          <w:sz w:val="24"/>
          <w:szCs w:val="24"/>
        </w:rPr>
        <w:t>SH.P.</w:t>
      </w:r>
      <w:r w:rsidRPr="009232AD">
        <w:rPr>
          <w:rFonts w:ascii="Garamond" w:hAnsi="Garamond"/>
          <w:sz w:val="24"/>
          <w:szCs w:val="24"/>
        </w:rPr>
        <w:t xml:space="preserve"> ishte pasojë e pamjaftueshmërisë akute kardiorespiratiore</w:t>
      </w:r>
      <w:r w:rsidR="00007453">
        <w:rPr>
          <w:rFonts w:ascii="Garamond" w:hAnsi="Garamond"/>
          <w:sz w:val="24"/>
          <w:szCs w:val="24"/>
        </w:rPr>
        <w:t>,</w:t>
      </w:r>
      <w:r w:rsidRPr="009232AD">
        <w:rPr>
          <w:rFonts w:ascii="Garamond" w:hAnsi="Garamond"/>
          <w:sz w:val="24"/>
          <w:szCs w:val="24"/>
        </w:rPr>
        <w:t xml:space="preserve"> për shkak të komplikacioneve të sëmundjes së përgjithshme metabolike</w:t>
      </w:r>
      <w:r w:rsidR="00007453">
        <w:rPr>
          <w:rFonts w:ascii="Garamond" w:hAnsi="Garamond"/>
          <w:sz w:val="24"/>
          <w:szCs w:val="24"/>
        </w:rPr>
        <w:t xml:space="preserve"> </w:t>
      </w:r>
      <w:r w:rsidRPr="009232AD">
        <w:rPr>
          <w:rFonts w:ascii="Garamond" w:hAnsi="Garamond"/>
          <w:sz w:val="24"/>
          <w:szCs w:val="24"/>
        </w:rPr>
        <w: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5. Në lidhje me pyetjen</w:t>
      </w:r>
      <w:r w:rsidR="00007453">
        <w:rPr>
          <w:rFonts w:ascii="Garamond" w:hAnsi="Garamond"/>
          <w:sz w:val="24"/>
          <w:szCs w:val="24"/>
        </w:rPr>
        <w:t>,</w:t>
      </w:r>
      <w:r w:rsidRPr="009232AD">
        <w:rPr>
          <w:rFonts w:ascii="Garamond" w:hAnsi="Garamond"/>
          <w:sz w:val="24"/>
          <w:szCs w:val="24"/>
        </w:rPr>
        <w:t xml:space="preserve"> nëse trajtimi mjekësor i </w:t>
      </w:r>
      <w:r w:rsidR="004F0976">
        <w:rPr>
          <w:rFonts w:ascii="Garamond" w:hAnsi="Garamond"/>
          <w:sz w:val="24"/>
          <w:szCs w:val="24"/>
        </w:rPr>
        <w:t>SH.P.</w:t>
      </w:r>
      <w:r w:rsidRPr="009232AD">
        <w:rPr>
          <w:rFonts w:ascii="Garamond" w:hAnsi="Garamond"/>
          <w:sz w:val="24"/>
          <w:szCs w:val="24"/>
        </w:rPr>
        <w:t xml:space="preserve"> ishte neglizhuar, ky do të jetë subjekti i një kërkimi tjetër nga komisioni mjekoligjor, sapo këta të fundit të kenë dosjen hetuese në dispozicion</w:t>
      </w:r>
      <w:r w:rsidR="00007453">
        <w:rPr>
          <w:rFonts w:ascii="Garamond" w:hAnsi="Garamond"/>
          <w:sz w:val="24"/>
          <w:szCs w:val="24"/>
        </w:rPr>
        <w:t xml:space="preserve"> </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C. Pjesa e parë e procedimeve</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18. Më 24 </w:t>
      </w:r>
      <w:r w:rsidR="00007453" w:rsidRPr="009232AD">
        <w:rPr>
          <w:rFonts w:ascii="Garamond" w:hAnsi="Garamond"/>
          <w:sz w:val="24"/>
          <w:szCs w:val="24"/>
        </w:rPr>
        <w:t xml:space="preserve">shkurt </w:t>
      </w:r>
      <w:r w:rsidRPr="009232AD">
        <w:rPr>
          <w:rFonts w:ascii="Garamond" w:hAnsi="Garamond"/>
          <w:sz w:val="24"/>
          <w:szCs w:val="24"/>
        </w:rPr>
        <w:t xml:space="preserve">2011, policia raportoi vdekjen e </w:t>
      </w:r>
      <w:r w:rsidR="004F0976">
        <w:rPr>
          <w:rFonts w:ascii="Garamond" w:hAnsi="Garamond"/>
          <w:sz w:val="24"/>
          <w:szCs w:val="24"/>
        </w:rPr>
        <w:t>SH.P.</w:t>
      </w:r>
      <w:r w:rsidRPr="009232AD">
        <w:rPr>
          <w:rFonts w:ascii="Garamond" w:hAnsi="Garamond"/>
          <w:sz w:val="24"/>
          <w:szCs w:val="24"/>
        </w:rPr>
        <w:t xml:space="preserve"> në </w:t>
      </w:r>
      <w:r w:rsidR="00007453" w:rsidRPr="009232AD">
        <w:rPr>
          <w:rFonts w:ascii="Garamond" w:hAnsi="Garamond"/>
          <w:sz w:val="24"/>
          <w:szCs w:val="24"/>
        </w:rPr>
        <w:t xml:space="preserve">Prokurorinë </w:t>
      </w:r>
      <w:r w:rsidRPr="009232AD">
        <w:rPr>
          <w:rFonts w:ascii="Garamond" w:hAnsi="Garamond"/>
          <w:sz w:val="24"/>
          <w:szCs w:val="24"/>
        </w:rPr>
        <w:t xml:space="preserve">e Tiranës, e cila e regjistroi në dosjen penale. Pasi u kryen veprimet hetimore, më 13 prill 2011, </w:t>
      </w:r>
      <w:r w:rsidR="00007453" w:rsidRPr="009232AD">
        <w:rPr>
          <w:rFonts w:ascii="Garamond" w:hAnsi="Garamond"/>
          <w:sz w:val="24"/>
          <w:szCs w:val="24"/>
        </w:rPr>
        <w:t xml:space="preserve">Prokuroria </w:t>
      </w:r>
      <w:r w:rsidRPr="009232AD">
        <w:rPr>
          <w:rFonts w:ascii="Garamond" w:hAnsi="Garamond"/>
          <w:sz w:val="24"/>
          <w:szCs w:val="24"/>
        </w:rPr>
        <w:t xml:space="preserve">e Tiranës vendosi mosfillimin e procedimit penal dhe të njoftonte palët e interesuara për atë vendim. Vendimi u mbështet në raportin mjekësor të datës 30 </w:t>
      </w:r>
      <w:r w:rsidR="00960E80" w:rsidRPr="009232AD">
        <w:rPr>
          <w:rFonts w:ascii="Garamond" w:hAnsi="Garamond"/>
          <w:sz w:val="24"/>
          <w:szCs w:val="24"/>
        </w:rPr>
        <w:t xml:space="preserve">mars </w:t>
      </w:r>
      <w:r w:rsidRPr="009232AD">
        <w:rPr>
          <w:rFonts w:ascii="Garamond" w:hAnsi="Garamond"/>
          <w:sz w:val="24"/>
          <w:szCs w:val="24"/>
        </w:rPr>
        <w:t xml:space="preserve">2011, në të cilin u konstatohej se vdekja e </w:t>
      </w:r>
      <w:r w:rsidR="004F0976">
        <w:rPr>
          <w:rFonts w:ascii="Garamond" w:hAnsi="Garamond"/>
          <w:sz w:val="24"/>
          <w:szCs w:val="24"/>
        </w:rPr>
        <w:t>SH.P.</w:t>
      </w:r>
      <w:r w:rsidRPr="009232AD">
        <w:rPr>
          <w:rFonts w:ascii="Garamond" w:hAnsi="Garamond"/>
          <w:sz w:val="24"/>
          <w:szCs w:val="24"/>
        </w:rPr>
        <w:t xml:space="preserve"> ishte rezultat i një pamjaftueshmërie akute respiratore dhe kardiake</w:t>
      </w:r>
      <w:r w:rsidR="00960E80">
        <w:rPr>
          <w:rFonts w:ascii="Garamond" w:hAnsi="Garamond"/>
          <w:sz w:val="24"/>
          <w:szCs w:val="24"/>
        </w:rPr>
        <w:t>,</w:t>
      </w:r>
      <w:r w:rsidRPr="009232AD">
        <w:rPr>
          <w:rFonts w:ascii="Garamond" w:hAnsi="Garamond"/>
          <w:sz w:val="24"/>
          <w:szCs w:val="24"/>
        </w:rPr>
        <w:t xml:space="preserve"> si edhe e sëmundjeve të tjera. Gjithashtu, në vendim deklarohej se nuk ekzistonte asnjë fakt, e dhënë ose tregues se mund të ishte kryer një vepër penale. Më 13 </w:t>
      </w:r>
      <w:r w:rsidR="00960E80" w:rsidRPr="009232AD">
        <w:rPr>
          <w:rFonts w:ascii="Garamond" w:hAnsi="Garamond"/>
          <w:sz w:val="24"/>
          <w:szCs w:val="24"/>
        </w:rPr>
        <w:t xml:space="preserve">maj </w:t>
      </w:r>
      <w:r w:rsidRPr="009232AD">
        <w:rPr>
          <w:rFonts w:ascii="Garamond" w:hAnsi="Garamond"/>
          <w:sz w:val="24"/>
          <w:szCs w:val="24"/>
        </w:rPr>
        <w:t xml:space="preserve">2011, kërkuesit iu njoftua vendimi i </w:t>
      </w:r>
      <w:r w:rsidR="00960E80" w:rsidRPr="009232AD">
        <w:rPr>
          <w:rFonts w:ascii="Garamond" w:hAnsi="Garamond"/>
          <w:sz w:val="24"/>
          <w:szCs w:val="24"/>
        </w:rPr>
        <w:t xml:space="preserve">Prokurorisë </w:t>
      </w:r>
      <w:r w:rsidRPr="009232AD">
        <w:rPr>
          <w:rFonts w:ascii="Garamond" w:hAnsi="Garamond"/>
          <w:sz w:val="24"/>
          <w:szCs w:val="24"/>
        </w:rPr>
        <w:t xml:space="preserve">së Tiranës.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19. Më 17 </w:t>
      </w:r>
      <w:r w:rsidR="00960E80" w:rsidRPr="009232AD">
        <w:rPr>
          <w:rFonts w:ascii="Garamond" w:hAnsi="Garamond"/>
          <w:sz w:val="24"/>
          <w:szCs w:val="24"/>
        </w:rPr>
        <w:t xml:space="preserve">maj </w:t>
      </w:r>
      <w:r w:rsidRPr="009232AD">
        <w:rPr>
          <w:rFonts w:ascii="Garamond" w:hAnsi="Garamond"/>
          <w:sz w:val="24"/>
          <w:szCs w:val="24"/>
        </w:rPr>
        <w:t xml:space="preserve">2011, kërkuesi paraqiti një ankesë në Gjykatën e Rrethit Tiranë, ndaj vendimit të prokurorisë së Tiranës. Më 20 </w:t>
      </w:r>
      <w:r w:rsidR="00960E80" w:rsidRPr="009232AD">
        <w:rPr>
          <w:rFonts w:ascii="Garamond" w:hAnsi="Garamond"/>
          <w:sz w:val="24"/>
          <w:szCs w:val="24"/>
        </w:rPr>
        <w:t xml:space="preserve">tetor </w:t>
      </w:r>
      <w:r w:rsidRPr="009232AD">
        <w:rPr>
          <w:rFonts w:ascii="Garamond" w:hAnsi="Garamond"/>
          <w:sz w:val="24"/>
          <w:szCs w:val="24"/>
        </w:rPr>
        <w:t xml:space="preserve">2011, Gjykata e Rrethit Tiranë e rrëzoi ankesën e kërkuesit me argumentin se ai nuk kishte pozita ligjore të ankohej ndaj vendimit të kundërshtuar, sepse ai ishte njoftuar në lidhje me të si familjar i të ndjerit. Edhe </w:t>
      </w:r>
      <w:r w:rsidR="00227F48" w:rsidRPr="009232AD">
        <w:rPr>
          <w:rFonts w:ascii="Garamond" w:hAnsi="Garamond"/>
          <w:sz w:val="24"/>
          <w:szCs w:val="24"/>
        </w:rPr>
        <w:t xml:space="preserve">Gjykata </w:t>
      </w:r>
      <w:r w:rsidRPr="009232AD">
        <w:rPr>
          <w:rFonts w:ascii="Garamond" w:hAnsi="Garamond"/>
          <w:sz w:val="24"/>
          <w:szCs w:val="24"/>
        </w:rPr>
        <w:t xml:space="preserve">e </w:t>
      </w:r>
      <w:r w:rsidR="00227F48" w:rsidRPr="009232AD">
        <w:rPr>
          <w:rFonts w:ascii="Garamond" w:hAnsi="Garamond"/>
          <w:sz w:val="24"/>
          <w:szCs w:val="24"/>
        </w:rPr>
        <w:t xml:space="preserve">Shkallës </w:t>
      </w:r>
      <w:r w:rsidRPr="009232AD">
        <w:rPr>
          <w:rFonts w:ascii="Garamond" w:hAnsi="Garamond"/>
          <w:sz w:val="24"/>
          <w:szCs w:val="24"/>
        </w:rPr>
        <w:t xml:space="preserve">së </w:t>
      </w:r>
      <w:r w:rsidR="00227F48" w:rsidRPr="009232AD">
        <w:rPr>
          <w:rFonts w:ascii="Garamond" w:hAnsi="Garamond"/>
          <w:sz w:val="24"/>
          <w:szCs w:val="24"/>
        </w:rPr>
        <w:t xml:space="preserve">Parë </w:t>
      </w:r>
      <w:r w:rsidRPr="009232AD">
        <w:rPr>
          <w:rFonts w:ascii="Garamond" w:hAnsi="Garamond"/>
          <w:sz w:val="24"/>
          <w:szCs w:val="24"/>
        </w:rPr>
        <w:t>deklaroi</w:t>
      </w:r>
      <w:r w:rsidR="00960E80">
        <w:rPr>
          <w:rFonts w:ascii="Garamond" w:hAnsi="Garamond"/>
          <w:sz w:val="24"/>
          <w:szCs w:val="24"/>
        </w:rPr>
        <w:t>,</w:t>
      </w:r>
      <w:r w:rsidRPr="009232AD">
        <w:rPr>
          <w:rFonts w:ascii="Garamond" w:hAnsi="Garamond"/>
          <w:sz w:val="24"/>
          <w:szCs w:val="24"/>
        </w:rPr>
        <w:t xml:space="preserve"> se</w:t>
      </w:r>
      <w:r w:rsidR="00960E80">
        <w:rPr>
          <w:rFonts w:ascii="Garamond" w:hAnsi="Garamond"/>
          <w:sz w:val="24"/>
          <w:szCs w:val="24"/>
        </w:rPr>
        <w:t>,</w:t>
      </w:r>
      <w:r w:rsidRPr="009232AD">
        <w:rPr>
          <w:rFonts w:ascii="Garamond" w:hAnsi="Garamond"/>
          <w:sz w:val="24"/>
          <w:szCs w:val="24"/>
        </w:rPr>
        <w:t xml:space="preserve"> sipas </w:t>
      </w:r>
      <w:r w:rsidR="00960E80" w:rsidRPr="009232AD">
        <w:rPr>
          <w:rFonts w:ascii="Garamond" w:hAnsi="Garamond"/>
          <w:sz w:val="24"/>
          <w:szCs w:val="24"/>
        </w:rPr>
        <w:t xml:space="preserve">nenit </w:t>
      </w:r>
      <w:r w:rsidRPr="009232AD">
        <w:rPr>
          <w:rFonts w:ascii="Garamond" w:hAnsi="Garamond"/>
          <w:sz w:val="24"/>
          <w:szCs w:val="24"/>
        </w:rPr>
        <w:t xml:space="preserve">291 të Kodit të Procedurës Penale, vetëm personat të cilët kishin denoncuar një vepër penale mund të ankoheshin për një vendim për mosfillim të procedimit penal.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20. Më 20 </w:t>
      </w:r>
      <w:r w:rsidR="00960E80" w:rsidRPr="009232AD">
        <w:rPr>
          <w:rFonts w:ascii="Garamond" w:hAnsi="Garamond"/>
          <w:sz w:val="24"/>
          <w:szCs w:val="24"/>
        </w:rPr>
        <w:t xml:space="preserve">prill </w:t>
      </w:r>
      <w:r w:rsidRPr="009232AD">
        <w:rPr>
          <w:rFonts w:ascii="Garamond" w:hAnsi="Garamond"/>
          <w:sz w:val="24"/>
          <w:szCs w:val="24"/>
        </w:rPr>
        <w:t xml:space="preserve">2012, Gjykata e Apelit Tiranë la në fuqi vendimin e Gjykatës së Rrethit Tiranë të datës 20 </w:t>
      </w:r>
      <w:r w:rsidR="00960E80" w:rsidRPr="009232AD">
        <w:rPr>
          <w:rFonts w:ascii="Garamond" w:hAnsi="Garamond"/>
          <w:sz w:val="24"/>
          <w:szCs w:val="24"/>
        </w:rPr>
        <w:t xml:space="preserve">tetor </w:t>
      </w:r>
      <w:r w:rsidRPr="009232AD">
        <w:rPr>
          <w:rFonts w:ascii="Garamond" w:hAnsi="Garamond"/>
          <w:sz w:val="24"/>
          <w:szCs w:val="24"/>
        </w:rPr>
        <w:t xml:space="preserve">2011. Më 23 </w:t>
      </w:r>
      <w:r w:rsidR="00960E80" w:rsidRPr="009232AD">
        <w:rPr>
          <w:rFonts w:ascii="Garamond" w:hAnsi="Garamond"/>
          <w:sz w:val="24"/>
          <w:szCs w:val="24"/>
        </w:rPr>
        <w:t xml:space="preserve">janar </w:t>
      </w:r>
      <w:r w:rsidRPr="009232AD">
        <w:rPr>
          <w:rFonts w:ascii="Garamond" w:hAnsi="Garamond"/>
          <w:sz w:val="24"/>
          <w:szCs w:val="24"/>
        </w:rPr>
        <w:t xml:space="preserve">2014, Gjykata e Lartë kundërshtoi apelimin e paraqitur nga kërkuesi. Më 17 </w:t>
      </w:r>
      <w:r w:rsidR="00960E80" w:rsidRPr="009232AD">
        <w:rPr>
          <w:rFonts w:ascii="Garamond" w:hAnsi="Garamond"/>
          <w:sz w:val="24"/>
          <w:szCs w:val="24"/>
        </w:rPr>
        <w:t xml:space="preserve">nëntor </w:t>
      </w:r>
      <w:r w:rsidRPr="009232AD">
        <w:rPr>
          <w:rFonts w:ascii="Garamond" w:hAnsi="Garamond"/>
          <w:sz w:val="24"/>
          <w:szCs w:val="24"/>
        </w:rPr>
        <w:t>2015, Gjykata Kushtetuese kundërshtoi ankesat e kërkuesit ndaj vendimeve të gjykatave vend</w:t>
      </w:r>
      <w:r w:rsidR="00960E80">
        <w:rPr>
          <w:rFonts w:ascii="Garamond" w:hAnsi="Garamond"/>
          <w:sz w:val="24"/>
          <w:szCs w:val="24"/>
        </w:rPr>
        <w:t>ë</w:t>
      </w:r>
      <w:r w:rsidRPr="009232AD">
        <w:rPr>
          <w:rFonts w:ascii="Garamond" w:hAnsi="Garamond"/>
          <w:sz w:val="24"/>
          <w:szCs w:val="24"/>
        </w:rPr>
        <w:t xml:space="preserve">se, me argumentin se mohimi </w:t>
      </w:r>
      <w:r w:rsidR="00960E80">
        <w:rPr>
          <w:rFonts w:ascii="Garamond" w:hAnsi="Garamond"/>
          <w:sz w:val="24"/>
          <w:szCs w:val="24"/>
        </w:rPr>
        <w:t xml:space="preserve">i </w:t>
      </w:r>
      <w:r w:rsidRPr="009232AD">
        <w:rPr>
          <w:rFonts w:ascii="Garamond" w:hAnsi="Garamond"/>
          <w:sz w:val="24"/>
          <w:szCs w:val="24"/>
        </w:rPr>
        <w:t xml:space="preserve">statusit të pozicionit për të kundërshtuar vendimin e prokurorit nuk shkelte thelbin e </w:t>
      </w:r>
      <w:r w:rsidR="00960E80">
        <w:rPr>
          <w:rFonts w:ascii="Garamond" w:hAnsi="Garamond"/>
          <w:sz w:val="24"/>
          <w:szCs w:val="24"/>
        </w:rPr>
        <w:t>s</w:t>
      </w:r>
      <w:r w:rsidRPr="009232AD">
        <w:rPr>
          <w:rFonts w:ascii="Garamond" w:hAnsi="Garamond"/>
          <w:sz w:val="24"/>
          <w:szCs w:val="24"/>
        </w:rPr>
        <w:t xml:space="preserve">ë drejtës së kërkuesit për të pasur akses në gjykatë.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D. Pjesa e dytë e procedimeve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21. Më 16 </w:t>
      </w:r>
      <w:r w:rsidR="00960E80" w:rsidRPr="009232AD">
        <w:rPr>
          <w:rFonts w:ascii="Garamond" w:hAnsi="Garamond"/>
          <w:sz w:val="24"/>
          <w:szCs w:val="24"/>
        </w:rPr>
        <w:t xml:space="preserve">shkurt </w:t>
      </w:r>
      <w:r w:rsidRPr="009232AD">
        <w:rPr>
          <w:rFonts w:ascii="Garamond" w:hAnsi="Garamond"/>
          <w:sz w:val="24"/>
          <w:szCs w:val="24"/>
        </w:rPr>
        <w:t xml:space="preserve">2015, kërkuesi raportoi vdekjen e vëllait të tij në </w:t>
      </w:r>
      <w:r w:rsidR="00004AD8" w:rsidRPr="009232AD">
        <w:rPr>
          <w:rFonts w:ascii="Garamond" w:hAnsi="Garamond"/>
          <w:sz w:val="24"/>
          <w:szCs w:val="24"/>
        </w:rPr>
        <w:t xml:space="preserve">Prokurorinë </w:t>
      </w:r>
      <w:r w:rsidRPr="009232AD">
        <w:rPr>
          <w:rFonts w:ascii="Garamond" w:hAnsi="Garamond"/>
          <w:sz w:val="24"/>
          <w:szCs w:val="24"/>
        </w:rPr>
        <w:t xml:space="preserve">e Tiranës. Më 27 </w:t>
      </w:r>
      <w:r w:rsidR="00004AD8" w:rsidRPr="009232AD">
        <w:rPr>
          <w:rFonts w:ascii="Garamond" w:hAnsi="Garamond"/>
          <w:sz w:val="24"/>
          <w:szCs w:val="24"/>
        </w:rPr>
        <w:t xml:space="preserve">mars </w:t>
      </w:r>
      <w:r w:rsidRPr="009232AD">
        <w:rPr>
          <w:rFonts w:ascii="Garamond" w:hAnsi="Garamond"/>
          <w:sz w:val="24"/>
          <w:szCs w:val="24"/>
        </w:rPr>
        <w:t xml:space="preserve">2015, </w:t>
      </w:r>
      <w:r w:rsidR="00004AD8" w:rsidRPr="009232AD">
        <w:rPr>
          <w:rFonts w:ascii="Garamond" w:hAnsi="Garamond"/>
          <w:sz w:val="24"/>
          <w:szCs w:val="24"/>
        </w:rPr>
        <w:t xml:space="preserve">Prokuroria </w:t>
      </w:r>
      <w:r w:rsidRPr="009232AD">
        <w:rPr>
          <w:rFonts w:ascii="Garamond" w:hAnsi="Garamond"/>
          <w:sz w:val="24"/>
          <w:szCs w:val="24"/>
        </w:rPr>
        <w:t xml:space="preserve">e Tiranës vendosi mosfillimin e procedimit penal mbështetur në kallëzimin e kërkuesit. Në një datë të papërcaktuar, kërkuesi paraqiti një ankesë në Gjykatën e Rrethit Tiranë në </w:t>
      </w:r>
      <w:r w:rsidRPr="009232AD">
        <w:rPr>
          <w:rFonts w:ascii="Garamond" w:hAnsi="Garamond"/>
          <w:sz w:val="24"/>
          <w:szCs w:val="24"/>
        </w:rPr>
        <w:lastRenderedPageBreak/>
        <w:t xml:space="preserve">lidhje me vendimin e sipërpërmendur. Më 18 </w:t>
      </w:r>
      <w:r w:rsidR="00004AD8" w:rsidRPr="009232AD">
        <w:rPr>
          <w:rFonts w:ascii="Garamond" w:hAnsi="Garamond"/>
          <w:sz w:val="24"/>
          <w:szCs w:val="24"/>
        </w:rPr>
        <w:t xml:space="preserve">nëntor </w:t>
      </w:r>
      <w:r w:rsidRPr="009232AD">
        <w:rPr>
          <w:rFonts w:ascii="Garamond" w:hAnsi="Garamond"/>
          <w:sz w:val="24"/>
          <w:szCs w:val="24"/>
        </w:rPr>
        <w:t xml:space="preserve">2015, Gjykata e Rrethit Tiranë, në referim të pjesës së parë të procedimeve dhe </w:t>
      </w:r>
      <w:r w:rsidR="00004AD8">
        <w:rPr>
          <w:rFonts w:ascii="Garamond" w:hAnsi="Garamond"/>
          <w:sz w:val="24"/>
          <w:szCs w:val="24"/>
        </w:rPr>
        <w:t xml:space="preserve">të </w:t>
      </w:r>
      <w:r w:rsidRPr="009232AD">
        <w:rPr>
          <w:rFonts w:ascii="Garamond" w:hAnsi="Garamond"/>
          <w:sz w:val="24"/>
          <w:szCs w:val="24"/>
        </w:rPr>
        <w:t xml:space="preserve">provave të përdorura në ato procedime, pa dëgjuar ankuesin, vendosi të kundërshtonte ankesën e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II. LIGJI PËRKATËS VEND</w:t>
      </w:r>
      <w:r w:rsidR="00004AD8">
        <w:rPr>
          <w:rFonts w:ascii="Garamond" w:hAnsi="Garamond"/>
          <w:sz w:val="24"/>
          <w:szCs w:val="24"/>
        </w:rPr>
        <w:t>Ë</w:t>
      </w:r>
      <w:r w:rsidRPr="009232AD">
        <w:rPr>
          <w:rFonts w:ascii="Garamond" w:hAnsi="Garamond"/>
          <w:sz w:val="24"/>
          <w:szCs w:val="24"/>
        </w:rPr>
        <w:t>S</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A. Kushtetuta e Shqipërisë</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22. Neni 21 i Kushtetutës parashikon se jeta e çdokujt mbrohet me ligj. Neni 25 parashikon se asnjë nuk mund t’</w:t>
      </w:r>
      <w:r w:rsidR="009279C5">
        <w:rPr>
          <w:rFonts w:ascii="Garamond" w:hAnsi="Garamond"/>
          <w:sz w:val="24"/>
          <w:szCs w:val="24"/>
        </w:rPr>
        <w:t>i</w:t>
      </w:r>
      <w:r w:rsidRPr="009232AD">
        <w:rPr>
          <w:rFonts w:ascii="Garamond" w:hAnsi="Garamond"/>
          <w:sz w:val="24"/>
          <w:szCs w:val="24"/>
        </w:rPr>
        <w:t xml:space="preserve"> nënshtrohet torturës apo dënimit</w:t>
      </w:r>
      <w:r w:rsidR="00004AD8">
        <w:rPr>
          <w:rFonts w:ascii="Garamond" w:hAnsi="Garamond"/>
          <w:sz w:val="24"/>
          <w:szCs w:val="24"/>
        </w:rPr>
        <w:t>,</w:t>
      </w:r>
      <w:r w:rsidRPr="009232AD">
        <w:rPr>
          <w:rFonts w:ascii="Garamond" w:hAnsi="Garamond"/>
          <w:sz w:val="24"/>
          <w:szCs w:val="24"/>
        </w:rPr>
        <w:t xml:space="preserve"> ose trajtimit të ashpër, çnjerëzor ose degradues.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B. Kodi i Procedurës Penale (KPP)</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23. Dispozitat përkatëse të KPP</w:t>
      </w:r>
      <w:r w:rsidR="00004AD8">
        <w:rPr>
          <w:rFonts w:ascii="Garamond" w:hAnsi="Garamond"/>
          <w:sz w:val="24"/>
          <w:szCs w:val="24"/>
        </w:rPr>
        <w:t>-së</w:t>
      </w:r>
      <w:r w:rsidRPr="009232AD">
        <w:rPr>
          <w:rFonts w:ascii="Garamond" w:hAnsi="Garamond"/>
          <w:sz w:val="24"/>
          <w:szCs w:val="24"/>
        </w:rPr>
        <w:t xml:space="preserve"> parashikonin, në momentin në fjalë, si më poshtë: </w:t>
      </w:r>
    </w:p>
    <w:p w:rsidR="00DA36D6" w:rsidRPr="009232AD" w:rsidRDefault="00DA36D6" w:rsidP="00DA36D6">
      <w:pPr>
        <w:spacing w:after="0" w:line="240" w:lineRule="auto"/>
        <w:ind w:firstLine="284"/>
        <w:jc w:val="both"/>
        <w:rPr>
          <w:rFonts w:ascii="Garamond" w:hAnsi="Garamond"/>
          <w:sz w:val="24"/>
          <w:szCs w:val="24"/>
        </w:rPr>
      </w:pPr>
    </w:p>
    <w:p w:rsidR="00DA36D6" w:rsidRPr="00004AD8" w:rsidRDefault="00DA36D6" w:rsidP="00DA36D6">
      <w:pPr>
        <w:spacing w:after="0" w:line="240" w:lineRule="auto"/>
        <w:jc w:val="center"/>
        <w:rPr>
          <w:rFonts w:ascii="Garamond" w:hAnsi="Garamond"/>
          <w:sz w:val="24"/>
          <w:szCs w:val="24"/>
        </w:rPr>
      </w:pPr>
      <w:r w:rsidRPr="00004AD8">
        <w:rPr>
          <w:rFonts w:ascii="Garamond" w:hAnsi="Garamond"/>
          <w:sz w:val="24"/>
          <w:szCs w:val="24"/>
        </w:rPr>
        <w:t>“Neni 58</w:t>
      </w:r>
    </w:p>
    <w:p w:rsidR="00DA36D6" w:rsidRPr="00004AD8" w:rsidRDefault="00DA36D6" w:rsidP="00DA36D6">
      <w:pPr>
        <w:spacing w:after="0" w:line="240" w:lineRule="auto"/>
        <w:jc w:val="center"/>
        <w:rPr>
          <w:rFonts w:ascii="Garamond" w:hAnsi="Garamond"/>
          <w:b/>
          <w:sz w:val="24"/>
          <w:szCs w:val="24"/>
        </w:rPr>
      </w:pPr>
      <w:r w:rsidRPr="00004AD8">
        <w:rPr>
          <w:rFonts w:ascii="Garamond" w:hAnsi="Garamond"/>
          <w:b/>
          <w:sz w:val="24"/>
          <w:szCs w:val="24"/>
        </w:rPr>
        <w:t>Të drejtat e personit të dëmtuar nga vepra penale</w:t>
      </w:r>
    </w:p>
    <w:p w:rsidR="00DA36D6" w:rsidRPr="00004AD8"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 Personi i dëmtuar nga veprat penale ose trashëgimtarët e tij, kanë të drejtë të kërkojnë procedimin e fajtorit dhe shpërblimin e dëmit.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Personi i dëmtuar që nuk ka zotësi juridike për të vepruar i ushtron të drejtat që i janë njohur me ligj nëpërmjet përfaqësuesit ligjor të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3. I dëmtuari ka të drejtë të parashtrojë kërkesa në organin procedues dhe të kërkojë marrjen e provave. Kur kërkesa e tij nuk pranohet nga prokurori, ai ka të drejtë të ankohet në gjykatë</w:t>
      </w:r>
      <w:r w:rsidR="00227F48">
        <w:rPr>
          <w:rFonts w:ascii="Garamond" w:hAnsi="Garamond"/>
          <w:sz w:val="24"/>
          <w:szCs w:val="24"/>
        </w:rPr>
        <w:t>,</w:t>
      </w:r>
      <w:r w:rsidRPr="009232AD">
        <w:rPr>
          <w:rFonts w:ascii="Garamond" w:hAnsi="Garamond"/>
          <w:sz w:val="24"/>
          <w:szCs w:val="24"/>
        </w:rPr>
        <w:t xml:space="preserve"> brenda 5 ditëve nga marrja dijeni. </w:t>
      </w:r>
    </w:p>
    <w:p w:rsidR="00DA36D6" w:rsidRPr="009232AD" w:rsidRDefault="00DA36D6" w:rsidP="00DA36D6">
      <w:pPr>
        <w:spacing w:after="0" w:line="240" w:lineRule="auto"/>
        <w:ind w:firstLine="284"/>
        <w:jc w:val="both"/>
        <w:rPr>
          <w:rFonts w:ascii="Garamond" w:hAnsi="Garamond"/>
          <w:sz w:val="24"/>
          <w:szCs w:val="24"/>
        </w:rPr>
      </w:pPr>
    </w:p>
    <w:p w:rsidR="00DA36D6" w:rsidRPr="00004AD8" w:rsidRDefault="00DA36D6" w:rsidP="00DA36D6">
      <w:pPr>
        <w:spacing w:after="0" w:line="240" w:lineRule="auto"/>
        <w:jc w:val="center"/>
        <w:rPr>
          <w:rFonts w:ascii="Garamond" w:hAnsi="Garamond"/>
          <w:sz w:val="24"/>
          <w:szCs w:val="24"/>
        </w:rPr>
      </w:pPr>
      <w:r w:rsidRPr="00004AD8">
        <w:rPr>
          <w:rFonts w:ascii="Garamond" w:hAnsi="Garamond"/>
          <w:sz w:val="24"/>
          <w:szCs w:val="24"/>
        </w:rPr>
        <w:t>Neni 59</w:t>
      </w:r>
    </w:p>
    <w:p w:rsidR="00DA36D6" w:rsidRPr="00004AD8" w:rsidRDefault="00DA36D6" w:rsidP="00DA36D6">
      <w:pPr>
        <w:spacing w:after="0" w:line="240" w:lineRule="auto"/>
        <w:jc w:val="center"/>
        <w:rPr>
          <w:rFonts w:ascii="Garamond" w:hAnsi="Garamond"/>
          <w:b/>
          <w:sz w:val="24"/>
          <w:szCs w:val="24"/>
        </w:rPr>
      </w:pPr>
      <w:r w:rsidRPr="00004AD8">
        <w:rPr>
          <w:rFonts w:ascii="Garamond" w:hAnsi="Garamond"/>
          <w:b/>
          <w:sz w:val="24"/>
          <w:szCs w:val="24"/>
        </w:rPr>
        <w:t>I dëmtuari akuzues</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1. Ai që është dëmtuar nga veprat penale të parashikuara nga nenet 90, 91, 92, 112</w:t>
      </w:r>
      <w:r w:rsidR="00ED6A18">
        <w:rPr>
          <w:rFonts w:ascii="Garamond" w:hAnsi="Garamond"/>
          <w:sz w:val="24"/>
          <w:szCs w:val="24"/>
        </w:rPr>
        <w:t>,</w:t>
      </w:r>
      <w:r w:rsidRPr="009232AD">
        <w:rPr>
          <w:rFonts w:ascii="Garamond" w:hAnsi="Garamond"/>
          <w:sz w:val="24"/>
          <w:szCs w:val="24"/>
        </w:rPr>
        <w:t xml:space="preserve"> paragrafi i parë, 119,</w:t>
      </w:r>
      <w:r w:rsidR="00ED6A18">
        <w:rPr>
          <w:rFonts w:ascii="Garamond" w:hAnsi="Garamond"/>
          <w:sz w:val="24"/>
          <w:szCs w:val="24"/>
        </w:rPr>
        <w:t xml:space="preserve"> </w:t>
      </w:r>
      <w:r w:rsidRPr="009232AD">
        <w:rPr>
          <w:rFonts w:ascii="Garamond" w:hAnsi="Garamond"/>
          <w:sz w:val="24"/>
          <w:szCs w:val="24"/>
        </w:rPr>
        <w:t>119/b, 120, 121, 122, 125, 127, 148, 149 dhe 254 të Kodit Penal</w:t>
      </w:r>
      <w:r w:rsidR="00ED6A18">
        <w:rPr>
          <w:rFonts w:ascii="Garamond" w:hAnsi="Garamond"/>
          <w:sz w:val="24"/>
          <w:szCs w:val="24"/>
        </w:rPr>
        <w:t>,</w:t>
      </w:r>
      <w:r w:rsidRPr="009232AD">
        <w:rPr>
          <w:rFonts w:ascii="Garamond" w:hAnsi="Garamond"/>
          <w:sz w:val="24"/>
          <w:szCs w:val="24"/>
        </w:rPr>
        <w:t xml:space="preserve"> ka të drejtë të paraqesë kërkesë në gjykatë dhe të marrë pjesë në gjykim si palë për të vërtetuar akuzën dhe për të kërkuar shpërblimin e dëmit.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Prokurori merr pjesë në gjykimin e këtyre çështjeve dhe, sipas rastit, kërkon dënimin e të pandehurit ose pafajësinë e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3. Nëse i dëmtuari akuzues ose mbrojtësi i caktuar prej tij nuk paraqitet në seancë pa shkaqe të arsyeshme, gjykata vendos pushimin e gjykimit.</w:t>
      </w:r>
    </w:p>
    <w:p w:rsidR="00DA36D6" w:rsidRPr="009232AD" w:rsidRDefault="00DA36D6" w:rsidP="00DA36D6">
      <w:pPr>
        <w:spacing w:after="0" w:line="240" w:lineRule="auto"/>
        <w:ind w:firstLine="284"/>
        <w:jc w:val="both"/>
        <w:rPr>
          <w:rFonts w:ascii="Garamond" w:hAnsi="Garamond"/>
          <w:sz w:val="24"/>
          <w:szCs w:val="24"/>
        </w:rPr>
      </w:pPr>
    </w:p>
    <w:p w:rsidR="00DA36D6" w:rsidRPr="00ED6A18" w:rsidRDefault="00DA36D6" w:rsidP="00DA36D6">
      <w:pPr>
        <w:spacing w:after="0" w:line="240" w:lineRule="auto"/>
        <w:jc w:val="center"/>
        <w:rPr>
          <w:rFonts w:ascii="Garamond" w:hAnsi="Garamond"/>
          <w:sz w:val="24"/>
          <w:szCs w:val="24"/>
        </w:rPr>
      </w:pPr>
      <w:r w:rsidRPr="00ED6A18">
        <w:rPr>
          <w:rFonts w:ascii="Garamond" w:hAnsi="Garamond"/>
          <w:sz w:val="24"/>
          <w:szCs w:val="24"/>
        </w:rPr>
        <w:t>Neni 290</w:t>
      </w:r>
    </w:p>
    <w:p w:rsidR="00DA36D6" w:rsidRPr="009232AD" w:rsidRDefault="00DA36D6" w:rsidP="00DA36D6">
      <w:pPr>
        <w:spacing w:after="0" w:line="240" w:lineRule="auto"/>
        <w:jc w:val="center"/>
        <w:rPr>
          <w:rFonts w:ascii="Garamond" w:hAnsi="Garamond"/>
          <w:b/>
          <w:sz w:val="24"/>
          <w:szCs w:val="24"/>
        </w:rPr>
      </w:pPr>
      <w:r w:rsidRPr="009232AD">
        <w:rPr>
          <w:rFonts w:ascii="Garamond" w:hAnsi="Garamond"/>
          <w:b/>
          <w:sz w:val="24"/>
          <w:szCs w:val="24"/>
        </w:rPr>
        <w:t>Rrethanat që nuk lejojnë fillimin e procedimit</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 Procedimi penal nuk mund të fillojë dhe, në qoftë se ka filluar, duhet të pushojë në çdo gjendje të procedimit, kur: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a) personi ka vdekur;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b) personi është i papërgjegjshëm ose nuk ka mbushur moshën për përgjegjësi penale;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c) mungon ankimi i të dëmtuarit ose ai e tërheq ankimin;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ç) kur fakti nuk parashikohet nga ligji si vepër penale ose kur del qartë që fakti nuk ekziston;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d) vepra penale është shuar;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dh) është dhënë amnisti;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e) në të gjitha rastet e tjera të parashikuara nga ligji. </w:t>
      </w:r>
    </w:p>
    <w:p w:rsidR="00DA36D6" w:rsidRPr="009232AD" w:rsidRDefault="00DA36D6" w:rsidP="00DA36D6">
      <w:pPr>
        <w:spacing w:after="0" w:line="240" w:lineRule="auto"/>
        <w:ind w:firstLine="284"/>
        <w:jc w:val="both"/>
        <w:rPr>
          <w:rFonts w:ascii="Garamond" w:hAnsi="Garamond"/>
          <w:sz w:val="24"/>
          <w:szCs w:val="24"/>
        </w:rPr>
      </w:pPr>
    </w:p>
    <w:p w:rsidR="00DA36D6" w:rsidRPr="00BD0923" w:rsidRDefault="00DA36D6" w:rsidP="00DA36D6">
      <w:pPr>
        <w:spacing w:after="0" w:line="240" w:lineRule="auto"/>
        <w:jc w:val="center"/>
        <w:rPr>
          <w:rFonts w:ascii="Garamond" w:hAnsi="Garamond"/>
          <w:sz w:val="24"/>
          <w:szCs w:val="24"/>
        </w:rPr>
      </w:pPr>
      <w:r w:rsidRPr="00BD0923">
        <w:rPr>
          <w:rFonts w:ascii="Garamond" w:hAnsi="Garamond"/>
          <w:sz w:val="24"/>
          <w:szCs w:val="24"/>
        </w:rPr>
        <w:t>Neni 291</w:t>
      </w:r>
    </w:p>
    <w:p w:rsidR="00DA36D6" w:rsidRPr="009232AD" w:rsidRDefault="00DA36D6" w:rsidP="00DA36D6">
      <w:pPr>
        <w:spacing w:after="0" w:line="240" w:lineRule="auto"/>
        <w:jc w:val="center"/>
        <w:rPr>
          <w:rFonts w:ascii="Garamond" w:hAnsi="Garamond"/>
          <w:b/>
          <w:sz w:val="24"/>
          <w:szCs w:val="24"/>
        </w:rPr>
      </w:pPr>
      <w:r w:rsidRPr="009232AD">
        <w:rPr>
          <w:rFonts w:ascii="Garamond" w:hAnsi="Garamond"/>
          <w:b/>
          <w:sz w:val="24"/>
          <w:szCs w:val="24"/>
        </w:rPr>
        <w:lastRenderedPageBreak/>
        <w:t>Vendimi për mosfillimin e procedimit</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 Kur ekzistojnë rrethanat që nuk lejojnë fillimin e procedimit, prokurori jep vendim të arsyetuar për mosfillimin e procedimit.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 Vendimi u njoftohet menjëherë atyre që kanë bërë kallëzim ose ankim, të cilët mund ta kundërshtojnë atë në gjykatë, brenda pesë ditëve nga njoftimi i vendimit.</w:t>
      </w:r>
    </w:p>
    <w:p w:rsidR="00DA36D6" w:rsidRPr="009232AD" w:rsidRDefault="00DA36D6" w:rsidP="00DA36D6">
      <w:pPr>
        <w:spacing w:after="0" w:line="240" w:lineRule="auto"/>
        <w:ind w:firstLine="284"/>
        <w:jc w:val="both"/>
        <w:rPr>
          <w:rFonts w:ascii="Garamond" w:hAnsi="Garamond"/>
          <w:sz w:val="24"/>
          <w:szCs w:val="24"/>
        </w:rPr>
      </w:pPr>
    </w:p>
    <w:p w:rsidR="00DA36D6" w:rsidRPr="006A742B" w:rsidRDefault="00DA36D6" w:rsidP="00DA36D6">
      <w:pPr>
        <w:spacing w:after="0" w:line="240" w:lineRule="auto"/>
        <w:jc w:val="center"/>
        <w:rPr>
          <w:rFonts w:ascii="Garamond" w:hAnsi="Garamond"/>
          <w:sz w:val="24"/>
          <w:szCs w:val="24"/>
        </w:rPr>
      </w:pPr>
      <w:r w:rsidRPr="006A742B">
        <w:rPr>
          <w:rFonts w:ascii="Garamond" w:hAnsi="Garamond"/>
          <w:sz w:val="24"/>
          <w:szCs w:val="24"/>
        </w:rPr>
        <w:t>Neni 329</w:t>
      </w:r>
    </w:p>
    <w:p w:rsidR="00DA36D6" w:rsidRPr="009232AD" w:rsidRDefault="00DA36D6" w:rsidP="00DA36D6">
      <w:pPr>
        <w:spacing w:after="0" w:line="240" w:lineRule="auto"/>
        <w:jc w:val="center"/>
        <w:rPr>
          <w:rFonts w:ascii="Garamond" w:hAnsi="Garamond"/>
          <w:b/>
          <w:sz w:val="24"/>
          <w:szCs w:val="24"/>
        </w:rPr>
      </w:pPr>
      <w:r w:rsidRPr="009232AD">
        <w:rPr>
          <w:rFonts w:ascii="Garamond" w:hAnsi="Garamond"/>
          <w:b/>
          <w:sz w:val="24"/>
          <w:szCs w:val="24"/>
        </w:rPr>
        <w:t>Ankimi kundër vendimit të pushimit të çështjes</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 Kundër vendimit të pushimit të akuzës ose të çështjes mund të bëjnë ankim në gjykatën e rrethit gjyqësor i dëmtuari dhe i pandehuri.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Gjykata, kur e gjen të drejtë ankimin e të dëmtuarit vendos që hetimet të vazhdojnë, ndërsa kur pranon ankimin e të pandehurit ndryshon vendimin e pushimit me formulim më të favorshëm për të pandehurin.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3. Kundër vendimit të gjykatës mund të bëhet ankim në gjykatën e apelit nga prokurori, i dëmtuari dhe i pandehuri.”</w:t>
      </w:r>
    </w:p>
    <w:p w:rsidR="00DA36D6" w:rsidRPr="009232AD" w:rsidRDefault="00DA36D6" w:rsidP="00DA36D6">
      <w:pPr>
        <w:spacing w:after="0" w:line="240" w:lineRule="auto"/>
        <w:ind w:firstLine="284"/>
        <w:jc w:val="both"/>
        <w:rPr>
          <w:rFonts w:ascii="Garamond" w:hAnsi="Garamond"/>
          <w:sz w:val="24"/>
          <w:szCs w:val="24"/>
        </w:rPr>
      </w:pP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LIGJI</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I. </w:t>
      </w:r>
      <w:r w:rsidR="00DA36D6" w:rsidRPr="009232AD">
        <w:rPr>
          <w:rFonts w:ascii="Garamond" w:hAnsi="Garamond"/>
          <w:sz w:val="24"/>
          <w:szCs w:val="24"/>
        </w:rPr>
        <w:t>KUNDËRSHTIMI PARAPRAK I QEVERISË</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Shterimi i mjeteve të brendshme </w:t>
      </w:r>
      <w:r w:rsidRPr="00400FB0">
        <w:rPr>
          <w:rFonts w:ascii="Garamond" w:hAnsi="Garamond"/>
          <w:b/>
          <w:sz w:val="24"/>
          <w:szCs w:val="24"/>
        </w:rPr>
        <w:t>dhe rregull</w:t>
      </w:r>
      <w:r w:rsidR="00CF3F54" w:rsidRPr="00400FB0">
        <w:rPr>
          <w:rFonts w:ascii="Garamond" w:hAnsi="Garamond"/>
          <w:b/>
          <w:sz w:val="24"/>
          <w:szCs w:val="24"/>
        </w:rPr>
        <w:t>a</w:t>
      </w:r>
      <w:r w:rsidR="00CF3F54">
        <w:rPr>
          <w:rFonts w:ascii="Garamond" w:hAnsi="Garamond"/>
          <w:b/>
          <w:sz w:val="24"/>
          <w:szCs w:val="24"/>
        </w:rPr>
        <w:t xml:space="preserve"> e</w:t>
      </w:r>
      <w:r w:rsidRPr="009232AD">
        <w:rPr>
          <w:rFonts w:ascii="Garamond" w:hAnsi="Garamond"/>
          <w:b/>
          <w:sz w:val="24"/>
          <w:szCs w:val="24"/>
        </w:rPr>
        <w:t xml:space="preserve"> gjashtë muajve </w:t>
      </w:r>
    </w:p>
    <w:p w:rsidR="00DA36D6" w:rsidRPr="009232AD" w:rsidRDefault="00900F23" w:rsidP="00DA36D6">
      <w:pPr>
        <w:spacing w:after="0" w:line="240" w:lineRule="auto"/>
        <w:ind w:firstLine="284"/>
        <w:jc w:val="both"/>
        <w:rPr>
          <w:rFonts w:ascii="Garamond" w:hAnsi="Garamond"/>
          <w:i/>
          <w:sz w:val="24"/>
          <w:szCs w:val="24"/>
        </w:rPr>
      </w:pPr>
      <w:r w:rsidRPr="009232AD">
        <w:rPr>
          <w:rFonts w:ascii="Garamond" w:hAnsi="Garamond"/>
          <w:i/>
          <w:sz w:val="24"/>
          <w:szCs w:val="24"/>
        </w:rPr>
        <w:t xml:space="preserve">1. </w:t>
      </w:r>
      <w:r w:rsidR="00DA36D6" w:rsidRPr="009232AD">
        <w:rPr>
          <w:rFonts w:ascii="Garamond" w:hAnsi="Garamond"/>
          <w:i/>
          <w:sz w:val="24"/>
          <w:szCs w:val="24"/>
        </w:rPr>
        <w:t xml:space="preserve">Parashtrimet e </w:t>
      </w:r>
      <w:r w:rsidR="00C115E1" w:rsidRPr="009232AD">
        <w:rPr>
          <w:rFonts w:ascii="Garamond" w:hAnsi="Garamond"/>
          <w:i/>
          <w:sz w:val="24"/>
          <w:szCs w:val="24"/>
        </w:rPr>
        <w:t xml:space="preserve">qeverisë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24. Qeveria parashtroi se kërkuesi nuk kishte shfrytëzuar mjetet e brendshme, sepse rruga ligjore që ai kishte zgjedhur të ndiqte ishte e gabuar. Edhe nëse do të supozohej se ai kishte shteruar mjetet e brendshme në dispozicionin e tij, sipas këndvështrimit të </w:t>
      </w:r>
      <w:r w:rsidR="00AE3659" w:rsidRPr="009232AD">
        <w:rPr>
          <w:rFonts w:ascii="Garamond" w:hAnsi="Garamond"/>
          <w:sz w:val="24"/>
          <w:szCs w:val="24"/>
        </w:rPr>
        <w:t>qeverisë</w:t>
      </w:r>
      <w:r w:rsidRPr="009232AD">
        <w:rPr>
          <w:rFonts w:ascii="Garamond" w:hAnsi="Garamond"/>
          <w:sz w:val="24"/>
          <w:szCs w:val="24"/>
        </w:rPr>
        <w:t xml:space="preserve">, ai e kishte dorëzuar kërkesën në </w:t>
      </w:r>
      <w:r w:rsidR="00CF3F54" w:rsidRPr="009232AD">
        <w:rPr>
          <w:rFonts w:ascii="Garamond" w:hAnsi="Garamond"/>
          <w:sz w:val="24"/>
          <w:szCs w:val="24"/>
        </w:rPr>
        <w:t>g</w:t>
      </w:r>
      <w:r w:rsidRPr="009232AD">
        <w:rPr>
          <w:rFonts w:ascii="Garamond" w:hAnsi="Garamond"/>
          <w:sz w:val="24"/>
          <w:szCs w:val="24"/>
        </w:rPr>
        <w:t>jykatë</w:t>
      </w:r>
      <w:r w:rsidR="00AE3659">
        <w:rPr>
          <w:rFonts w:ascii="Garamond" w:hAnsi="Garamond"/>
          <w:sz w:val="24"/>
          <w:szCs w:val="24"/>
        </w:rPr>
        <w:t>,</w:t>
      </w:r>
      <w:r w:rsidRPr="009232AD">
        <w:rPr>
          <w:rFonts w:ascii="Garamond" w:hAnsi="Garamond"/>
          <w:sz w:val="24"/>
          <w:szCs w:val="24"/>
        </w:rPr>
        <w:t xml:space="preserve"> jashtë afatit gjashtëmujor</w:t>
      </w:r>
      <w:r w:rsidR="00AE3659">
        <w:rPr>
          <w:rFonts w:ascii="Garamond" w:hAnsi="Garamond"/>
          <w:sz w:val="24"/>
          <w:szCs w:val="24"/>
        </w:rPr>
        <w:t>,</w:t>
      </w:r>
      <w:r w:rsidRPr="009232AD">
        <w:rPr>
          <w:rFonts w:ascii="Garamond" w:hAnsi="Garamond"/>
          <w:sz w:val="24"/>
          <w:szCs w:val="24"/>
        </w:rPr>
        <w:t xml:space="preserve"> sipas vendimit të Gjykatës së Lartë të datës 23 </w:t>
      </w:r>
      <w:r w:rsidR="00AE3659" w:rsidRPr="009232AD">
        <w:rPr>
          <w:rFonts w:ascii="Garamond" w:hAnsi="Garamond"/>
          <w:sz w:val="24"/>
          <w:szCs w:val="24"/>
        </w:rPr>
        <w:t xml:space="preserve">janar </w:t>
      </w:r>
      <w:r w:rsidRPr="009232AD">
        <w:rPr>
          <w:rFonts w:ascii="Garamond" w:hAnsi="Garamond"/>
          <w:sz w:val="24"/>
          <w:szCs w:val="24"/>
        </w:rPr>
        <w:t xml:space="preserve">2014 dhe faktit se atij nuk i ishte kërkuara që të shfrytëzonte apelimin në Gjykatën Kushtetuese.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25. Sipas </w:t>
      </w:r>
      <w:r w:rsidR="00AE3659" w:rsidRPr="009232AD">
        <w:rPr>
          <w:rFonts w:ascii="Garamond" w:hAnsi="Garamond"/>
          <w:sz w:val="24"/>
          <w:szCs w:val="24"/>
        </w:rPr>
        <w:t>qeverisë</w:t>
      </w:r>
      <w:r w:rsidRPr="009232AD">
        <w:rPr>
          <w:rFonts w:ascii="Garamond" w:hAnsi="Garamond"/>
          <w:sz w:val="24"/>
          <w:szCs w:val="24"/>
        </w:rPr>
        <w:t>, në lidhje me pjesën e parë të procedimeve, kërkuesi kishte qenë pasiv dhe nuk e kishte kallëzuar kurrë çështjen në prokurori. Të gjitha gjykatat vend</w:t>
      </w:r>
      <w:r w:rsidR="00AE3659">
        <w:rPr>
          <w:rFonts w:ascii="Garamond" w:hAnsi="Garamond"/>
          <w:sz w:val="24"/>
          <w:szCs w:val="24"/>
        </w:rPr>
        <w:t>ë</w:t>
      </w:r>
      <w:r w:rsidRPr="009232AD">
        <w:rPr>
          <w:rFonts w:ascii="Garamond" w:hAnsi="Garamond"/>
          <w:sz w:val="24"/>
          <w:szCs w:val="24"/>
        </w:rPr>
        <w:t xml:space="preserve">se kishin arsyetuar rregullisht se sipas </w:t>
      </w:r>
      <w:r w:rsidR="00AE3659" w:rsidRPr="009232AD">
        <w:rPr>
          <w:rFonts w:ascii="Garamond" w:hAnsi="Garamond"/>
          <w:sz w:val="24"/>
          <w:szCs w:val="24"/>
        </w:rPr>
        <w:t xml:space="preserve">nenit </w:t>
      </w:r>
      <w:r w:rsidRPr="009232AD">
        <w:rPr>
          <w:rFonts w:ascii="Garamond" w:hAnsi="Garamond"/>
          <w:sz w:val="24"/>
          <w:szCs w:val="24"/>
        </w:rPr>
        <w:t>291 të Kodit të Procedurës Penale, ai nuk mund të ishte palë në ato procedime</w:t>
      </w:r>
      <w:r w:rsidR="00AE3659">
        <w:rPr>
          <w:rFonts w:ascii="Garamond" w:hAnsi="Garamond"/>
          <w:sz w:val="24"/>
          <w:szCs w:val="24"/>
        </w:rPr>
        <w:t>,</w:t>
      </w:r>
      <w:r w:rsidRPr="009232AD">
        <w:rPr>
          <w:rFonts w:ascii="Garamond" w:hAnsi="Garamond"/>
          <w:sz w:val="24"/>
          <w:szCs w:val="24"/>
        </w:rPr>
        <w:t xml:space="preserve"> sepse ato nuk kishin filluar prej tij. Kishte mjete të tjera të disponueshme në sistemin e brendshëm, të cilat mund të ishin përdorur. Neni 58 i Kodit të Procedurës Penale i mundësonte palët e dëmtuara ose trashëgimtarët e tyre të kërkonin fillimin e procedimeve penale ndaj autorit të krimit dhe të kërkonin kompensim.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26. Në lidhje me pjesën e dytë të procedimeve (shih paragrafin 21 më sipër), edhe pse ato u filluan në bazë të një ankesës së re të kërkuesit në prokurori dhe çuan në një apelim dorëzuar në Gjykatën e Rrethit Tiranë, ai nuk e kishte ndjekur çështjen më larg se</w:t>
      </w:r>
      <w:r w:rsidR="00AE3659">
        <w:rPr>
          <w:rFonts w:ascii="Garamond" w:hAnsi="Garamond"/>
          <w:sz w:val="24"/>
          <w:szCs w:val="24"/>
        </w:rPr>
        <w:t xml:space="preserve"> </w:t>
      </w:r>
      <w:r w:rsidRPr="009232AD">
        <w:rPr>
          <w:rFonts w:ascii="Garamond" w:hAnsi="Garamond"/>
          <w:sz w:val="24"/>
          <w:szCs w:val="24"/>
        </w:rPr>
        <w:t xml:space="preserve">sa Gjykata e Shkallës së Parë. Për këtë arsye, </w:t>
      </w:r>
      <w:r w:rsidR="00AE3659" w:rsidRPr="009232AD">
        <w:rPr>
          <w:rFonts w:ascii="Garamond" w:hAnsi="Garamond"/>
          <w:sz w:val="24"/>
          <w:szCs w:val="24"/>
        </w:rPr>
        <w:t xml:space="preserve">qeveria </w:t>
      </w:r>
      <w:r w:rsidRPr="009232AD">
        <w:rPr>
          <w:rFonts w:ascii="Garamond" w:hAnsi="Garamond"/>
          <w:sz w:val="24"/>
          <w:szCs w:val="24"/>
        </w:rPr>
        <w:t>parashtroi se ankesat e kërkuesit duhet të kundërshtoheshin si të papranueshme</w:t>
      </w:r>
      <w:r w:rsidR="00AE3659">
        <w:rPr>
          <w:rFonts w:ascii="Garamond" w:hAnsi="Garamond"/>
          <w:sz w:val="24"/>
          <w:szCs w:val="24"/>
        </w:rPr>
        <w:t xml:space="preserve">, </w:t>
      </w:r>
      <w:r w:rsidRPr="009232AD">
        <w:rPr>
          <w:rFonts w:ascii="Garamond" w:hAnsi="Garamond"/>
          <w:sz w:val="24"/>
          <w:szCs w:val="24"/>
        </w:rPr>
        <w:t xml:space="preserve">duke qenë se nuk ishin shteruar mjetet e brendshme. </w:t>
      </w:r>
    </w:p>
    <w:p w:rsidR="00DA36D6" w:rsidRPr="009232AD" w:rsidRDefault="00900F23" w:rsidP="00DA36D6">
      <w:pPr>
        <w:spacing w:after="0" w:line="240" w:lineRule="auto"/>
        <w:ind w:firstLine="284"/>
        <w:jc w:val="both"/>
        <w:rPr>
          <w:rFonts w:ascii="Garamond" w:hAnsi="Garamond"/>
          <w:i/>
          <w:sz w:val="24"/>
          <w:szCs w:val="24"/>
        </w:rPr>
      </w:pPr>
      <w:r w:rsidRPr="009232AD">
        <w:rPr>
          <w:rFonts w:ascii="Garamond" w:hAnsi="Garamond"/>
          <w:i/>
          <w:sz w:val="24"/>
          <w:szCs w:val="24"/>
        </w:rPr>
        <w:t xml:space="preserve">2. </w:t>
      </w:r>
      <w:r w:rsidR="00DA36D6" w:rsidRPr="009232AD">
        <w:rPr>
          <w:rFonts w:ascii="Garamond" w:hAnsi="Garamond"/>
          <w:i/>
          <w:sz w:val="24"/>
          <w:szCs w:val="24"/>
        </w:rPr>
        <w:t xml:space="preserve">Parashtrimet e kërkuesit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27. Kërkuesi parashtroi se ai kishte shteruar mjetet e brendshme të disponueshme për të dh</w:t>
      </w:r>
      <w:r w:rsidR="00DD4C44">
        <w:rPr>
          <w:rFonts w:ascii="Garamond" w:hAnsi="Garamond"/>
          <w:sz w:val="24"/>
          <w:szCs w:val="24"/>
        </w:rPr>
        <w:t>e</w:t>
      </w:r>
      <w:r w:rsidRPr="009232AD">
        <w:rPr>
          <w:rFonts w:ascii="Garamond" w:hAnsi="Garamond"/>
          <w:sz w:val="24"/>
          <w:szCs w:val="24"/>
        </w:rPr>
        <w:t xml:space="preserve"> se e kishte paraqitur ankesën në </w:t>
      </w:r>
      <w:r w:rsidR="00CF3F54" w:rsidRPr="009232AD">
        <w:rPr>
          <w:rFonts w:ascii="Garamond" w:hAnsi="Garamond"/>
          <w:sz w:val="24"/>
          <w:szCs w:val="24"/>
        </w:rPr>
        <w:t>g</w:t>
      </w:r>
      <w:r w:rsidRPr="009232AD">
        <w:rPr>
          <w:rFonts w:ascii="Garamond" w:hAnsi="Garamond"/>
          <w:sz w:val="24"/>
          <w:szCs w:val="24"/>
        </w:rPr>
        <w:t xml:space="preserve">jykatë, brenda afatit të parashikuar në </w:t>
      </w:r>
      <w:r w:rsidR="00DD4C44" w:rsidRPr="009232AD">
        <w:rPr>
          <w:rFonts w:ascii="Garamond" w:hAnsi="Garamond"/>
          <w:sz w:val="24"/>
          <w:szCs w:val="24"/>
        </w:rPr>
        <w:t xml:space="preserve">nenin </w:t>
      </w:r>
      <w:r w:rsidRPr="009232AD">
        <w:rPr>
          <w:rFonts w:ascii="Garamond" w:hAnsi="Garamond"/>
          <w:sz w:val="24"/>
          <w:szCs w:val="24"/>
        </w:rPr>
        <w:t>35</w:t>
      </w:r>
      <w:r w:rsidR="007211C8">
        <w:rPr>
          <w:rFonts w:ascii="Garamond" w:hAnsi="Garamond"/>
          <w:sz w:val="24"/>
          <w:szCs w:val="24"/>
        </w:rPr>
        <w:t>,</w:t>
      </w:r>
      <w:r w:rsidRPr="009232AD">
        <w:rPr>
          <w:rFonts w:ascii="Garamond" w:hAnsi="Garamond"/>
          <w:sz w:val="24"/>
          <w:szCs w:val="24"/>
        </w:rPr>
        <w:t xml:space="preserve"> paragrafi 1. Në lidhje me këtë gjë, ai iu referua praktikës gjyqësore, me një theks të veçantë në qasjen e </w:t>
      </w:r>
      <w:r w:rsidR="00CF3F54" w:rsidRPr="009232AD">
        <w:rPr>
          <w:rFonts w:ascii="Garamond" w:hAnsi="Garamond"/>
          <w:sz w:val="24"/>
          <w:szCs w:val="24"/>
        </w:rPr>
        <w:t>gj</w:t>
      </w:r>
      <w:r w:rsidRPr="009232AD">
        <w:rPr>
          <w:rFonts w:ascii="Garamond" w:hAnsi="Garamond"/>
          <w:sz w:val="24"/>
          <w:szCs w:val="24"/>
        </w:rPr>
        <w:t>ykatës për zbatimin e rregull</w:t>
      </w:r>
      <w:r w:rsidR="00CF3F54">
        <w:rPr>
          <w:rFonts w:ascii="Garamond" w:hAnsi="Garamond"/>
          <w:sz w:val="24"/>
          <w:szCs w:val="24"/>
        </w:rPr>
        <w:t>ës</w:t>
      </w:r>
      <w:r w:rsidRPr="009232AD">
        <w:rPr>
          <w:rFonts w:ascii="Garamond" w:hAnsi="Garamond"/>
          <w:sz w:val="24"/>
          <w:szCs w:val="24"/>
        </w:rPr>
        <w:t xml:space="preserve"> </w:t>
      </w:r>
      <w:r w:rsidR="00CF3F54">
        <w:rPr>
          <w:rFonts w:ascii="Garamond" w:hAnsi="Garamond"/>
          <w:sz w:val="24"/>
          <w:szCs w:val="24"/>
        </w:rPr>
        <w:t>s</w:t>
      </w:r>
      <w:r w:rsidRPr="009232AD">
        <w:rPr>
          <w:rFonts w:ascii="Garamond" w:hAnsi="Garamond"/>
          <w:sz w:val="24"/>
          <w:szCs w:val="24"/>
        </w:rPr>
        <w:t>ë shterimit të mjeteve të brendshme</w:t>
      </w:r>
      <w:r w:rsidR="007211C8">
        <w:rPr>
          <w:rFonts w:ascii="Garamond" w:hAnsi="Garamond"/>
          <w:sz w:val="24"/>
          <w:szCs w:val="24"/>
        </w:rPr>
        <w:t>,</w:t>
      </w:r>
      <w:r w:rsidRPr="009232AD">
        <w:rPr>
          <w:rFonts w:ascii="Garamond" w:hAnsi="Garamond"/>
          <w:sz w:val="24"/>
          <w:szCs w:val="24"/>
        </w:rPr>
        <w:t xml:space="preserve"> me një shkallë fleksibiliteti dhe pa formalizëm të tepërt. Kërkuesi parashtroi se ai i kishte kërkuar zyrtarisht oficerit të policisë gjyqësore</w:t>
      </w:r>
      <w:r w:rsidR="007211C8">
        <w:rPr>
          <w:rFonts w:ascii="Garamond" w:hAnsi="Garamond"/>
          <w:sz w:val="24"/>
          <w:szCs w:val="24"/>
        </w:rPr>
        <w:t>,</w:t>
      </w:r>
      <w:r w:rsidRPr="009232AD">
        <w:rPr>
          <w:rFonts w:ascii="Garamond" w:hAnsi="Garamond"/>
          <w:sz w:val="24"/>
          <w:szCs w:val="24"/>
        </w:rPr>
        <w:t xml:space="preserve"> i cili ishte përgjegjës për të hetuar mbi vdekjen e vëllait të tij, të kryente një hetim për sqarimin e rrethanave të vdekjes së vëllait të tij. Kjo përbënte një kërkesë formale për t’i konsideruar akuzat</w:t>
      </w:r>
      <w:r w:rsidR="007211C8">
        <w:rPr>
          <w:rFonts w:ascii="Garamond" w:hAnsi="Garamond"/>
          <w:sz w:val="24"/>
          <w:szCs w:val="24"/>
        </w:rPr>
        <w:t>,</w:t>
      </w:r>
      <w:r w:rsidRPr="009232AD">
        <w:rPr>
          <w:rFonts w:ascii="Garamond" w:hAnsi="Garamond"/>
          <w:sz w:val="24"/>
          <w:szCs w:val="24"/>
        </w:rPr>
        <w:t xml:space="preserve"> në përputhje me </w:t>
      </w:r>
      <w:r w:rsidR="007211C8" w:rsidRPr="009232AD">
        <w:rPr>
          <w:rFonts w:ascii="Garamond" w:hAnsi="Garamond"/>
          <w:sz w:val="24"/>
          <w:szCs w:val="24"/>
        </w:rPr>
        <w:t xml:space="preserve">nenin </w:t>
      </w:r>
      <w:r w:rsidRPr="009232AD">
        <w:rPr>
          <w:rFonts w:ascii="Garamond" w:hAnsi="Garamond"/>
          <w:sz w:val="24"/>
          <w:szCs w:val="24"/>
        </w:rPr>
        <w:t xml:space="preserve">59 të Kodit të Procedurës Penale. Gjithashtu, fakti se vëllai i tij kishte </w:t>
      </w:r>
      <w:r w:rsidRPr="009232AD">
        <w:rPr>
          <w:rFonts w:ascii="Garamond" w:hAnsi="Garamond"/>
          <w:sz w:val="24"/>
          <w:szCs w:val="24"/>
        </w:rPr>
        <w:lastRenderedPageBreak/>
        <w:t xml:space="preserve">vdekur përmbante </w:t>
      </w:r>
      <w:r w:rsidRPr="007211C8">
        <w:rPr>
          <w:rFonts w:ascii="Garamond" w:hAnsi="Garamond"/>
          <w:i/>
          <w:sz w:val="24"/>
          <w:szCs w:val="24"/>
        </w:rPr>
        <w:t>ipso facto</w:t>
      </w:r>
      <w:r w:rsidRPr="009232AD">
        <w:rPr>
          <w:rFonts w:ascii="Garamond" w:hAnsi="Garamond"/>
          <w:sz w:val="24"/>
          <w:szCs w:val="24"/>
        </w:rPr>
        <w:t xml:space="preserve"> një detyrim për autoritetet</w:t>
      </w:r>
      <w:r w:rsidR="007211C8">
        <w:rPr>
          <w:rFonts w:ascii="Garamond" w:hAnsi="Garamond"/>
          <w:sz w:val="24"/>
          <w:szCs w:val="24"/>
        </w:rPr>
        <w:t>,</w:t>
      </w:r>
      <w:r w:rsidRPr="009232AD">
        <w:rPr>
          <w:rFonts w:ascii="Garamond" w:hAnsi="Garamond"/>
          <w:sz w:val="24"/>
          <w:szCs w:val="24"/>
        </w:rPr>
        <w:t xml:space="preserve"> sipas </w:t>
      </w:r>
      <w:r w:rsidR="007211C8" w:rsidRPr="009232AD">
        <w:rPr>
          <w:rFonts w:ascii="Garamond" w:hAnsi="Garamond"/>
          <w:sz w:val="24"/>
          <w:szCs w:val="24"/>
        </w:rPr>
        <w:t xml:space="preserve">nenit </w:t>
      </w:r>
      <w:r w:rsidRPr="009232AD">
        <w:rPr>
          <w:rFonts w:ascii="Garamond" w:hAnsi="Garamond"/>
          <w:sz w:val="24"/>
          <w:szCs w:val="24"/>
        </w:rPr>
        <w:t xml:space="preserve">2 të Konventës për të kryer një hetim efikas.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28. Në lidhje me pjesën e dytë të procedimeve, kërkuesi deklaroi se ai kishte vendosur të mos paraqiste një apelim në Gjykatën e Apelit ose në Gjykatën e Lartë, sepse nuk do të kishte asnjë mundësi për sukses</w:t>
      </w:r>
      <w:r w:rsidR="009779DF">
        <w:rPr>
          <w:rFonts w:ascii="Garamond" w:hAnsi="Garamond"/>
          <w:sz w:val="24"/>
          <w:szCs w:val="24"/>
        </w:rPr>
        <w:t>,</w:t>
      </w:r>
      <w:r w:rsidRPr="009232AD">
        <w:rPr>
          <w:rFonts w:ascii="Garamond" w:hAnsi="Garamond"/>
          <w:sz w:val="24"/>
          <w:szCs w:val="24"/>
        </w:rPr>
        <w:t xml:space="preserve"> duke qenë se gjykata do ta kishte marrë çështjen në konsideratë vetëm pasi ajo do të vinte prej pjesës së parë të procedimeve. </w:t>
      </w:r>
    </w:p>
    <w:p w:rsidR="00DA36D6" w:rsidRPr="009232AD" w:rsidRDefault="00900F23" w:rsidP="00DA36D6">
      <w:pPr>
        <w:spacing w:after="0" w:line="240" w:lineRule="auto"/>
        <w:ind w:firstLine="284"/>
        <w:jc w:val="both"/>
        <w:rPr>
          <w:rFonts w:ascii="Garamond" w:hAnsi="Garamond"/>
          <w:i/>
          <w:sz w:val="24"/>
          <w:szCs w:val="24"/>
        </w:rPr>
      </w:pPr>
      <w:r w:rsidRPr="009232AD">
        <w:rPr>
          <w:rFonts w:ascii="Garamond" w:hAnsi="Garamond"/>
          <w:i/>
          <w:sz w:val="24"/>
          <w:szCs w:val="24"/>
        </w:rPr>
        <w:t xml:space="preserve">3. </w:t>
      </w:r>
      <w:r w:rsidR="00DA36D6" w:rsidRPr="009232AD">
        <w:rPr>
          <w:rFonts w:ascii="Garamond" w:hAnsi="Garamond"/>
          <w:i/>
          <w:sz w:val="24"/>
          <w:szCs w:val="24"/>
        </w:rPr>
        <w:t xml:space="preserve">Vlerësimi i </w:t>
      </w:r>
      <w:r w:rsidR="00CF3F54" w:rsidRPr="009232AD">
        <w:rPr>
          <w:rFonts w:ascii="Garamond" w:hAnsi="Garamond"/>
          <w:i/>
          <w:sz w:val="24"/>
          <w:szCs w:val="24"/>
        </w:rPr>
        <w:t>g</w:t>
      </w:r>
      <w:r w:rsidR="00DA36D6" w:rsidRPr="009232AD">
        <w:rPr>
          <w:rFonts w:ascii="Garamond" w:hAnsi="Garamond"/>
          <w:i/>
          <w:sz w:val="24"/>
          <w:szCs w:val="24"/>
        </w:rPr>
        <w:t>jykatës</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29. Fillimisht, </w:t>
      </w:r>
      <w:r w:rsidR="00CF3F54" w:rsidRPr="009232AD">
        <w:rPr>
          <w:rFonts w:ascii="Garamond" w:hAnsi="Garamond"/>
          <w:sz w:val="24"/>
          <w:szCs w:val="24"/>
        </w:rPr>
        <w:t>g</w:t>
      </w:r>
      <w:r w:rsidRPr="009232AD">
        <w:rPr>
          <w:rFonts w:ascii="Garamond" w:hAnsi="Garamond"/>
          <w:sz w:val="24"/>
          <w:szCs w:val="24"/>
        </w:rPr>
        <w:t xml:space="preserve">jykata do të adresojë kundërshtimin e </w:t>
      </w:r>
      <w:r w:rsidR="009779DF" w:rsidRPr="009232AD">
        <w:rPr>
          <w:rFonts w:ascii="Garamond" w:hAnsi="Garamond"/>
          <w:sz w:val="24"/>
          <w:szCs w:val="24"/>
        </w:rPr>
        <w:t>qeverisë</w:t>
      </w:r>
      <w:r w:rsidR="009779DF">
        <w:rPr>
          <w:rFonts w:ascii="Garamond" w:hAnsi="Garamond"/>
          <w:sz w:val="24"/>
          <w:szCs w:val="24"/>
        </w:rPr>
        <w:t>,</w:t>
      </w:r>
      <w:r w:rsidR="009779DF" w:rsidRPr="009232AD">
        <w:rPr>
          <w:rFonts w:ascii="Garamond" w:hAnsi="Garamond"/>
          <w:sz w:val="24"/>
          <w:szCs w:val="24"/>
        </w:rPr>
        <w:t xml:space="preserve"> </w:t>
      </w:r>
      <w:r w:rsidRPr="009232AD">
        <w:rPr>
          <w:rFonts w:ascii="Garamond" w:hAnsi="Garamond"/>
          <w:sz w:val="24"/>
          <w:szCs w:val="24"/>
        </w:rPr>
        <w:t xml:space="preserve">se kërkesa u dorëzua pasi kishte kaluar afati kohor prej gjashtë muajsh. Tashmë, </w:t>
      </w:r>
      <w:r w:rsidR="00CF3F54" w:rsidRPr="009232AD">
        <w:rPr>
          <w:rFonts w:ascii="Garamond" w:hAnsi="Garamond"/>
          <w:sz w:val="24"/>
          <w:szCs w:val="24"/>
        </w:rPr>
        <w:t>g</w:t>
      </w:r>
      <w:r w:rsidRPr="009232AD">
        <w:rPr>
          <w:rFonts w:ascii="Garamond" w:hAnsi="Garamond"/>
          <w:sz w:val="24"/>
          <w:szCs w:val="24"/>
        </w:rPr>
        <w:t>jykata</w:t>
      </w:r>
      <w:r w:rsidR="009779DF">
        <w:rPr>
          <w:rFonts w:ascii="Garamond" w:hAnsi="Garamond"/>
          <w:sz w:val="24"/>
          <w:szCs w:val="24"/>
        </w:rPr>
        <w:t>,</w:t>
      </w:r>
      <w:r w:rsidRPr="009232AD">
        <w:rPr>
          <w:rFonts w:ascii="Garamond" w:hAnsi="Garamond"/>
          <w:sz w:val="24"/>
          <w:szCs w:val="24"/>
        </w:rPr>
        <w:t xml:space="preserve"> e mendimit se në rastet në lidhje me hetimin për keqtrajtim, ashtu si në ato në lidhje me një hetim për vdekjen e dyshimtë të një të afërmi, kërkuesit priten të ndërmarrin hapa për të ndjekur progresin e hetimit ose mungesën e tij, si edhe të paraqesin kërkesat e tyre në mënyrë të rregullt, sapo ata bëhen me dije ose duhet të ishin bërë me dije, për mungesën e një hetimi penal efikas (shih </w:t>
      </w:r>
      <w:r w:rsidRPr="009779DF">
        <w:rPr>
          <w:rFonts w:ascii="Garamond" w:hAnsi="Garamond"/>
          <w:i/>
          <w:sz w:val="24"/>
          <w:szCs w:val="24"/>
        </w:rPr>
        <w:t xml:space="preserve">Mocanu dhe të Tjerët kundër Rumanisë </w:t>
      </w:r>
      <w:r w:rsidRPr="009232AD">
        <w:rPr>
          <w:rFonts w:ascii="Garamond" w:hAnsi="Garamond"/>
          <w:sz w:val="24"/>
          <w:szCs w:val="24"/>
        </w:rPr>
        <w:t xml:space="preserve">[DHM], nr. 10865/09 dhe 2 të tjerë, § 263 GJEDNJ 2014 (ekstrakte).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30. Në çështjen në fjalë, </w:t>
      </w:r>
      <w:r w:rsidR="00CF3F54" w:rsidRPr="009232AD">
        <w:rPr>
          <w:rFonts w:ascii="Garamond" w:hAnsi="Garamond"/>
          <w:sz w:val="24"/>
          <w:szCs w:val="24"/>
        </w:rPr>
        <w:t>g</w:t>
      </w:r>
      <w:r w:rsidRPr="009232AD">
        <w:rPr>
          <w:rFonts w:ascii="Garamond" w:hAnsi="Garamond"/>
          <w:sz w:val="24"/>
          <w:szCs w:val="24"/>
        </w:rPr>
        <w:t xml:space="preserve">jykata vëren se kërkuesi e kundërshtoi vendimin e prokurorit për mosfillim të një hetimi penal formal për vdekjen e vëllait të tij deri në Gjykatën Kushtetuese, duke luajtur në këtë mënyrë një rol aktiv në proces. Një kërkesë në Gjykatën Kushtetuese për shkeljet e pretenduara për një gjykim të drejtë është një mjet i cili normalisht duhet të shterohet (shih </w:t>
      </w:r>
      <w:r w:rsidRPr="00195B87">
        <w:rPr>
          <w:rFonts w:ascii="Garamond" w:hAnsi="Garamond"/>
          <w:i/>
          <w:sz w:val="24"/>
          <w:szCs w:val="24"/>
        </w:rPr>
        <w:t>Xheraj kundër Shqipërisë</w:t>
      </w:r>
      <w:r w:rsidRPr="009232AD">
        <w:rPr>
          <w:rFonts w:ascii="Garamond" w:hAnsi="Garamond"/>
          <w:sz w:val="24"/>
          <w:szCs w:val="24"/>
        </w:rPr>
        <w:t xml:space="preserve">, nr. 37959/02, § 43, 29 </w:t>
      </w:r>
      <w:r w:rsidR="00195B87" w:rsidRPr="009232AD">
        <w:rPr>
          <w:rFonts w:ascii="Garamond" w:hAnsi="Garamond"/>
          <w:sz w:val="24"/>
          <w:szCs w:val="24"/>
        </w:rPr>
        <w:t xml:space="preserve">korrik </w:t>
      </w:r>
      <w:r w:rsidRPr="009232AD">
        <w:rPr>
          <w:rFonts w:ascii="Garamond" w:hAnsi="Garamond"/>
          <w:sz w:val="24"/>
          <w:szCs w:val="24"/>
        </w:rPr>
        <w:t xml:space="preserve">2008; </w:t>
      </w:r>
      <w:r w:rsidRPr="004921EA">
        <w:rPr>
          <w:rFonts w:ascii="Garamond" w:hAnsi="Garamond"/>
          <w:i/>
          <w:sz w:val="24"/>
          <w:szCs w:val="24"/>
        </w:rPr>
        <w:t>Beshiri dhe të Tjerët kundër Shqipërisë</w:t>
      </w:r>
      <w:r w:rsidRPr="009232AD">
        <w:rPr>
          <w:rFonts w:ascii="Garamond" w:hAnsi="Garamond"/>
          <w:sz w:val="24"/>
          <w:szCs w:val="24"/>
        </w:rPr>
        <w:t xml:space="preserve">, nr. 7352/03, § 32, 22 </w:t>
      </w:r>
      <w:r w:rsidR="00856A0B" w:rsidRPr="009232AD">
        <w:rPr>
          <w:rFonts w:ascii="Garamond" w:hAnsi="Garamond"/>
          <w:sz w:val="24"/>
          <w:szCs w:val="24"/>
        </w:rPr>
        <w:t xml:space="preserve">gusht </w:t>
      </w:r>
      <w:r w:rsidRPr="009232AD">
        <w:rPr>
          <w:rFonts w:ascii="Garamond" w:hAnsi="Garamond"/>
          <w:sz w:val="24"/>
          <w:szCs w:val="24"/>
        </w:rPr>
        <w:t xml:space="preserve">2006 dhe </w:t>
      </w:r>
      <w:r w:rsidRPr="004921EA">
        <w:rPr>
          <w:rFonts w:ascii="Garamond" w:hAnsi="Garamond"/>
          <w:i/>
          <w:sz w:val="24"/>
          <w:szCs w:val="24"/>
        </w:rPr>
        <w:t>Balliu kundër Shqipërisë</w:t>
      </w:r>
      <w:r w:rsidRPr="009232AD">
        <w:rPr>
          <w:rFonts w:ascii="Garamond" w:hAnsi="Garamond"/>
          <w:sz w:val="24"/>
          <w:szCs w:val="24"/>
        </w:rPr>
        <w:t xml:space="preserve"> (vendim), nr. 74727/01, 16 </w:t>
      </w:r>
      <w:r w:rsidR="00856A0B" w:rsidRPr="009232AD">
        <w:rPr>
          <w:rFonts w:ascii="Garamond" w:hAnsi="Garamond"/>
          <w:sz w:val="24"/>
          <w:szCs w:val="24"/>
        </w:rPr>
        <w:t xml:space="preserve">qershor </w:t>
      </w:r>
      <w:r w:rsidRPr="009232AD">
        <w:rPr>
          <w:rFonts w:ascii="Garamond" w:hAnsi="Garamond"/>
          <w:sz w:val="24"/>
          <w:szCs w:val="24"/>
        </w:rPr>
        <w:t>2005). Kërkesa, mbështetur në garancitë kushtetuese vend</w:t>
      </w:r>
      <w:r w:rsidR="004921EA">
        <w:rPr>
          <w:rFonts w:ascii="Garamond" w:hAnsi="Garamond"/>
          <w:sz w:val="24"/>
          <w:szCs w:val="24"/>
        </w:rPr>
        <w:t>ë</w:t>
      </w:r>
      <w:r w:rsidRPr="009232AD">
        <w:rPr>
          <w:rFonts w:ascii="Garamond" w:hAnsi="Garamond"/>
          <w:sz w:val="24"/>
          <w:szCs w:val="24"/>
        </w:rPr>
        <w:t xml:space="preserve">se për një proces të rregullt dhe aksesin në gjykatë, u vlerësua e pranueshme dhe u shqyrtua nga Gjykata Kushtetuese për cilësitë e saj.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31. Kërkuesi paraqiti kërkesën në </w:t>
      </w:r>
      <w:r w:rsidR="00CF3F54" w:rsidRPr="009232AD">
        <w:rPr>
          <w:rFonts w:ascii="Garamond" w:hAnsi="Garamond"/>
          <w:sz w:val="24"/>
          <w:szCs w:val="24"/>
        </w:rPr>
        <w:t>g</w:t>
      </w:r>
      <w:r w:rsidRPr="009232AD">
        <w:rPr>
          <w:rFonts w:ascii="Garamond" w:hAnsi="Garamond"/>
          <w:sz w:val="24"/>
          <w:szCs w:val="24"/>
        </w:rPr>
        <w:t xml:space="preserve">jykatë më 16 </w:t>
      </w:r>
      <w:r w:rsidR="00316A74" w:rsidRPr="009232AD">
        <w:rPr>
          <w:rFonts w:ascii="Garamond" w:hAnsi="Garamond"/>
          <w:sz w:val="24"/>
          <w:szCs w:val="24"/>
        </w:rPr>
        <w:t xml:space="preserve">maj </w:t>
      </w:r>
      <w:r w:rsidRPr="009232AD">
        <w:rPr>
          <w:rFonts w:ascii="Garamond" w:hAnsi="Garamond"/>
          <w:sz w:val="24"/>
          <w:szCs w:val="24"/>
        </w:rPr>
        <w:t xml:space="preserve">2016, kohë e cila është 5 muaj dhe 29 ditë pas vendimit të Gjykatës Kushtetuese. Për këtë arsye, </w:t>
      </w:r>
      <w:r w:rsidR="00CF3F54" w:rsidRPr="009232AD">
        <w:rPr>
          <w:rFonts w:ascii="Garamond" w:hAnsi="Garamond"/>
          <w:sz w:val="24"/>
          <w:szCs w:val="24"/>
        </w:rPr>
        <w:t>gj</w:t>
      </w:r>
      <w:r w:rsidRPr="009232AD">
        <w:rPr>
          <w:rFonts w:ascii="Garamond" w:hAnsi="Garamond"/>
          <w:sz w:val="24"/>
          <w:szCs w:val="24"/>
        </w:rPr>
        <w:t xml:space="preserve">ykata rrëzon kundërshtimin e </w:t>
      </w:r>
      <w:r w:rsidR="000E4AA2" w:rsidRPr="009232AD">
        <w:rPr>
          <w:rFonts w:ascii="Garamond" w:hAnsi="Garamond"/>
          <w:sz w:val="24"/>
          <w:szCs w:val="24"/>
        </w:rPr>
        <w:t>qeverisë</w:t>
      </w:r>
      <w:r w:rsidR="000E4AA2">
        <w:rPr>
          <w:rFonts w:ascii="Garamond" w:hAnsi="Garamond"/>
          <w:sz w:val="24"/>
          <w:szCs w:val="24"/>
        </w:rPr>
        <w:t>,</w:t>
      </w:r>
      <w:r w:rsidR="000E4AA2" w:rsidRPr="009232AD">
        <w:rPr>
          <w:rFonts w:ascii="Garamond" w:hAnsi="Garamond"/>
          <w:sz w:val="24"/>
          <w:szCs w:val="24"/>
        </w:rPr>
        <w:t xml:space="preserve"> </w:t>
      </w:r>
      <w:r w:rsidRPr="009232AD">
        <w:rPr>
          <w:rFonts w:ascii="Garamond" w:hAnsi="Garamond"/>
          <w:sz w:val="24"/>
          <w:szCs w:val="24"/>
        </w:rPr>
        <w:t xml:space="preserve">se ankesa u paraqit përtej afatit.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32. Në lidhje me kundërshtimin e dytë, në lidhje me shterimin e mjeteve të brendshme, </w:t>
      </w:r>
      <w:r w:rsidR="00CF3F54" w:rsidRPr="009232AD">
        <w:rPr>
          <w:rFonts w:ascii="Garamond" w:hAnsi="Garamond"/>
          <w:sz w:val="24"/>
          <w:szCs w:val="24"/>
        </w:rPr>
        <w:t>g</w:t>
      </w:r>
      <w:r w:rsidRPr="009232AD">
        <w:rPr>
          <w:rFonts w:ascii="Garamond" w:hAnsi="Garamond"/>
          <w:sz w:val="24"/>
          <w:szCs w:val="24"/>
        </w:rPr>
        <w:t xml:space="preserve">jykata vëren se kërkuesi i kërkoi oficerit të policisë gjyqësore, </w:t>
      </w:r>
      <w:r w:rsidR="000E4AA2">
        <w:rPr>
          <w:rFonts w:ascii="Garamond" w:hAnsi="Garamond"/>
          <w:sz w:val="24"/>
          <w:szCs w:val="24"/>
        </w:rPr>
        <w:t>të</w:t>
      </w:r>
      <w:r w:rsidRPr="009232AD">
        <w:rPr>
          <w:rFonts w:ascii="Garamond" w:hAnsi="Garamond"/>
          <w:sz w:val="24"/>
          <w:szCs w:val="24"/>
        </w:rPr>
        <w:t xml:space="preserve"> ngarkuar për çështjen e vëllait të tij</w:t>
      </w:r>
      <w:r w:rsidR="000E4AA2">
        <w:rPr>
          <w:rFonts w:ascii="Garamond" w:hAnsi="Garamond"/>
          <w:sz w:val="24"/>
          <w:szCs w:val="24"/>
        </w:rPr>
        <w:t>,</w:t>
      </w:r>
      <w:r w:rsidRPr="009232AD">
        <w:rPr>
          <w:rFonts w:ascii="Garamond" w:hAnsi="Garamond"/>
          <w:sz w:val="24"/>
          <w:szCs w:val="24"/>
        </w:rPr>
        <w:t xml:space="preserve"> të hetonte rrethanat e vdekjes së këtij të fundit (shih paragrafin 11 më sipër). Gjithashtu, ai kundërshtoi vendimin e prokurorit të Tiranës për mosfillim të procedimit penal deri në nivel të Gjykatës Kushtetuese (shih paragrafët 18</w:t>
      </w:r>
      <w:r w:rsidR="000E4AA2">
        <w:rPr>
          <w:rFonts w:ascii="Garamond" w:hAnsi="Garamond"/>
          <w:sz w:val="24"/>
          <w:szCs w:val="24"/>
        </w:rPr>
        <w:t>–</w:t>
      </w:r>
      <w:r w:rsidRPr="009232AD">
        <w:rPr>
          <w:rFonts w:ascii="Garamond" w:hAnsi="Garamond"/>
          <w:sz w:val="24"/>
          <w:szCs w:val="24"/>
        </w:rPr>
        <w:t xml:space="preserve">20).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33. Pyetja</w:t>
      </w:r>
      <w:r w:rsidR="000E4AA2">
        <w:rPr>
          <w:rFonts w:ascii="Garamond" w:hAnsi="Garamond"/>
          <w:sz w:val="24"/>
          <w:szCs w:val="24"/>
        </w:rPr>
        <w:t>,</w:t>
      </w:r>
      <w:r w:rsidRPr="009232AD">
        <w:rPr>
          <w:rFonts w:ascii="Garamond" w:hAnsi="Garamond"/>
          <w:sz w:val="24"/>
          <w:szCs w:val="24"/>
        </w:rPr>
        <w:t xml:space="preserve"> nëse kërkuesit i duhej t’i ishte kërkuar të sillte një ankesë penale të veçantë në lidhje me rrethanat e vdekjes së vëllait të tij, lidhet ngushtë me cilësitë e ankesave të tij për </w:t>
      </w:r>
      <w:r w:rsidR="000E4AA2" w:rsidRPr="009232AD">
        <w:rPr>
          <w:rFonts w:ascii="Garamond" w:hAnsi="Garamond"/>
          <w:sz w:val="24"/>
          <w:szCs w:val="24"/>
        </w:rPr>
        <w:t xml:space="preserve">nenin </w:t>
      </w:r>
      <w:r w:rsidRPr="009232AD">
        <w:rPr>
          <w:rFonts w:ascii="Garamond" w:hAnsi="Garamond"/>
          <w:sz w:val="24"/>
          <w:szCs w:val="24"/>
        </w:rPr>
        <w:t xml:space="preserve">2 dhe </w:t>
      </w:r>
      <w:r w:rsidR="000E4AA2" w:rsidRPr="009232AD">
        <w:rPr>
          <w:rFonts w:ascii="Garamond" w:hAnsi="Garamond"/>
          <w:sz w:val="24"/>
          <w:szCs w:val="24"/>
        </w:rPr>
        <w:t xml:space="preserve">nenin </w:t>
      </w:r>
      <w:r w:rsidRPr="009232AD">
        <w:rPr>
          <w:rFonts w:ascii="Garamond" w:hAnsi="Garamond"/>
          <w:sz w:val="24"/>
          <w:szCs w:val="24"/>
        </w:rPr>
        <w:t xml:space="preserve">3. Në këtë rrethanë, </w:t>
      </w:r>
      <w:r w:rsidR="00CF3F54" w:rsidRPr="009232AD">
        <w:rPr>
          <w:rFonts w:ascii="Garamond" w:hAnsi="Garamond"/>
          <w:sz w:val="24"/>
          <w:szCs w:val="24"/>
        </w:rPr>
        <w:t>g</w:t>
      </w:r>
      <w:r w:rsidRPr="009232AD">
        <w:rPr>
          <w:rFonts w:ascii="Garamond" w:hAnsi="Garamond"/>
          <w:sz w:val="24"/>
          <w:szCs w:val="24"/>
        </w:rPr>
        <w:t>jykata është e mendimit se ky kundërshtim duhet të shqyrtohet së bashku me cilësitë e asaj ankese (shih paragrafët 44</w:t>
      </w:r>
      <w:r w:rsidR="000E4AA2">
        <w:rPr>
          <w:rFonts w:ascii="Garamond" w:hAnsi="Garamond"/>
          <w:sz w:val="24"/>
          <w:szCs w:val="24"/>
        </w:rPr>
        <w:t>–</w:t>
      </w:r>
      <w:r w:rsidRPr="009232AD">
        <w:rPr>
          <w:rFonts w:ascii="Garamond" w:hAnsi="Garamond"/>
          <w:sz w:val="24"/>
          <w:szCs w:val="24"/>
        </w:rPr>
        <w:t xml:space="preserve">45 më poshtë).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II. </w:t>
      </w:r>
      <w:r w:rsidR="00DA36D6" w:rsidRPr="009232AD">
        <w:rPr>
          <w:rFonts w:ascii="Garamond" w:hAnsi="Garamond"/>
          <w:sz w:val="24"/>
          <w:szCs w:val="24"/>
        </w:rPr>
        <w:t>SHKELJE E PRETENDUAR E NENIT 2 TË KONVENTËS</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34. Kërkuesi u ankua se autoritetet nuk kishin realizuar një hetim efikas për vdekjen e vëllait të tij, sipas parashikimit të </w:t>
      </w:r>
      <w:r w:rsidR="00A951AD" w:rsidRPr="009232AD">
        <w:rPr>
          <w:rFonts w:ascii="Garamond" w:hAnsi="Garamond"/>
          <w:sz w:val="24"/>
          <w:szCs w:val="24"/>
        </w:rPr>
        <w:t xml:space="preserve">nenit </w:t>
      </w:r>
      <w:r w:rsidRPr="009232AD">
        <w:rPr>
          <w:rFonts w:ascii="Garamond" w:hAnsi="Garamond"/>
          <w:sz w:val="24"/>
          <w:szCs w:val="24"/>
        </w:rPr>
        <w:t xml:space="preserve">2 të Konventës, e cila parashikon si më poshtë: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 </w:t>
      </w:r>
      <w:r w:rsidR="00DA36D6" w:rsidRPr="009232AD">
        <w:rPr>
          <w:rFonts w:ascii="Garamond" w:hAnsi="Garamond"/>
          <w:sz w:val="24"/>
          <w:szCs w:val="24"/>
        </w:rPr>
        <w:t xml:space="preserve">“1. E drejta e çdo njeriu për jetën mbrohet me ligj. Askujt nuk mund t’i merret jeta qëllimisht, me përjashtim të rastit kur zbatohet një vendim gjyqësor me vdekje, pas dënimit për një krim për të cilin ky dënim është parashikuar me ligj.” </w:t>
      </w:r>
    </w:p>
    <w:p w:rsidR="00DA36D6" w:rsidRPr="009232AD" w:rsidRDefault="00DA36D6" w:rsidP="00DA36D6">
      <w:pPr>
        <w:spacing w:after="0" w:line="240" w:lineRule="auto"/>
        <w:ind w:firstLine="284"/>
        <w:jc w:val="both"/>
        <w:rPr>
          <w:rFonts w:ascii="Garamond" w:hAnsi="Garamond"/>
          <w:b/>
          <w:sz w:val="24"/>
          <w:szCs w:val="24"/>
        </w:rPr>
      </w:pPr>
      <w:r w:rsidRPr="009232AD">
        <w:rPr>
          <w:rFonts w:ascii="Garamond" w:hAnsi="Garamond"/>
          <w:b/>
          <w:sz w:val="24"/>
          <w:szCs w:val="24"/>
        </w:rPr>
        <w:t>Nëse autoritet kryen një hetim efikas</w:t>
      </w:r>
    </w:p>
    <w:p w:rsidR="00DA36D6" w:rsidRPr="009232AD" w:rsidRDefault="00900F23" w:rsidP="00DA36D6">
      <w:pPr>
        <w:spacing w:after="0" w:line="240" w:lineRule="auto"/>
        <w:ind w:firstLine="284"/>
        <w:jc w:val="both"/>
        <w:rPr>
          <w:rFonts w:ascii="Garamond" w:hAnsi="Garamond"/>
          <w:i/>
          <w:sz w:val="24"/>
          <w:szCs w:val="24"/>
        </w:rPr>
      </w:pPr>
      <w:r w:rsidRPr="009232AD">
        <w:rPr>
          <w:rFonts w:ascii="Garamond" w:hAnsi="Garamond"/>
          <w:i/>
          <w:sz w:val="24"/>
          <w:szCs w:val="24"/>
        </w:rPr>
        <w:t xml:space="preserve">1. </w:t>
      </w:r>
      <w:r w:rsidR="00DA36D6" w:rsidRPr="009232AD">
        <w:rPr>
          <w:rFonts w:ascii="Garamond" w:hAnsi="Garamond"/>
          <w:i/>
          <w:sz w:val="24"/>
          <w:szCs w:val="24"/>
        </w:rPr>
        <w:t>Parashtrimet e palëve</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35. Kërkuesi parashtroi se hetimi i kryer nga autoritetet nuk ofronte informacione të kënaqshme për rrethanat në lidhje me vdekjen e vëllait të tij. Ai nuk përjashtonte, përtej çdo dyshimi të arsyeshëm, se dëmtimi shëndetësor i përshkruar në raportin mjekësor nuk ishte shkaktuar për arsye të keqtrajtimit të vëllait të tij dhe/ose mungesës së ndihmës së duhur mjekësore. Ekspertët mjekoligjorë, të cilët kishin kryer ekzaminimin mjekësor nuk kishin adresuar pyetjen e oficerit të policë gjyqësore</w:t>
      </w:r>
      <w:r w:rsidR="00A951AD">
        <w:rPr>
          <w:rFonts w:ascii="Garamond" w:hAnsi="Garamond"/>
          <w:sz w:val="24"/>
          <w:szCs w:val="24"/>
        </w:rPr>
        <w:t>,</w:t>
      </w:r>
      <w:r w:rsidRPr="009232AD">
        <w:rPr>
          <w:rFonts w:ascii="Garamond" w:hAnsi="Garamond"/>
          <w:sz w:val="24"/>
          <w:szCs w:val="24"/>
        </w:rPr>
        <w:t xml:space="preserve"> për faktin nëse trajtimi mjekësor i vëllait të kërkuesit kishte qenë i papërshtatshëm. </w:t>
      </w:r>
      <w:r w:rsidRPr="009232AD">
        <w:rPr>
          <w:rFonts w:ascii="Garamond" w:hAnsi="Garamond"/>
          <w:sz w:val="24"/>
          <w:szCs w:val="24"/>
        </w:rPr>
        <w:lastRenderedPageBreak/>
        <w:t xml:space="preserve">Përkundrazi, ata kishin gjykuar se kjo gjë mbetej të verifikohej nga një tjetër komision. Gjithashtu, veprimet hetimore të kryera nuk ofronin një shpjegim bindës për mungesën e ndonjë gjurme mjekimi në gjakun e kërkuesit dhe se kjo nuk i atribuohej trajtimit të papërshtatshëm.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36. </w:t>
      </w:r>
      <w:r w:rsidR="00A951AD" w:rsidRPr="009232AD">
        <w:rPr>
          <w:rFonts w:ascii="Garamond" w:hAnsi="Garamond"/>
          <w:sz w:val="24"/>
          <w:szCs w:val="24"/>
        </w:rPr>
        <w:t xml:space="preserve">Për </w:t>
      </w:r>
      <w:r w:rsidRPr="009232AD">
        <w:rPr>
          <w:rFonts w:ascii="Garamond" w:hAnsi="Garamond"/>
          <w:sz w:val="24"/>
          <w:szCs w:val="24"/>
        </w:rPr>
        <w:t xml:space="preserve">më tepër, kërkuesi iu referua parimeve që vinin prej praktikës gjyqësore të </w:t>
      </w:r>
      <w:r w:rsidR="00CF3F54" w:rsidRPr="009232AD">
        <w:rPr>
          <w:rFonts w:ascii="Garamond" w:hAnsi="Garamond"/>
          <w:sz w:val="24"/>
          <w:szCs w:val="24"/>
        </w:rPr>
        <w:t>g</w:t>
      </w:r>
      <w:r w:rsidRPr="009232AD">
        <w:rPr>
          <w:rFonts w:ascii="Garamond" w:hAnsi="Garamond"/>
          <w:sz w:val="24"/>
          <w:szCs w:val="24"/>
        </w:rPr>
        <w:t xml:space="preserve">jykatës në lidhje me mbrojtjen e parashikuar në </w:t>
      </w:r>
      <w:r w:rsidR="00A951AD" w:rsidRPr="009232AD">
        <w:rPr>
          <w:rFonts w:ascii="Garamond" w:hAnsi="Garamond"/>
          <w:sz w:val="24"/>
          <w:szCs w:val="24"/>
        </w:rPr>
        <w:t xml:space="preserve">nenin </w:t>
      </w:r>
      <w:r w:rsidRPr="009232AD">
        <w:rPr>
          <w:rFonts w:ascii="Garamond" w:hAnsi="Garamond"/>
          <w:sz w:val="24"/>
          <w:szCs w:val="24"/>
        </w:rPr>
        <w:t>2 të Konventës</w:t>
      </w:r>
      <w:r w:rsidR="00A951AD">
        <w:rPr>
          <w:rFonts w:ascii="Garamond" w:hAnsi="Garamond"/>
          <w:sz w:val="24"/>
          <w:szCs w:val="24"/>
        </w:rPr>
        <w:t>,</w:t>
      </w:r>
      <w:r w:rsidRPr="009232AD">
        <w:rPr>
          <w:rFonts w:ascii="Garamond" w:hAnsi="Garamond"/>
          <w:sz w:val="24"/>
          <w:szCs w:val="24"/>
        </w:rPr>
        <w:t xml:space="preserve"> për personat e ndaluar dhe në një pozicion të cenueshëm. Sipas kërkuesit, duke pasur parasysh rrethanat e veçanta të kësaj çështje, një ekzaminim mjekoligjor i detajuar ishte thelbësor për të përcaktuar shkakun e vdekjes dhe për të verifikuar nëse kishte pasur shenja keqtrajtimi.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37. Qeveria parashtroi se autoritetet kishin kryer një hetim efikas për vdekjen e </w:t>
      </w:r>
      <w:r w:rsidR="004F0976">
        <w:rPr>
          <w:rFonts w:ascii="Garamond" w:hAnsi="Garamond"/>
          <w:sz w:val="24"/>
          <w:szCs w:val="24"/>
        </w:rPr>
        <w:t>SH.P.</w:t>
      </w:r>
      <w:r w:rsidRPr="009232AD">
        <w:rPr>
          <w:rFonts w:ascii="Garamond" w:hAnsi="Garamond"/>
          <w:sz w:val="24"/>
          <w:szCs w:val="24"/>
        </w:rPr>
        <w:t xml:space="preserve"> Prokurori kishte urdhëruar kryerjen e një sërë veprimesh hetimore (shih paragrafin 14 më sipër). Veçanërisht, </w:t>
      </w:r>
      <w:r w:rsidR="00B23DBB" w:rsidRPr="009232AD">
        <w:rPr>
          <w:rFonts w:ascii="Garamond" w:hAnsi="Garamond"/>
          <w:sz w:val="24"/>
          <w:szCs w:val="24"/>
        </w:rPr>
        <w:t xml:space="preserve">qeveria </w:t>
      </w:r>
      <w:r w:rsidRPr="009232AD">
        <w:rPr>
          <w:rFonts w:ascii="Garamond" w:hAnsi="Garamond"/>
          <w:sz w:val="24"/>
          <w:szCs w:val="24"/>
        </w:rPr>
        <w:t xml:space="preserve">i tërhoqi vëmendjen </w:t>
      </w:r>
      <w:r w:rsidR="00CF3F54" w:rsidRPr="009232AD">
        <w:rPr>
          <w:rFonts w:ascii="Garamond" w:hAnsi="Garamond"/>
          <w:sz w:val="24"/>
          <w:szCs w:val="24"/>
        </w:rPr>
        <w:t>g</w:t>
      </w:r>
      <w:r w:rsidRPr="009232AD">
        <w:rPr>
          <w:rFonts w:ascii="Garamond" w:hAnsi="Garamond"/>
          <w:sz w:val="24"/>
          <w:szCs w:val="24"/>
        </w:rPr>
        <w:t xml:space="preserve">jykatës në përfundimet e raportit mjekoligjor, i cili konstatoi se vdekja e </w:t>
      </w:r>
      <w:r w:rsidR="004F0976">
        <w:rPr>
          <w:rFonts w:ascii="Garamond" w:hAnsi="Garamond"/>
          <w:sz w:val="24"/>
          <w:szCs w:val="24"/>
        </w:rPr>
        <w:t>SH.P.</w:t>
      </w:r>
      <w:r w:rsidRPr="009232AD">
        <w:rPr>
          <w:rFonts w:ascii="Garamond" w:hAnsi="Garamond"/>
          <w:sz w:val="24"/>
          <w:szCs w:val="24"/>
        </w:rPr>
        <w:t xml:space="preserve"> ishte shkaktuar nga një pamjaftueshmëri respiratore dhe kardiake</w:t>
      </w:r>
      <w:r w:rsidR="00B23DBB">
        <w:rPr>
          <w:rFonts w:ascii="Garamond" w:hAnsi="Garamond"/>
          <w:sz w:val="24"/>
          <w:szCs w:val="24"/>
        </w:rPr>
        <w:t>,</w:t>
      </w:r>
      <w:r w:rsidRPr="009232AD">
        <w:rPr>
          <w:rFonts w:ascii="Garamond" w:hAnsi="Garamond"/>
          <w:sz w:val="24"/>
          <w:szCs w:val="24"/>
        </w:rPr>
        <w:t xml:space="preserve"> si rezultat i historisë së tij mjekësore.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38. Në vijim, </w:t>
      </w:r>
      <w:r w:rsidR="00B23DBB" w:rsidRPr="009232AD">
        <w:rPr>
          <w:rFonts w:ascii="Garamond" w:hAnsi="Garamond"/>
          <w:sz w:val="24"/>
          <w:szCs w:val="24"/>
        </w:rPr>
        <w:t xml:space="preserve">qeveria </w:t>
      </w:r>
      <w:r w:rsidRPr="009232AD">
        <w:rPr>
          <w:rFonts w:ascii="Garamond" w:hAnsi="Garamond"/>
          <w:sz w:val="24"/>
          <w:szCs w:val="24"/>
        </w:rPr>
        <w:t xml:space="preserve">parashtroi se stafi mjekoligjor e kishte mbajtur </w:t>
      </w:r>
      <w:r w:rsidR="00B23DBB" w:rsidRPr="009232AD">
        <w:rPr>
          <w:rFonts w:ascii="Garamond" w:hAnsi="Garamond"/>
          <w:sz w:val="24"/>
          <w:szCs w:val="24"/>
        </w:rPr>
        <w:t>SH</w:t>
      </w:r>
      <w:r w:rsidRPr="009232AD">
        <w:rPr>
          <w:rFonts w:ascii="Garamond" w:hAnsi="Garamond"/>
          <w:sz w:val="24"/>
          <w:szCs w:val="24"/>
        </w:rPr>
        <w:t>.P. në mbikëqyrje të vazhdueshme. Kjo provohej nga kartelat mjekësore të konfiskuara gjatë veprimeve hetimore. Për këtë arsye, autoritetet vend</w:t>
      </w:r>
      <w:r w:rsidR="00B23DBB">
        <w:rPr>
          <w:rFonts w:ascii="Garamond" w:hAnsi="Garamond"/>
          <w:sz w:val="24"/>
          <w:szCs w:val="24"/>
        </w:rPr>
        <w:t>ë</w:t>
      </w:r>
      <w:r w:rsidRPr="009232AD">
        <w:rPr>
          <w:rFonts w:ascii="Garamond" w:hAnsi="Garamond"/>
          <w:sz w:val="24"/>
          <w:szCs w:val="24"/>
        </w:rPr>
        <w:t xml:space="preserve">se kishin marrë të gjitha masat e nevojshme për të ruajtur jetën e </w:t>
      </w:r>
      <w:r w:rsidR="004F0976">
        <w:rPr>
          <w:rFonts w:ascii="Garamond" w:hAnsi="Garamond"/>
          <w:sz w:val="24"/>
          <w:szCs w:val="24"/>
        </w:rPr>
        <w:t>SH.P.</w:t>
      </w:r>
      <w:r w:rsidRPr="009232AD">
        <w:rPr>
          <w:rFonts w:ascii="Garamond" w:hAnsi="Garamond"/>
          <w:sz w:val="24"/>
          <w:szCs w:val="24"/>
        </w:rPr>
        <w:t xml:space="preserve"> Vdekja e tij kishte ardhur si pasojë e rrethanave përtej kontrollit të autoriteteve. </w:t>
      </w:r>
    </w:p>
    <w:p w:rsidR="00DA36D6" w:rsidRPr="009232AD" w:rsidRDefault="00900F23" w:rsidP="00DA36D6">
      <w:pPr>
        <w:spacing w:after="0" w:line="240" w:lineRule="auto"/>
        <w:ind w:firstLine="284"/>
        <w:jc w:val="both"/>
        <w:rPr>
          <w:rFonts w:ascii="Garamond" w:hAnsi="Garamond"/>
          <w:i/>
          <w:sz w:val="24"/>
          <w:szCs w:val="24"/>
        </w:rPr>
      </w:pPr>
      <w:r w:rsidRPr="009232AD">
        <w:rPr>
          <w:rFonts w:ascii="Garamond" w:hAnsi="Garamond"/>
          <w:i/>
          <w:sz w:val="24"/>
          <w:szCs w:val="24"/>
        </w:rPr>
        <w:t xml:space="preserve">2. </w:t>
      </w:r>
      <w:r w:rsidR="00DA36D6" w:rsidRPr="009232AD">
        <w:rPr>
          <w:rFonts w:ascii="Garamond" w:hAnsi="Garamond"/>
          <w:i/>
          <w:sz w:val="24"/>
          <w:szCs w:val="24"/>
        </w:rPr>
        <w:t xml:space="preserve">Vlerësimi i </w:t>
      </w:r>
      <w:r w:rsidR="00CF3F54" w:rsidRPr="009232AD">
        <w:rPr>
          <w:rFonts w:ascii="Garamond" w:hAnsi="Garamond"/>
          <w:i/>
          <w:sz w:val="24"/>
          <w:szCs w:val="24"/>
        </w:rPr>
        <w:t>g</w:t>
      </w:r>
      <w:r w:rsidR="00DA36D6" w:rsidRPr="009232AD">
        <w:rPr>
          <w:rFonts w:ascii="Garamond" w:hAnsi="Garamond"/>
          <w:i/>
          <w:sz w:val="24"/>
          <w:szCs w:val="24"/>
        </w:rPr>
        <w:t>jykatës</w:t>
      </w:r>
    </w:p>
    <w:p w:rsidR="00DA36D6" w:rsidRPr="009232AD" w:rsidRDefault="00900F23"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a) </w:t>
      </w:r>
      <w:r w:rsidR="00DA36D6" w:rsidRPr="009232AD">
        <w:rPr>
          <w:rFonts w:ascii="Garamond" w:hAnsi="Garamond"/>
          <w:b/>
          <w:sz w:val="24"/>
          <w:szCs w:val="24"/>
        </w:rPr>
        <w:t xml:space="preserve">Parime të përgjithshme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39. Gjykata përsërit se </w:t>
      </w:r>
      <w:r w:rsidR="002D1141" w:rsidRPr="009232AD">
        <w:rPr>
          <w:rFonts w:ascii="Garamond" w:hAnsi="Garamond"/>
          <w:sz w:val="24"/>
          <w:szCs w:val="24"/>
        </w:rPr>
        <w:t xml:space="preserve">neni </w:t>
      </w:r>
      <w:r w:rsidRPr="009232AD">
        <w:rPr>
          <w:rFonts w:ascii="Garamond" w:hAnsi="Garamond"/>
          <w:sz w:val="24"/>
          <w:szCs w:val="24"/>
        </w:rPr>
        <w:t>2 i Konventës, i cili garanton të drejtën për të jetuar, rendite</w:t>
      </w:r>
      <w:r w:rsidR="00B5011B">
        <w:rPr>
          <w:rFonts w:ascii="Garamond" w:hAnsi="Garamond"/>
          <w:sz w:val="24"/>
          <w:szCs w:val="24"/>
        </w:rPr>
        <w:t>t</w:t>
      </w:r>
      <w:r w:rsidRPr="009232AD">
        <w:rPr>
          <w:rFonts w:ascii="Garamond" w:hAnsi="Garamond"/>
          <w:sz w:val="24"/>
          <w:szCs w:val="24"/>
        </w:rPr>
        <w:t xml:space="preserve"> si një nga parashikimet më themelore në Konventë. Në mbështetje të rëndësisë së mbrojtjes</w:t>
      </w:r>
      <w:r w:rsidR="00B5011B">
        <w:rPr>
          <w:rFonts w:ascii="Garamond" w:hAnsi="Garamond"/>
          <w:sz w:val="24"/>
          <w:szCs w:val="24"/>
        </w:rPr>
        <w:t>,</w:t>
      </w:r>
      <w:r w:rsidRPr="009232AD">
        <w:rPr>
          <w:rFonts w:ascii="Garamond" w:hAnsi="Garamond"/>
          <w:sz w:val="24"/>
          <w:szCs w:val="24"/>
        </w:rPr>
        <w:t xml:space="preserve"> parashikuar në </w:t>
      </w:r>
      <w:r w:rsidR="00B5011B" w:rsidRPr="009232AD">
        <w:rPr>
          <w:rFonts w:ascii="Garamond" w:hAnsi="Garamond"/>
          <w:sz w:val="24"/>
          <w:szCs w:val="24"/>
        </w:rPr>
        <w:t xml:space="preserve">nenin </w:t>
      </w:r>
      <w:r w:rsidRPr="009232AD">
        <w:rPr>
          <w:rFonts w:ascii="Garamond" w:hAnsi="Garamond"/>
          <w:sz w:val="24"/>
          <w:szCs w:val="24"/>
        </w:rPr>
        <w:t xml:space="preserve">2, </w:t>
      </w:r>
      <w:r w:rsidR="00CF3F54" w:rsidRPr="009232AD">
        <w:rPr>
          <w:rFonts w:ascii="Garamond" w:hAnsi="Garamond"/>
          <w:sz w:val="24"/>
          <w:szCs w:val="24"/>
        </w:rPr>
        <w:t>g</w:t>
      </w:r>
      <w:r w:rsidRPr="009232AD">
        <w:rPr>
          <w:rFonts w:ascii="Garamond" w:hAnsi="Garamond"/>
          <w:sz w:val="24"/>
          <w:szCs w:val="24"/>
        </w:rPr>
        <w:t xml:space="preserve">jykata duhet të shqyrtojë me kujdesin më të madh ankesat për privimin e jetës (shih </w:t>
      </w:r>
      <w:r w:rsidRPr="00B5011B">
        <w:rPr>
          <w:rFonts w:ascii="Garamond" w:hAnsi="Garamond"/>
          <w:i/>
          <w:sz w:val="24"/>
          <w:szCs w:val="24"/>
        </w:rPr>
        <w:t>McCann dhe të Tjerët kundër Mbretërisë së Madhe</w:t>
      </w:r>
      <w:r w:rsidRPr="009232AD">
        <w:rPr>
          <w:rFonts w:ascii="Garamond" w:hAnsi="Garamond"/>
          <w:sz w:val="24"/>
          <w:szCs w:val="24"/>
        </w:rPr>
        <w:t xml:space="preserve">, 27 </w:t>
      </w:r>
      <w:r w:rsidR="00B5011B" w:rsidRPr="009232AD">
        <w:rPr>
          <w:rFonts w:ascii="Garamond" w:hAnsi="Garamond"/>
          <w:sz w:val="24"/>
          <w:szCs w:val="24"/>
        </w:rPr>
        <w:t xml:space="preserve">shtator </w:t>
      </w:r>
      <w:r w:rsidRPr="009232AD">
        <w:rPr>
          <w:rFonts w:ascii="Garamond" w:hAnsi="Garamond"/>
          <w:sz w:val="24"/>
          <w:szCs w:val="24"/>
        </w:rPr>
        <w:t>1995, §§ 146</w:t>
      </w:r>
      <w:r w:rsidR="00B5011B">
        <w:rPr>
          <w:rFonts w:ascii="Garamond" w:hAnsi="Garamond"/>
          <w:sz w:val="24"/>
          <w:szCs w:val="24"/>
        </w:rPr>
        <w:t>–</w:t>
      </w:r>
      <w:r w:rsidRPr="009232AD">
        <w:rPr>
          <w:rFonts w:ascii="Garamond" w:hAnsi="Garamond"/>
          <w:sz w:val="24"/>
          <w:szCs w:val="24"/>
        </w:rPr>
        <w:t xml:space="preserve">47, </w:t>
      </w:r>
      <w:r w:rsidR="00B5011B" w:rsidRPr="009232AD">
        <w:rPr>
          <w:rFonts w:ascii="Garamond" w:hAnsi="Garamond"/>
          <w:sz w:val="24"/>
          <w:szCs w:val="24"/>
        </w:rPr>
        <w:t xml:space="preserve">seritë </w:t>
      </w:r>
      <w:r w:rsidRPr="009232AD">
        <w:rPr>
          <w:rFonts w:ascii="Garamond" w:hAnsi="Garamond"/>
          <w:sz w:val="24"/>
          <w:szCs w:val="24"/>
        </w:rPr>
        <w:t xml:space="preserve">A nr. 324, dhe </w:t>
      </w:r>
      <w:r w:rsidRPr="00B5011B">
        <w:rPr>
          <w:rFonts w:ascii="Garamond" w:hAnsi="Garamond"/>
          <w:i/>
          <w:sz w:val="24"/>
          <w:szCs w:val="24"/>
        </w:rPr>
        <w:t>Nachova dhe të Tjerët kundër Bullgarisë</w:t>
      </w:r>
      <w:r w:rsidRPr="009232AD">
        <w:rPr>
          <w:rFonts w:ascii="Garamond" w:hAnsi="Garamond"/>
          <w:sz w:val="24"/>
          <w:szCs w:val="24"/>
        </w:rPr>
        <w:t xml:space="preserve"> [DHM], nr. 43577/98 dhe 43579/98, § 93, GJEDNJ 2005-VII).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40. Detyrimi për të mbrojtur jetën</w:t>
      </w:r>
      <w:r w:rsidR="00B5011B">
        <w:rPr>
          <w:rFonts w:ascii="Garamond" w:hAnsi="Garamond"/>
          <w:sz w:val="24"/>
          <w:szCs w:val="24"/>
        </w:rPr>
        <w:t>,</w:t>
      </w:r>
      <w:r w:rsidRPr="009232AD">
        <w:rPr>
          <w:rFonts w:ascii="Garamond" w:hAnsi="Garamond"/>
          <w:sz w:val="24"/>
          <w:szCs w:val="24"/>
        </w:rPr>
        <w:t xml:space="preserve"> sipas </w:t>
      </w:r>
      <w:r w:rsidR="00B5011B" w:rsidRPr="009232AD">
        <w:rPr>
          <w:rFonts w:ascii="Garamond" w:hAnsi="Garamond"/>
          <w:sz w:val="24"/>
          <w:szCs w:val="24"/>
        </w:rPr>
        <w:t xml:space="preserve">nenit </w:t>
      </w:r>
      <w:r w:rsidRPr="009232AD">
        <w:rPr>
          <w:rFonts w:ascii="Garamond" w:hAnsi="Garamond"/>
          <w:sz w:val="24"/>
          <w:szCs w:val="24"/>
        </w:rPr>
        <w:t xml:space="preserve">2 të Konventë, i lexuar në lidhje me detyrën e përgjithshme të </w:t>
      </w:r>
      <w:r w:rsidR="00B5011B" w:rsidRPr="009232AD">
        <w:rPr>
          <w:rFonts w:ascii="Garamond" w:hAnsi="Garamond"/>
          <w:sz w:val="24"/>
          <w:szCs w:val="24"/>
        </w:rPr>
        <w:t>shtetit</w:t>
      </w:r>
      <w:r w:rsidR="00B5011B">
        <w:rPr>
          <w:rFonts w:ascii="Garamond" w:hAnsi="Garamond"/>
          <w:sz w:val="24"/>
          <w:szCs w:val="24"/>
        </w:rPr>
        <w:t>,</w:t>
      </w:r>
      <w:r w:rsidR="00B5011B" w:rsidRPr="009232AD">
        <w:rPr>
          <w:rFonts w:ascii="Garamond" w:hAnsi="Garamond"/>
          <w:sz w:val="24"/>
          <w:szCs w:val="24"/>
        </w:rPr>
        <w:t xml:space="preserve"> sipas nenit </w:t>
      </w:r>
      <w:r w:rsidRPr="009232AD">
        <w:rPr>
          <w:rFonts w:ascii="Garamond" w:hAnsi="Garamond"/>
          <w:sz w:val="24"/>
          <w:szCs w:val="24"/>
        </w:rPr>
        <w:t xml:space="preserve">1 të </w:t>
      </w:r>
      <w:r w:rsidRPr="00400FB0">
        <w:rPr>
          <w:rFonts w:ascii="Garamond" w:hAnsi="Garamond"/>
          <w:sz w:val="24"/>
          <w:szCs w:val="24"/>
        </w:rPr>
        <w:t>Konventës</w:t>
      </w:r>
      <w:r w:rsidR="00B5011B" w:rsidRPr="00400FB0">
        <w:rPr>
          <w:rFonts w:ascii="Garamond" w:hAnsi="Garamond"/>
          <w:sz w:val="24"/>
          <w:szCs w:val="24"/>
        </w:rPr>
        <w:t>:</w:t>
      </w:r>
      <w:r w:rsidRPr="00400FB0">
        <w:rPr>
          <w:rFonts w:ascii="Garamond" w:hAnsi="Garamond"/>
          <w:sz w:val="24"/>
          <w:szCs w:val="24"/>
        </w:rPr>
        <w:t xml:space="preserve"> “për</w:t>
      </w:r>
      <w:r w:rsidRPr="009232AD">
        <w:rPr>
          <w:rFonts w:ascii="Garamond" w:hAnsi="Garamond"/>
          <w:sz w:val="24"/>
          <w:szCs w:val="24"/>
        </w:rPr>
        <w:t xml:space="preserve"> të siguruar çdonjërin brenda juridiksionit [të saj] të drejtat dhe liritë e përcaktuara në Kushtetutë”, kërkon edhe sipas nënkuptimit se duhet të ketë një lloj hetimi efikas zyrtar në rastin kur individët janë vrarë si rezultat i përdorimit të forcës (shih </w:t>
      </w:r>
      <w:r w:rsidRPr="00B5011B">
        <w:rPr>
          <w:rFonts w:ascii="Garamond" w:hAnsi="Garamond"/>
          <w:i/>
          <w:sz w:val="24"/>
          <w:szCs w:val="24"/>
        </w:rPr>
        <w:t>Nachova dhe të Tjerët kundër Bullgarisë</w:t>
      </w:r>
      <w:r w:rsidRPr="009232AD">
        <w:rPr>
          <w:rFonts w:ascii="Garamond" w:hAnsi="Garamond"/>
          <w:sz w:val="24"/>
          <w:szCs w:val="24"/>
        </w:rPr>
        <w:t xml:space="preserve"> [DHM], cituar më sipër). Në vijim, </w:t>
      </w:r>
      <w:r w:rsidR="00CF3F54" w:rsidRPr="009232AD">
        <w:rPr>
          <w:rFonts w:ascii="Garamond" w:hAnsi="Garamond"/>
          <w:sz w:val="24"/>
          <w:szCs w:val="24"/>
        </w:rPr>
        <w:t>g</w:t>
      </w:r>
      <w:r w:rsidRPr="009232AD">
        <w:rPr>
          <w:rFonts w:ascii="Garamond" w:hAnsi="Garamond"/>
          <w:sz w:val="24"/>
          <w:szCs w:val="24"/>
        </w:rPr>
        <w:t>jykata deklaron</w:t>
      </w:r>
      <w:r w:rsidR="00B5011B">
        <w:rPr>
          <w:rFonts w:ascii="Garamond" w:hAnsi="Garamond"/>
          <w:sz w:val="24"/>
          <w:szCs w:val="24"/>
        </w:rPr>
        <w:t>,</w:t>
      </w:r>
      <w:r w:rsidRPr="009232AD">
        <w:rPr>
          <w:rFonts w:ascii="Garamond" w:hAnsi="Garamond"/>
          <w:sz w:val="24"/>
          <w:szCs w:val="24"/>
        </w:rPr>
        <w:t xml:space="preserve"> se kurdo që një i ndaluar vdes në rrethana të dyshimta, </w:t>
      </w:r>
      <w:r w:rsidR="00B5011B" w:rsidRPr="009232AD">
        <w:rPr>
          <w:rFonts w:ascii="Garamond" w:hAnsi="Garamond"/>
          <w:sz w:val="24"/>
          <w:szCs w:val="24"/>
        </w:rPr>
        <w:t xml:space="preserve">neni </w:t>
      </w:r>
      <w:r w:rsidRPr="009232AD">
        <w:rPr>
          <w:rFonts w:ascii="Garamond" w:hAnsi="Garamond"/>
          <w:sz w:val="24"/>
          <w:szCs w:val="24"/>
        </w:rPr>
        <w:t xml:space="preserve">2 </w:t>
      </w:r>
      <w:r w:rsidR="00B5011B">
        <w:rPr>
          <w:rFonts w:ascii="Garamond" w:hAnsi="Garamond"/>
          <w:sz w:val="24"/>
          <w:szCs w:val="24"/>
        </w:rPr>
        <w:t>u</w:t>
      </w:r>
      <w:r w:rsidRPr="009232AD">
        <w:rPr>
          <w:rFonts w:ascii="Garamond" w:hAnsi="Garamond"/>
          <w:sz w:val="24"/>
          <w:szCs w:val="24"/>
        </w:rPr>
        <w:t xml:space="preserve"> kërkon autoriteteve të kryejnë një hetim të pavarur dhe të paanshëm zyrtar, i cili përmbush standarde minimale të caktuara për efikasitetin (shih </w:t>
      </w:r>
      <w:r w:rsidRPr="00B5011B">
        <w:rPr>
          <w:rFonts w:ascii="Garamond" w:hAnsi="Garamond"/>
          <w:i/>
          <w:sz w:val="24"/>
          <w:szCs w:val="24"/>
        </w:rPr>
        <w:t>Trubnikov kundër Rusisë</w:t>
      </w:r>
      <w:r w:rsidRPr="009232AD">
        <w:rPr>
          <w:rFonts w:ascii="Garamond" w:hAnsi="Garamond"/>
          <w:sz w:val="24"/>
          <w:szCs w:val="24"/>
        </w:rPr>
        <w:t xml:space="preserve">, nr. 49790/99, §§ 87-88, 5 </w:t>
      </w:r>
      <w:r w:rsidR="00B5011B" w:rsidRPr="009232AD">
        <w:rPr>
          <w:rFonts w:ascii="Garamond" w:hAnsi="Garamond"/>
          <w:sz w:val="24"/>
          <w:szCs w:val="24"/>
        </w:rPr>
        <w:t xml:space="preserve">korrik </w:t>
      </w:r>
      <w:r w:rsidRPr="009232AD">
        <w:rPr>
          <w:rFonts w:ascii="Garamond" w:hAnsi="Garamond"/>
          <w:sz w:val="24"/>
          <w:szCs w:val="24"/>
        </w:rPr>
        <w:t xml:space="preserve">2005).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41. Në vijim, në kontekstin e kujdesit për shëndetin, </w:t>
      </w:r>
      <w:r w:rsidR="00CF3F54" w:rsidRPr="009232AD">
        <w:rPr>
          <w:rFonts w:ascii="Garamond" w:hAnsi="Garamond"/>
          <w:sz w:val="24"/>
          <w:szCs w:val="24"/>
        </w:rPr>
        <w:t>g</w:t>
      </w:r>
      <w:r w:rsidRPr="009232AD">
        <w:rPr>
          <w:rFonts w:ascii="Garamond" w:hAnsi="Garamond"/>
          <w:sz w:val="24"/>
          <w:szCs w:val="24"/>
        </w:rPr>
        <w:t xml:space="preserve">jykata ka interpretuar detyrimin procedural të </w:t>
      </w:r>
      <w:r w:rsidR="00CD6DCE" w:rsidRPr="009232AD">
        <w:rPr>
          <w:rFonts w:ascii="Garamond" w:hAnsi="Garamond"/>
          <w:sz w:val="24"/>
          <w:szCs w:val="24"/>
        </w:rPr>
        <w:t xml:space="preserve">nenit </w:t>
      </w:r>
      <w:r w:rsidRPr="009232AD">
        <w:rPr>
          <w:rFonts w:ascii="Garamond" w:hAnsi="Garamond"/>
          <w:sz w:val="24"/>
          <w:szCs w:val="24"/>
        </w:rPr>
        <w:t xml:space="preserve">2, duke iu kërkuar </w:t>
      </w:r>
      <w:r w:rsidR="00CD6DCE" w:rsidRPr="009232AD">
        <w:rPr>
          <w:rFonts w:ascii="Garamond" w:hAnsi="Garamond"/>
          <w:sz w:val="24"/>
          <w:szCs w:val="24"/>
        </w:rPr>
        <w:t xml:space="preserve">shteteve </w:t>
      </w:r>
      <w:r w:rsidRPr="009232AD">
        <w:rPr>
          <w:rFonts w:ascii="Garamond" w:hAnsi="Garamond"/>
          <w:sz w:val="24"/>
          <w:szCs w:val="24"/>
        </w:rPr>
        <w:t xml:space="preserve">të ngrenë një sistem efikas dhe të pavarur gjyqësor, në mënyrë që shkaku i vdekjes së pacientëve nën kujdesin mjekësor, qoftë në sektorin publik apo në atë privat, mund të përcaktohet dhe të vihen përpara llogaridhënies personat përgjegjës (shih </w:t>
      </w:r>
      <w:r w:rsidRPr="00CD6DCE">
        <w:rPr>
          <w:rFonts w:ascii="Garamond" w:hAnsi="Garamond"/>
          <w:i/>
          <w:sz w:val="24"/>
          <w:szCs w:val="24"/>
        </w:rPr>
        <w:t>Lopes de Sousa Fernandes kundër Portugalisë</w:t>
      </w:r>
      <w:r w:rsidRPr="009232AD">
        <w:rPr>
          <w:rFonts w:ascii="Garamond" w:hAnsi="Garamond"/>
          <w:sz w:val="24"/>
          <w:szCs w:val="24"/>
        </w:rPr>
        <w:t xml:space="preserve"> [DHM], nr. 56080/13, § 214, 19 </w:t>
      </w:r>
      <w:r w:rsidR="00CD6DCE" w:rsidRPr="009232AD">
        <w:rPr>
          <w:rFonts w:ascii="Garamond" w:hAnsi="Garamond"/>
          <w:sz w:val="24"/>
          <w:szCs w:val="24"/>
        </w:rPr>
        <w:t xml:space="preserve">dhjetor </w:t>
      </w:r>
      <w:r w:rsidRPr="009232AD">
        <w:rPr>
          <w:rFonts w:ascii="Garamond" w:hAnsi="Garamond"/>
          <w:sz w:val="24"/>
          <w:szCs w:val="24"/>
        </w:rPr>
        <w:t xml:space="preserve">2017, dhe </w:t>
      </w:r>
      <w:r w:rsidRPr="00CD6DCE">
        <w:rPr>
          <w:rFonts w:ascii="Garamond" w:hAnsi="Garamond"/>
          <w:i/>
          <w:sz w:val="24"/>
          <w:szCs w:val="24"/>
        </w:rPr>
        <w:t xml:space="preserve">Šilih kundër Sllovenisë </w:t>
      </w:r>
      <w:r w:rsidRPr="009232AD">
        <w:rPr>
          <w:rFonts w:ascii="Garamond" w:hAnsi="Garamond"/>
          <w:sz w:val="24"/>
          <w:szCs w:val="24"/>
        </w:rPr>
        <w:t xml:space="preserve">[DHM], nr. 71463/01, § 192, 9 </w:t>
      </w:r>
      <w:r w:rsidR="00CD6DCE" w:rsidRPr="009232AD">
        <w:rPr>
          <w:rFonts w:ascii="Garamond" w:hAnsi="Garamond"/>
          <w:sz w:val="24"/>
          <w:szCs w:val="24"/>
        </w:rPr>
        <w:t xml:space="preserve">prill </w:t>
      </w:r>
      <w:r w:rsidRPr="009232AD">
        <w:rPr>
          <w:rFonts w:ascii="Garamond" w:hAnsi="Garamond"/>
          <w:sz w:val="24"/>
          <w:szCs w:val="24"/>
        </w:rPr>
        <w:t xml:space="preserve">2009).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42. Një hetim duhet të jetë efikas në kuptimin që ai mund të çojë në përcaktimin e fakteve dhe, aty ku është me vend, të kryhet identifikimi dhe dënimi i personave përgjegjës. Edhe pse nuk është detyrim i rezultatit por i mjeteve, çdo </w:t>
      </w:r>
      <w:r w:rsidRPr="00400FB0">
        <w:rPr>
          <w:rFonts w:ascii="Garamond" w:hAnsi="Garamond"/>
          <w:sz w:val="24"/>
          <w:szCs w:val="24"/>
        </w:rPr>
        <w:t>defiçencë</w:t>
      </w:r>
      <w:r w:rsidRPr="009232AD">
        <w:rPr>
          <w:rFonts w:ascii="Garamond" w:hAnsi="Garamond"/>
          <w:sz w:val="24"/>
          <w:szCs w:val="24"/>
        </w:rPr>
        <w:t xml:space="preserve"> në hetime, të cilat dëmtojnë mundësinë për të përcaktuar rrethanat e çështjes ose personin përgjegjës, rrezikon të ketë parregullsi me standardin e kërkuar të efikasitetit (shih </w:t>
      </w:r>
      <w:r w:rsidRPr="00D8606F">
        <w:rPr>
          <w:rFonts w:ascii="Garamond" w:hAnsi="Garamond"/>
          <w:i/>
          <w:sz w:val="24"/>
          <w:szCs w:val="24"/>
        </w:rPr>
        <w:t>Al-Skeini dhe të Tjerët kundër Mbretërisë së Bashkuar</w:t>
      </w:r>
      <w:r w:rsidRPr="009232AD">
        <w:rPr>
          <w:rFonts w:ascii="Garamond" w:hAnsi="Garamond"/>
          <w:sz w:val="24"/>
          <w:szCs w:val="24"/>
        </w:rPr>
        <w:t xml:space="preserve"> [DHM], nr. 55721/07, §§ 166, GJEDNJ 2011). Autoritetet duhet të veprojnë me pushtetin e tyre sapo çështja kalon në vëmendjen e tyre. </w:t>
      </w:r>
      <w:r w:rsidR="00D8606F" w:rsidRPr="009232AD">
        <w:rPr>
          <w:rFonts w:ascii="Garamond" w:hAnsi="Garamond"/>
          <w:sz w:val="24"/>
          <w:szCs w:val="24"/>
        </w:rPr>
        <w:t xml:space="preserve">Ato </w:t>
      </w:r>
      <w:r w:rsidRPr="009232AD">
        <w:rPr>
          <w:rFonts w:ascii="Garamond" w:hAnsi="Garamond"/>
          <w:sz w:val="24"/>
          <w:szCs w:val="24"/>
        </w:rPr>
        <w:t>nuk mund ta lën</w:t>
      </w:r>
      <w:r w:rsidR="00D8606F">
        <w:rPr>
          <w:rFonts w:ascii="Garamond" w:hAnsi="Garamond"/>
          <w:sz w:val="24"/>
          <w:szCs w:val="24"/>
        </w:rPr>
        <w:t>ë</w:t>
      </w:r>
      <w:r w:rsidRPr="009232AD">
        <w:rPr>
          <w:rFonts w:ascii="Garamond" w:hAnsi="Garamond"/>
          <w:sz w:val="24"/>
          <w:szCs w:val="24"/>
        </w:rPr>
        <w:t xml:space="preserve"> a</w:t>
      </w:r>
      <w:r w:rsidR="00E24848">
        <w:rPr>
          <w:rFonts w:ascii="Garamond" w:hAnsi="Garamond"/>
          <w:sz w:val="24"/>
          <w:szCs w:val="24"/>
        </w:rPr>
        <w:t>të në iniciativën e të afërmit as</w:t>
      </w:r>
      <w:r w:rsidRPr="009232AD">
        <w:rPr>
          <w:rFonts w:ascii="Garamond" w:hAnsi="Garamond"/>
          <w:sz w:val="24"/>
          <w:szCs w:val="24"/>
        </w:rPr>
        <w:t xml:space="preserve"> për të paraqitur një ankesë formale ose për të kërkuar linja të posaçme hetimesh ose procedurash hetimesh (shih </w:t>
      </w:r>
      <w:r w:rsidRPr="009302DC">
        <w:rPr>
          <w:rFonts w:ascii="Garamond" w:hAnsi="Garamond"/>
          <w:i/>
          <w:sz w:val="24"/>
          <w:szCs w:val="24"/>
        </w:rPr>
        <w:t>Nachova dhe të Tjerët kundër Bullgaris</w:t>
      </w:r>
      <w:r w:rsidRPr="009232AD">
        <w:rPr>
          <w:rFonts w:ascii="Garamond" w:hAnsi="Garamond"/>
          <w:sz w:val="24"/>
          <w:szCs w:val="24"/>
        </w:rPr>
        <w:t>ë [DHM], nr. 43577/98 dhe 43579/98, § 111, GJEDNJ 2005-VII).</w:t>
      </w:r>
      <w:r w:rsidR="009302DC">
        <w:rPr>
          <w:rFonts w:ascii="Garamond" w:hAnsi="Garamond"/>
          <w:sz w:val="24"/>
          <w:szCs w:val="24"/>
        </w:rPr>
        <w:t xml:space="preserve"> </w:t>
      </w:r>
      <w:r w:rsidR="009302DC" w:rsidRPr="009232AD">
        <w:rPr>
          <w:rFonts w:ascii="Garamond" w:hAnsi="Garamond"/>
          <w:sz w:val="24"/>
          <w:szCs w:val="24"/>
        </w:rPr>
        <w:t xml:space="preserve">Në </w:t>
      </w:r>
      <w:r w:rsidRPr="009232AD">
        <w:rPr>
          <w:rFonts w:ascii="Garamond" w:hAnsi="Garamond"/>
          <w:sz w:val="24"/>
          <w:szCs w:val="24"/>
        </w:rPr>
        <w:t xml:space="preserve">të gjitha </w:t>
      </w:r>
      <w:r w:rsidRPr="009232AD">
        <w:rPr>
          <w:rFonts w:ascii="Garamond" w:hAnsi="Garamond"/>
          <w:sz w:val="24"/>
          <w:szCs w:val="24"/>
        </w:rPr>
        <w:lastRenderedPageBreak/>
        <w:t xml:space="preserve">rastet, i afërmi i viktimës duhet të përfshihet në procedurë në masën e nevojshme për të mbrojtur interesat e tij/saj legjitimë (shih </w:t>
      </w:r>
      <w:r w:rsidRPr="009302DC">
        <w:rPr>
          <w:rFonts w:ascii="Garamond" w:hAnsi="Garamond"/>
          <w:i/>
          <w:sz w:val="24"/>
          <w:szCs w:val="24"/>
        </w:rPr>
        <w:t>Mustafayev kundër Azerbajxhanit</w:t>
      </w:r>
      <w:r w:rsidRPr="009232AD">
        <w:rPr>
          <w:rFonts w:ascii="Garamond" w:hAnsi="Garamond"/>
          <w:sz w:val="24"/>
          <w:szCs w:val="24"/>
        </w:rPr>
        <w:t xml:space="preserve">, nr. 47095/09, § 72, 4 </w:t>
      </w:r>
      <w:r w:rsidR="009302DC" w:rsidRPr="009232AD">
        <w:rPr>
          <w:rFonts w:ascii="Garamond" w:hAnsi="Garamond"/>
          <w:sz w:val="24"/>
          <w:szCs w:val="24"/>
        </w:rPr>
        <w:t xml:space="preserve">maj </w:t>
      </w:r>
      <w:r w:rsidRPr="009232AD">
        <w:rPr>
          <w:rFonts w:ascii="Garamond" w:hAnsi="Garamond"/>
          <w:sz w:val="24"/>
          <w:szCs w:val="24"/>
        </w:rPr>
        <w:t xml:space="preserve">2017).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43. Kërkesa për gatishmëri dhe për adresim të arsyeshëm është e nënkuptuar në këtë kontekst (shih </w:t>
      </w:r>
      <w:r w:rsidRPr="00B96925">
        <w:rPr>
          <w:rFonts w:ascii="Garamond" w:hAnsi="Garamond"/>
          <w:i/>
          <w:sz w:val="24"/>
          <w:szCs w:val="24"/>
        </w:rPr>
        <w:t>Sidika Imrem kundër Turqisë</w:t>
      </w:r>
      <w:r w:rsidRPr="00B96925">
        <w:rPr>
          <w:rFonts w:ascii="Garamond" w:hAnsi="Garamond"/>
          <w:sz w:val="24"/>
          <w:szCs w:val="24"/>
        </w:rPr>
        <w:t xml:space="preserve">, </w:t>
      </w:r>
      <w:r w:rsidRPr="009232AD">
        <w:rPr>
          <w:rFonts w:ascii="Garamond" w:hAnsi="Garamond"/>
          <w:sz w:val="24"/>
          <w:szCs w:val="24"/>
        </w:rPr>
        <w:t xml:space="preserve">nr. 47384/11, § 59, 13 </w:t>
      </w:r>
      <w:r w:rsidR="00B96925" w:rsidRPr="009232AD">
        <w:rPr>
          <w:rFonts w:ascii="Garamond" w:hAnsi="Garamond"/>
          <w:sz w:val="24"/>
          <w:szCs w:val="24"/>
        </w:rPr>
        <w:t xml:space="preserve">shtator </w:t>
      </w:r>
      <w:r w:rsidRPr="009232AD">
        <w:rPr>
          <w:rFonts w:ascii="Garamond" w:hAnsi="Garamond"/>
          <w:sz w:val="24"/>
          <w:szCs w:val="24"/>
        </w:rPr>
        <w:t xml:space="preserve">2016). Duhet të pranohet se mund të ketë pengesa ose vështirësi të cilat pengojnë progresin në hetim në një situatë të caktuar. Megjithatë, një përgjigje e menjëhershme nga autoritetet në hetimin e vdekjeve të dyshimta mund të konsiderohet në përgjithësi si thelbësore në ruajtjen e besimit të publikut në mbështetje të shtetit të së drejtës dhe në parandalimit të çdo forme të marrëveshjeve të fshehta ose tolerancës ndaj akteve të paligjshme (shih </w:t>
      </w:r>
      <w:r w:rsidRPr="00B96925">
        <w:rPr>
          <w:rFonts w:ascii="Garamond" w:hAnsi="Garamond"/>
          <w:i/>
          <w:sz w:val="24"/>
          <w:szCs w:val="24"/>
        </w:rPr>
        <w:t>Merkulova kundër Ukrainës</w:t>
      </w:r>
      <w:r w:rsidRPr="009232AD">
        <w:rPr>
          <w:rFonts w:ascii="Garamond" w:hAnsi="Garamond"/>
          <w:sz w:val="24"/>
          <w:szCs w:val="24"/>
        </w:rPr>
        <w:t xml:space="preserve">, nr. 21454/04, § 50, 3 </w:t>
      </w:r>
      <w:r w:rsidR="00B96925" w:rsidRPr="009232AD">
        <w:rPr>
          <w:rFonts w:ascii="Garamond" w:hAnsi="Garamond"/>
          <w:sz w:val="24"/>
          <w:szCs w:val="24"/>
        </w:rPr>
        <w:t xml:space="preserve">mars </w:t>
      </w:r>
      <w:r w:rsidRPr="009232AD">
        <w:rPr>
          <w:rFonts w:ascii="Garamond" w:hAnsi="Garamond"/>
          <w:sz w:val="24"/>
          <w:szCs w:val="24"/>
        </w:rPr>
        <w:t xml:space="preserve">2011, dhe </w:t>
      </w:r>
      <w:r w:rsidRPr="00B96925">
        <w:rPr>
          <w:rFonts w:ascii="Garamond" w:hAnsi="Garamond"/>
          <w:i/>
          <w:sz w:val="24"/>
          <w:szCs w:val="24"/>
        </w:rPr>
        <w:t>Armani da Silva kundër Mbretërisë së Bashkuar</w:t>
      </w:r>
      <w:r w:rsidRPr="009232AD">
        <w:rPr>
          <w:rFonts w:ascii="Garamond" w:hAnsi="Garamond"/>
          <w:sz w:val="24"/>
          <w:szCs w:val="24"/>
        </w:rPr>
        <w:t xml:space="preserve"> [DHM], nr. 5878/08, § 237, 30 </w:t>
      </w:r>
      <w:r w:rsidR="00B96925" w:rsidRPr="009232AD">
        <w:rPr>
          <w:rFonts w:ascii="Garamond" w:hAnsi="Garamond"/>
          <w:sz w:val="24"/>
          <w:szCs w:val="24"/>
        </w:rPr>
        <w:t xml:space="preserve">mars </w:t>
      </w:r>
      <w:r w:rsidRPr="009232AD">
        <w:rPr>
          <w:rFonts w:ascii="Garamond" w:hAnsi="Garamond"/>
          <w:sz w:val="24"/>
          <w:szCs w:val="24"/>
        </w:rPr>
        <w:t xml:space="preserve">2016). </w:t>
      </w:r>
    </w:p>
    <w:p w:rsidR="00DA36D6" w:rsidRPr="009232AD" w:rsidRDefault="00900F23"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b) </w:t>
      </w:r>
      <w:r w:rsidR="00DA36D6" w:rsidRPr="009232AD">
        <w:rPr>
          <w:rFonts w:ascii="Garamond" w:hAnsi="Garamond"/>
          <w:b/>
          <w:sz w:val="24"/>
          <w:szCs w:val="24"/>
        </w:rPr>
        <w:t xml:space="preserve">Zbatimi i parimeve të mësipërme në </w:t>
      </w:r>
      <w:r w:rsidR="00617C8B" w:rsidRPr="009232AD">
        <w:rPr>
          <w:rFonts w:ascii="Garamond" w:hAnsi="Garamond"/>
          <w:b/>
          <w:sz w:val="24"/>
          <w:szCs w:val="24"/>
        </w:rPr>
        <w:t>çështjen</w:t>
      </w:r>
      <w:r w:rsidR="00DA36D6" w:rsidRPr="009232AD">
        <w:rPr>
          <w:rFonts w:ascii="Garamond" w:hAnsi="Garamond"/>
          <w:b/>
          <w:sz w:val="24"/>
          <w:szCs w:val="24"/>
        </w:rPr>
        <w:t xml:space="preserve"> në fjalë</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44. Fillimisht, </w:t>
      </w:r>
      <w:r w:rsidR="00CF3F54" w:rsidRPr="009232AD">
        <w:rPr>
          <w:rFonts w:ascii="Garamond" w:hAnsi="Garamond"/>
          <w:sz w:val="24"/>
          <w:szCs w:val="24"/>
        </w:rPr>
        <w:t>g</w:t>
      </w:r>
      <w:r w:rsidRPr="009232AD">
        <w:rPr>
          <w:rFonts w:ascii="Garamond" w:hAnsi="Garamond"/>
          <w:sz w:val="24"/>
          <w:szCs w:val="24"/>
        </w:rPr>
        <w:t xml:space="preserve">jykata do të adresojë parashtrimin e </w:t>
      </w:r>
      <w:r w:rsidR="00617C8B" w:rsidRPr="009232AD">
        <w:rPr>
          <w:rFonts w:ascii="Garamond" w:hAnsi="Garamond"/>
          <w:sz w:val="24"/>
          <w:szCs w:val="24"/>
        </w:rPr>
        <w:t>qeverisë</w:t>
      </w:r>
      <w:r w:rsidRPr="009232AD">
        <w:rPr>
          <w:rFonts w:ascii="Garamond" w:hAnsi="Garamond"/>
          <w:sz w:val="24"/>
          <w:szCs w:val="24"/>
        </w:rPr>
        <w:t xml:space="preserve">, të cilin e ka bashkuar me cilësitë e çështjes, sipas së cilave kërkuesi ka pasur një qëndrim pasiv, duke mos e raportuar çështjen në prokurori (shih paragrafin 25 dhe paragrafin 33 më sipër).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45. Siç është theksuar më sipër, autoritetet duhet të veprojnë me kompetencën e tyre</w:t>
      </w:r>
      <w:r w:rsidR="00617C8B">
        <w:rPr>
          <w:rFonts w:ascii="Garamond" w:hAnsi="Garamond"/>
          <w:sz w:val="24"/>
          <w:szCs w:val="24"/>
        </w:rPr>
        <w:t>,</w:t>
      </w:r>
      <w:r w:rsidRPr="009232AD">
        <w:rPr>
          <w:rFonts w:ascii="Garamond" w:hAnsi="Garamond"/>
          <w:sz w:val="24"/>
          <w:szCs w:val="24"/>
        </w:rPr>
        <w:t xml:space="preserve"> në momentin që një çështje kalon në vëmendjen e tyre (shih paragrafin 40 më sipër). Për pasojë, mbetet e pamaterializuar nëse vet</w:t>
      </w:r>
      <w:r w:rsidR="00617C8B">
        <w:rPr>
          <w:rFonts w:ascii="Garamond" w:hAnsi="Garamond"/>
          <w:sz w:val="24"/>
          <w:szCs w:val="24"/>
        </w:rPr>
        <w:t>ë</w:t>
      </w:r>
      <w:r w:rsidRPr="009232AD">
        <w:rPr>
          <w:rFonts w:ascii="Garamond" w:hAnsi="Garamond"/>
          <w:sz w:val="24"/>
          <w:szCs w:val="24"/>
        </w:rPr>
        <w:t xml:space="preserve"> kërkuesi mori një rol aktiv në përfshirjen e autoriteteve hetuese.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46. Në lidhje me detajet e hetimit të realizuar, </w:t>
      </w:r>
      <w:r w:rsidR="00CF3F54" w:rsidRPr="009232AD">
        <w:rPr>
          <w:rFonts w:ascii="Garamond" w:hAnsi="Garamond"/>
          <w:sz w:val="24"/>
          <w:szCs w:val="24"/>
        </w:rPr>
        <w:t>g</w:t>
      </w:r>
      <w:r w:rsidRPr="009232AD">
        <w:rPr>
          <w:rFonts w:ascii="Garamond" w:hAnsi="Garamond"/>
          <w:sz w:val="24"/>
          <w:szCs w:val="24"/>
        </w:rPr>
        <w:t xml:space="preserve">jykata vëren se hetimi për vdekjen e </w:t>
      </w:r>
      <w:r w:rsidR="004F0976">
        <w:rPr>
          <w:rFonts w:ascii="Garamond" w:hAnsi="Garamond"/>
          <w:sz w:val="24"/>
          <w:szCs w:val="24"/>
        </w:rPr>
        <w:t>SH.P.</w:t>
      </w:r>
      <w:r w:rsidRPr="009232AD">
        <w:rPr>
          <w:rFonts w:ascii="Garamond" w:hAnsi="Garamond"/>
          <w:sz w:val="24"/>
          <w:szCs w:val="24"/>
        </w:rPr>
        <w:t xml:space="preserve"> filloi në mënyrën e duhur, në ditën e vdekjes së tij, me një ekzaminim në skenë, një ekzaminim të trupit të të ndjerit dhe konfiskimin e kartelës mjekësore (shih paragrafin 9 më sipër). Për më tepër, më 10 </w:t>
      </w:r>
      <w:r w:rsidR="00C624CF" w:rsidRPr="009232AD">
        <w:rPr>
          <w:rFonts w:ascii="Garamond" w:hAnsi="Garamond"/>
          <w:sz w:val="24"/>
          <w:szCs w:val="24"/>
        </w:rPr>
        <w:t xml:space="preserve">mars </w:t>
      </w:r>
      <w:r w:rsidRPr="009232AD">
        <w:rPr>
          <w:rFonts w:ascii="Garamond" w:hAnsi="Garamond"/>
          <w:sz w:val="24"/>
          <w:szCs w:val="24"/>
        </w:rPr>
        <w:t xml:space="preserve">2011, </w:t>
      </w:r>
      <w:r w:rsidR="00C624CF" w:rsidRPr="009232AD">
        <w:rPr>
          <w:rFonts w:ascii="Garamond" w:hAnsi="Garamond"/>
          <w:sz w:val="24"/>
          <w:szCs w:val="24"/>
        </w:rPr>
        <w:t xml:space="preserve">Prokuroria </w:t>
      </w:r>
      <w:r w:rsidRPr="009232AD">
        <w:rPr>
          <w:rFonts w:ascii="Garamond" w:hAnsi="Garamond"/>
          <w:sz w:val="24"/>
          <w:szCs w:val="24"/>
        </w:rPr>
        <w:t xml:space="preserve">e Tiranës urdhëroi një sërë veprimesh hetimore (shih paragrafin 14 më sipër).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47. Më tej, </w:t>
      </w:r>
      <w:r w:rsidR="00CF3F54" w:rsidRPr="009232AD">
        <w:rPr>
          <w:rFonts w:ascii="Garamond" w:hAnsi="Garamond"/>
          <w:sz w:val="24"/>
          <w:szCs w:val="24"/>
        </w:rPr>
        <w:t>g</w:t>
      </w:r>
      <w:r w:rsidRPr="009232AD">
        <w:rPr>
          <w:rFonts w:ascii="Garamond" w:hAnsi="Garamond"/>
          <w:sz w:val="24"/>
          <w:szCs w:val="24"/>
        </w:rPr>
        <w:t xml:space="preserve">jykata vëren se ekzaminimi mjekoligjor i </w:t>
      </w:r>
      <w:r w:rsidR="004F0976">
        <w:rPr>
          <w:rFonts w:ascii="Garamond" w:hAnsi="Garamond"/>
          <w:sz w:val="24"/>
          <w:szCs w:val="24"/>
        </w:rPr>
        <w:t>SH.P.</w:t>
      </w:r>
      <w:r w:rsidR="00C624CF">
        <w:rPr>
          <w:rFonts w:ascii="Garamond" w:hAnsi="Garamond"/>
          <w:sz w:val="24"/>
          <w:szCs w:val="24"/>
        </w:rPr>
        <w:t>,</w:t>
      </w:r>
      <w:r w:rsidRPr="009232AD">
        <w:rPr>
          <w:rFonts w:ascii="Garamond" w:hAnsi="Garamond"/>
          <w:sz w:val="24"/>
          <w:szCs w:val="24"/>
        </w:rPr>
        <w:t xml:space="preserve"> i realizuar më 30 </w:t>
      </w:r>
      <w:r w:rsidR="00C624CF" w:rsidRPr="009232AD">
        <w:rPr>
          <w:rFonts w:ascii="Garamond" w:hAnsi="Garamond"/>
          <w:sz w:val="24"/>
          <w:szCs w:val="24"/>
        </w:rPr>
        <w:t xml:space="preserve">mars </w:t>
      </w:r>
      <w:r w:rsidRPr="009232AD">
        <w:rPr>
          <w:rFonts w:ascii="Garamond" w:hAnsi="Garamond"/>
          <w:sz w:val="24"/>
          <w:szCs w:val="24"/>
        </w:rPr>
        <w:t>2011</w:t>
      </w:r>
      <w:r w:rsidR="00C624CF">
        <w:rPr>
          <w:rFonts w:ascii="Garamond" w:hAnsi="Garamond"/>
          <w:sz w:val="24"/>
          <w:szCs w:val="24"/>
        </w:rPr>
        <w:t>,</w:t>
      </w:r>
      <w:r w:rsidRPr="009232AD">
        <w:rPr>
          <w:rFonts w:ascii="Garamond" w:hAnsi="Garamond"/>
          <w:sz w:val="24"/>
          <w:szCs w:val="24"/>
        </w:rPr>
        <w:t xml:space="preserve"> konstatoi se ai kishte vdekur si rezultat i pamjaftueshmërisë akute respiratore dhe kardiake</w:t>
      </w:r>
      <w:r w:rsidR="00C624CF">
        <w:rPr>
          <w:rFonts w:ascii="Garamond" w:hAnsi="Garamond"/>
          <w:sz w:val="24"/>
          <w:szCs w:val="24"/>
        </w:rPr>
        <w:t>,</w:t>
      </w:r>
      <w:r w:rsidRPr="009232AD">
        <w:rPr>
          <w:rFonts w:ascii="Garamond" w:hAnsi="Garamond"/>
          <w:sz w:val="24"/>
          <w:szCs w:val="24"/>
        </w:rPr>
        <w:t xml:space="preserve"> për shkak të komplikacioneve të sëmundjes së tij të përgjithshme metabolike. Gjithashtu, u konstatua se nuk ka gjurmë mjekimesh në gjakun e tij. Kartela mjekësore e </w:t>
      </w:r>
      <w:r w:rsidR="004F0976">
        <w:rPr>
          <w:rFonts w:ascii="Garamond" w:hAnsi="Garamond"/>
          <w:sz w:val="24"/>
          <w:szCs w:val="24"/>
        </w:rPr>
        <w:t>SH.P.</w:t>
      </w:r>
      <w:r w:rsidRPr="009232AD">
        <w:rPr>
          <w:rFonts w:ascii="Garamond" w:hAnsi="Garamond"/>
          <w:sz w:val="24"/>
          <w:szCs w:val="24"/>
        </w:rPr>
        <w:t xml:space="preserve">, nga ana tjetër, tregonte se atij i ishin bërë një sërë mjekimesh, sipas përshkrimit të stafit mjekësor (shih paragrafin 7 më sipër).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48. Sidoqoftë, </w:t>
      </w:r>
      <w:r w:rsidR="00CF3F54" w:rsidRPr="009232AD">
        <w:rPr>
          <w:rFonts w:ascii="Garamond" w:hAnsi="Garamond"/>
          <w:sz w:val="24"/>
          <w:szCs w:val="24"/>
        </w:rPr>
        <w:t>g</w:t>
      </w:r>
      <w:r w:rsidRPr="009232AD">
        <w:rPr>
          <w:rFonts w:ascii="Garamond" w:hAnsi="Garamond"/>
          <w:sz w:val="24"/>
          <w:szCs w:val="24"/>
        </w:rPr>
        <w:t>jykata vëren disa mungesa të veçanta në veprimet hetimore të ndërmarra nga autoritetet vend</w:t>
      </w:r>
      <w:r w:rsidR="00C624CF">
        <w:rPr>
          <w:rFonts w:ascii="Garamond" w:hAnsi="Garamond"/>
          <w:sz w:val="24"/>
          <w:szCs w:val="24"/>
        </w:rPr>
        <w:t>ë</w:t>
      </w:r>
      <w:r w:rsidRPr="009232AD">
        <w:rPr>
          <w:rFonts w:ascii="Garamond" w:hAnsi="Garamond"/>
          <w:sz w:val="24"/>
          <w:szCs w:val="24"/>
        </w:rPr>
        <w:t xml:space="preserve">se.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49. Fillimisht, ka një mospërputhje midis informacionit të regjistruar në kartelën mjekësore, ku tregohet se vëllait të kërkuesit i janë dhënë mjekime dhe ekzaminimit mjekoligjor të datës 30 </w:t>
      </w:r>
      <w:r w:rsidR="00363264" w:rsidRPr="009232AD">
        <w:rPr>
          <w:rFonts w:ascii="Garamond" w:hAnsi="Garamond"/>
          <w:sz w:val="24"/>
          <w:szCs w:val="24"/>
        </w:rPr>
        <w:t xml:space="preserve">mars </w:t>
      </w:r>
      <w:r w:rsidRPr="009232AD">
        <w:rPr>
          <w:rFonts w:ascii="Garamond" w:hAnsi="Garamond"/>
          <w:sz w:val="24"/>
          <w:szCs w:val="24"/>
        </w:rPr>
        <w:t xml:space="preserve">2011, në lidhje me trajtimin mjekësor të </w:t>
      </w:r>
      <w:r w:rsidR="004F0976">
        <w:rPr>
          <w:rFonts w:ascii="Garamond" w:hAnsi="Garamond"/>
          <w:sz w:val="24"/>
          <w:szCs w:val="24"/>
        </w:rPr>
        <w:t>SH.P.</w:t>
      </w:r>
      <w:r w:rsidRPr="009232AD">
        <w:rPr>
          <w:rFonts w:ascii="Garamond" w:hAnsi="Garamond"/>
          <w:sz w:val="24"/>
          <w:szCs w:val="24"/>
        </w:rPr>
        <w:t xml:space="preserve"> Veprimet hetimore të realizuara, nuk përcaktojnë nëse </w:t>
      </w:r>
      <w:r w:rsidR="004F0976">
        <w:rPr>
          <w:rFonts w:ascii="Garamond" w:hAnsi="Garamond"/>
          <w:sz w:val="24"/>
          <w:szCs w:val="24"/>
        </w:rPr>
        <w:t>SH.P.</w:t>
      </w:r>
      <w:r w:rsidRPr="009232AD">
        <w:rPr>
          <w:rFonts w:ascii="Garamond" w:hAnsi="Garamond"/>
          <w:sz w:val="24"/>
          <w:szCs w:val="24"/>
        </w:rPr>
        <w:t xml:space="preserve"> kë qenë nën mjekim përpara vdekjes së tij dhe</w:t>
      </w:r>
      <w:r w:rsidR="00363264">
        <w:rPr>
          <w:rFonts w:ascii="Garamond" w:hAnsi="Garamond"/>
          <w:sz w:val="24"/>
          <w:szCs w:val="24"/>
        </w:rPr>
        <w:t>,</w:t>
      </w:r>
      <w:r w:rsidRPr="009232AD">
        <w:rPr>
          <w:rFonts w:ascii="Garamond" w:hAnsi="Garamond"/>
          <w:sz w:val="24"/>
          <w:szCs w:val="24"/>
        </w:rPr>
        <w:t xml:space="preserve"> nëse po, nëse ai ka qenë mjekimi i duhur, duke marrë parasysh historikun e tij mjekësor (shih paragrafin 17 më sipër). Për këtë arsye, </w:t>
      </w:r>
      <w:r w:rsidR="00CF3F54" w:rsidRPr="009232AD">
        <w:rPr>
          <w:rFonts w:ascii="Garamond" w:hAnsi="Garamond"/>
          <w:sz w:val="24"/>
          <w:szCs w:val="24"/>
        </w:rPr>
        <w:t>g</w:t>
      </w:r>
      <w:r w:rsidRPr="009232AD">
        <w:rPr>
          <w:rFonts w:ascii="Garamond" w:hAnsi="Garamond"/>
          <w:sz w:val="24"/>
          <w:szCs w:val="24"/>
        </w:rPr>
        <w:t xml:space="preserve">jykata nuk është e bindur nëse përcaktohet përtej çdo dyshimi të arsyeshëm se vdekja e </w:t>
      </w:r>
      <w:r w:rsidR="004F0976">
        <w:rPr>
          <w:rFonts w:ascii="Garamond" w:hAnsi="Garamond"/>
          <w:sz w:val="24"/>
          <w:szCs w:val="24"/>
        </w:rPr>
        <w:t>SH.P.</w:t>
      </w:r>
      <w:r w:rsidRPr="009232AD">
        <w:rPr>
          <w:rFonts w:ascii="Garamond" w:hAnsi="Garamond"/>
          <w:sz w:val="24"/>
          <w:szCs w:val="24"/>
        </w:rPr>
        <w:t xml:space="preserve"> ka ardhur si rezultat i sëmundjes së tij dhe jo për shkak të trajtimit dhe kujdesit të papërshtatshëm. Gjithashtu, hetimi nuk adreson pretendimet për prangosjen e vëllait të kërkuesit gjatë qëndrimit të tij në spital dhe</w:t>
      </w:r>
      <w:r w:rsidR="00363264">
        <w:rPr>
          <w:rFonts w:ascii="Garamond" w:hAnsi="Garamond"/>
          <w:sz w:val="24"/>
          <w:szCs w:val="24"/>
        </w:rPr>
        <w:t>,</w:t>
      </w:r>
      <w:r w:rsidRPr="009232AD">
        <w:rPr>
          <w:rFonts w:ascii="Garamond" w:hAnsi="Garamond"/>
          <w:sz w:val="24"/>
          <w:szCs w:val="24"/>
        </w:rPr>
        <w:t xml:space="preserve"> nëse një masë e tillë ka çuar në vdekjen e tij, duke marrë në konsideratë</w:t>
      </w:r>
      <w:r w:rsidR="00D9243C">
        <w:rPr>
          <w:rFonts w:ascii="Garamond" w:hAnsi="Garamond"/>
          <w:sz w:val="24"/>
          <w:szCs w:val="24"/>
        </w:rPr>
        <w:t>,</w:t>
      </w:r>
      <w:r w:rsidRPr="009232AD">
        <w:rPr>
          <w:rFonts w:ascii="Garamond" w:hAnsi="Garamond"/>
          <w:sz w:val="24"/>
          <w:szCs w:val="24"/>
        </w:rPr>
        <w:t xml:space="preserve"> veçanërisht</w:t>
      </w:r>
      <w:r w:rsidR="00D9243C">
        <w:rPr>
          <w:rFonts w:ascii="Garamond" w:hAnsi="Garamond"/>
          <w:sz w:val="24"/>
          <w:szCs w:val="24"/>
        </w:rPr>
        <w:t>,</w:t>
      </w:r>
      <w:r w:rsidRPr="009232AD">
        <w:rPr>
          <w:rFonts w:ascii="Garamond" w:hAnsi="Garamond"/>
          <w:sz w:val="24"/>
          <w:szCs w:val="24"/>
        </w:rPr>
        <w:t xml:space="preserve"> natyrën e kushteve të tij mjekësore.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50. Së dyti, </w:t>
      </w:r>
      <w:r w:rsidR="00CF3F54" w:rsidRPr="009232AD">
        <w:rPr>
          <w:rFonts w:ascii="Garamond" w:hAnsi="Garamond"/>
          <w:sz w:val="24"/>
          <w:szCs w:val="24"/>
        </w:rPr>
        <w:t>g</w:t>
      </w:r>
      <w:r w:rsidRPr="009232AD">
        <w:rPr>
          <w:rFonts w:ascii="Garamond" w:hAnsi="Garamond"/>
          <w:sz w:val="24"/>
          <w:szCs w:val="24"/>
        </w:rPr>
        <w:t xml:space="preserve">jykata vëren se vendimi i prokurorisë së datës 13 </w:t>
      </w:r>
      <w:r w:rsidR="00D9243C" w:rsidRPr="009232AD">
        <w:rPr>
          <w:rFonts w:ascii="Garamond" w:hAnsi="Garamond"/>
          <w:sz w:val="24"/>
          <w:szCs w:val="24"/>
        </w:rPr>
        <w:t xml:space="preserve">prill </w:t>
      </w:r>
      <w:r w:rsidRPr="009232AD">
        <w:rPr>
          <w:rFonts w:ascii="Garamond" w:hAnsi="Garamond"/>
          <w:sz w:val="24"/>
          <w:szCs w:val="24"/>
        </w:rPr>
        <w:t>2011, për mosfillimin e një hetimi</w:t>
      </w:r>
      <w:r w:rsidR="00D9243C">
        <w:rPr>
          <w:rFonts w:ascii="Garamond" w:hAnsi="Garamond"/>
          <w:sz w:val="24"/>
          <w:szCs w:val="24"/>
        </w:rPr>
        <w:t>,</w:t>
      </w:r>
      <w:r w:rsidRPr="009232AD">
        <w:rPr>
          <w:rFonts w:ascii="Garamond" w:hAnsi="Garamond"/>
          <w:sz w:val="24"/>
          <w:szCs w:val="24"/>
        </w:rPr>
        <w:t xml:space="preserve"> është marrë kryesisht mbështetur në të njëjtin ekzaminim mjekësor. Përcaktimi se ekzaminimi mjekësor nuk jep përgjigje për disa pyetje thelbësore, më konkretisht</w:t>
      </w:r>
      <w:r w:rsidR="00D9243C">
        <w:rPr>
          <w:rFonts w:ascii="Garamond" w:hAnsi="Garamond"/>
          <w:sz w:val="24"/>
          <w:szCs w:val="24"/>
        </w:rPr>
        <w:t>,</w:t>
      </w:r>
      <w:r w:rsidRPr="009232AD">
        <w:rPr>
          <w:rFonts w:ascii="Garamond" w:hAnsi="Garamond"/>
          <w:sz w:val="24"/>
          <w:szCs w:val="24"/>
        </w:rPr>
        <w:t xml:space="preserve"> nëse është ofruar trajtimi i duhur mjekësor dhe nëse kushtet e kërkuesit në spital kanë çuar në vdekjen e tij, </w:t>
      </w:r>
      <w:r w:rsidR="00CF3F54" w:rsidRPr="009232AD">
        <w:rPr>
          <w:rFonts w:ascii="Garamond" w:hAnsi="Garamond"/>
          <w:sz w:val="24"/>
          <w:szCs w:val="24"/>
        </w:rPr>
        <w:t>g</w:t>
      </w:r>
      <w:r w:rsidRPr="009232AD">
        <w:rPr>
          <w:rFonts w:ascii="Garamond" w:hAnsi="Garamond"/>
          <w:sz w:val="24"/>
          <w:szCs w:val="24"/>
        </w:rPr>
        <w:t xml:space="preserve">jykata nuk është e bindur me vendimin marrë nga </w:t>
      </w:r>
      <w:r w:rsidR="00D9243C" w:rsidRPr="009232AD">
        <w:rPr>
          <w:rFonts w:ascii="Garamond" w:hAnsi="Garamond"/>
          <w:sz w:val="24"/>
          <w:szCs w:val="24"/>
        </w:rPr>
        <w:t xml:space="preserve">Prokuroria </w:t>
      </w:r>
      <w:r w:rsidRPr="009232AD">
        <w:rPr>
          <w:rFonts w:ascii="Garamond" w:hAnsi="Garamond"/>
          <w:sz w:val="24"/>
          <w:szCs w:val="24"/>
        </w:rPr>
        <w:t xml:space="preserve">e Tiranës për mosngritje të akuzave apo edhe për moshapjen formale të një hetimi penal; është në respektim të detyrimit procedural parashikuar në </w:t>
      </w:r>
      <w:r w:rsidR="00D9243C" w:rsidRPr="009232AD">
        <w:rPr>
          <w:rFonts w:ascii="Garamond" w:hAnsi="Garamond"/>
          <w:sz w:val="24"/>
          <w:szCs w:val="24"/>
        </w:rPr>
        <w:t xml:space="preserve">nenin </w:t>
      </w:r>
      <w:r w:rsidRPr="009232AD">
        <w:rPr>
          <w:rFonts w:ascii="Garamond" w:hAnsi="Garamond"/>
          <w:sz w:val="24"/>
          <w:szCs w:val="24"/>
        </w:rPr>
        <w:t xml:space="preserve">2 të Konventës.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51. Së treti, </w:t>
      </w:r>
      <w:r w:rsidR="00CF3F54" w:rsidRPr="009232AD">
        <w:rPr>
          <w:rFonts w:ascii="Garamond" w:hAnsi="Garamond"/>
          <w:sz w:val="24"/>
          <w:szCs w:val="24"/>
        </w:rPr>
        <w:t>g</w:t>
      </w:r>
      <w:r w:rsidRPr="009232AD">
        <w:rPr>
          <w:rFonts w:ascii="Garamond" w:hAnsi="Garamond"/>
          <w:sz w:val="24"/>
          <w:szCs w:val="24"/>
        </w:rPr>
        <w:t>jykata vëren se pavarësisht përpjekjeve të kërkuesit për ta kundërshtuar atë vendim, ankesat e tij u rrëzuan nga gjykatat vend</w:t>
      </w:r>
      <w:r w:rsidR="007E5C49">
        <w:rPr>
          <w:rFonts w:ascii="Garamond" w:hAnsi="Garamond"/>
          <w:sz w:val="24"/>
          <w:szCs w:val="24"/>
        </w:rPr>
        <w:t>ë</w:t>
      </w:r>
      <w:r w:rsidRPr="009232AD">
        <w:rPr>
          <w:rFonts w:ascii="Garamond" w:hAnsi="Garamond"/>
          <w:sz w:val="24"/>
          <w:szCs w:val="24"/>
        </w:rPr>
        <w:t>se (shih paragrafët 18</w:t>
      </w:r>
      <w:r w:rsidR="007E5C49">
        <w:rPr>
          <w:rFonts w:ascii="Garamond" w:hAnsi="Garamond"/>
          <w:sz w:val="24"/>
          <w:szCs w:val="24"/>
        </w:rPr>
        <w:t>–</w:t>
      </w:r>
      <w:r w:rsidRPr="009232AD">
        <w:rPr>
          <w:rFonts w:ascii="Garamond" w:hAnsi="Garamond"/>
          <w:sz w:val="24"/>
          <w:szCs w:val="24"/>
        </w:rPr>
        <w:t xml:space="preserve">21 më sipër). Gjykata edhe një herë përsërit se i afërmi i viktimës duhet të përfshihet në procedurë deri në masën e nevojshme për të </w:t>
      </w:r>
      <w:r w:rsidRPr="009232AD">
        <w:rPr>
          <w:rFonts w:ascii="Garamond" w:hAnsi="Garamond"/>
          <w:sz w:val="24"/>
          <w:szCs w:val="24"/>
        </w:rPr>
        <w:lastRenderedPageBreak/>
        <w:t xml:space="preserve">mbrojtur interesat e tij/saj legjitimë (shih </w:t>
      </w:r>
      <w:r w:rsidRPr="007E5C49">
        <w:rPr>
          <w:rFonts w:ascii="Garamond" w:hAnsi="Garamond"/>
          <w:i/>
          <w:sz w:val="24"/>
          <w:szCs w:val="24"/>
        </w:rPr>
        <w:t>Mustafayev kundër Azerbajxhanit</w:t>
      </w:r>
      <w:r w:rsidRPr="009232AD">
        <w:rPr>
          <w:rFonts w:ascii="Garamond" w:hAnsi="Garamond"/>
          <w:sz w:val="24"/>
          <w:szCs w:val="24"/>
        </w:rPr>
        <w:t xml:space="preserve">, cituar më sipër, § 72). </w:t>
      </w:r>
      <w:r w:rsidR="00CF3F54" w:rsidRPr="009232AD">
        <w:rPr>
          <w:rFonts w:ascii="Garamond" w:hAnsi="Garamond"/>
          <w:sz w:val="24"/>
          <w:szCs w:val="24"/>
        </w:rPr>
        <w:t>g</w:t>
      </w:r>
      <w:r w:rsidRPr="009232AD">
        <w:rPr>
          <w:rFonts w:ascii="Garamond" w:hAnsi="Garamond"/>
          <w:sz w:val="24"/>
          <w:szCs w:val="24"/>
        </w:rPr>
        <w:t xml:space="preserve">jykata, në shumë raste, ka theksuar se përfshirja e të afërmit të shërben për të garantuar llogaridhënien publike të autoriteteve dhe kontrollin publik të veprimeve të tyre gjatë hetimit. E drejta e familjes së të ndjerit, vdekja e të cilit është nën hetim, për të marrë pjesë në procedime, kërkon që procedura e miratuar të garantojë mbrojtjen e nevojshme të </w:t>
      </w:r>
      <w:r w:rsidR="00A85824" w:rsidRPr="009232AD">
        <w:rPr>
          <w:rFonts w:ascii="Garamond" w:hAnsi="Garamond"/>
          <w:sz w:val="24"/>
          <w:szCs w:val="24"/>
        </w:rPr>
        <w:t>interesit</w:t>
      </w:r>
      <w:r w:rsidRPr="009232AD">
        <w:rPr>
          <w:rFonts w:ascii="Garamond" w:hAnsi="Garamond"/>
          <w:sz w:val="24"/>
          <w:szCs w:val="24"/>
        </w:rPr>
        <w:t xml:space="preserve"> të tyre, i cili mund të jetë në konflikt të drejtpërdrejtë me interesin e policisë ose forcave të sigurisë të përfshirë në ngjarje (shih </w:t>
      </w:r>
      <w:r w:rsidRPr="00A85824">
        <w:rPr>
          <w:rFonts w:ascii="Garamond" w:hAnsi="Garamond"/>
          <w:i/>
          <w:sz w:val="24"/>
          <w:szCs w:val="24"/>
        </w:rPr>
        <w:t>Anusca kundër Moldavisë</w:t>
      </w:r>
      <w:r w:rsidRPr="009232AD">
        <w:rPr>
          <w:rFonts w:ascii="Garamond" w:hAnsi="Garamond"/>
          <w:sz w:val="24"/>
          <w:szCs w:val="24"/>
        </w:rPr>
        <w:t xml:space="preserve">, inr. 24034/07, § 44, 18 </w:t>
      </w:r>
      <w:r w:rsidR="00A85824" w:rsidRPr="009232AD">
        <w:rPr>
          <w:rFonts w:ascii="Garamond" w:hAnsi="Garamond"/>
          <w:sz w:val="24"/>
          <w:szCs w:val="24"/>
        </w:rPr>
        <w:t xml:space="preserve">maj </w:t>
      </w:r>
      <w:r w:rsidRPr="009232AD">
        <w:rPr>
          <w:rFonts w:ascii="Garamond" w:hAnsi="Garamond"/>
          <w:sz w:val="24"/>
          <w:szCs w:val="24"/>
        </w:rPr>
        <w:t>2010). Pamundësia statutore në çështjen në fjalë, në mënyrë që kërkuesi të kundërshtojë në mënyrë efikase vendimin e prokurorit për mosfillimin e procedimeve penale</w:t>
      </w:r>
      <w:r w:rsidR="00A85824">
        <w:rPr>
          <w:rFonts w:ascii="Garamond" w:hAnsi="Garamond"/>
          <w:sz w:val="24"/>
          <w:szCs w:val="24"/>
        </w:rPr>
        <w:t>,</w:t>
      </w:r>
      <w:r w:rsidRPr="009232AD">
        <w:rPr>
          <w:rFonts w:ascii="Garamond" w:hAnsi="Garamond"/>
          <w:sz w:val="24"/>
          <w:szCs w:val="24"/>
        </w:rPr>
        <w:t xml:space="preserve"> nuk është në linjë me detyrimin e </w:t>
      </w:r>
      <w:r w:rsidR="00A85824" w:rsidRPr="009232AD">
        <w:rPr>
          <w:rFonts w:ascii="Garamond" w:hAnsi="Garamond"/>
          <w:sz w:val="24"/>
          <w:szCs w:val="24"/>
        </w:rPr>
        <w:t xml:space="preserve">shtetit </w:t>
      </w:r>
      <w:r w:rsidRPr="009232AD">
        <w:rPr>
          <w:rFonts w:ascii="Garamond" w:hAnsi="Garamond"/>
          <w:sz w:val="24"/>
          <w:szCs w:val="24"/>
        </w:rPr>
        <w:t xml:space="preserve">për të kryer një hetim efektiv.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52. Në këtë mënyrë, </w:t>
      </w:r>
      <w:r w:rsidR="00CF3F54" w:rsidRPr="009232AD">
        <w:rPr>
          <w:rFonts w:ascii="Garamond" w:hAnsi="Garamond"/>
          <w:sz w:val="24"/>
          <w:szCs w:val="24"/>
        </w:rPr>
        <w:t>g</w:t>
      </w:r>
      <w:r w:rsidRPr="009232AD">
        <w:rPr>
          <w:rFonts w:ascii="Garamond" w:hAnsi="Garamond"/>
          <w:sz w:val="24"/>
          <w:szCs w:val="24"/>
        </w:rPr>
        <w:t xml:space="preserve">jykata rrëzon kundërshtimin paraprak të </w:t>
      </w:r>
      <w:r w:rsidR="00A85824" w:rsidRPr="009232AD">
        <w:rPr>
          <w:rFonts w:ascii="Garamond" w:hAnsi="Garamond"/>
          <w:sz w:val="24"/>
          <w:szCs w:val="24"/>
        </w:rPr>
        <w:t>qeverisë</w:t>
      </w:r>
      <w:r w:rsidRPr="009232AD">
        <w:rPr>
          <w:rFonts w:ascii="Garamond" w:hAnsi="Garamond"/>
          <w:sz w:val="24"/>
          <w:szCs w:val="24"/>
        </w:rPr>
        <w:t>. Mangësitë e përshkruara më sipër</w:t>
      </w:r>
      <w:r w:rsidR="00A85824">
        <w:rPr>
          <w:rFonts w:ascii="Garamond" w:hAnsi="Garamond"/>
          <w:sz w:val="24"/>
          <w:szCs w:val="24"/>
        </w:rPr>
        <w:t>,</w:t>
      </w:r>
      <w:r w:rsidRPr="009232AD">
        <w:rPr>
          <w:rFonts w:ascii="Garamond" w:hAnsi="Garamond"/>
          <w:sz w:val="24"/>
          <w:szCs w:val="24"/>
        </w:rPr>
        <w:t xml:space="preserve"> e çojnë </w:t>
      </w:r>
      <w:r w:rsidR="00CF3F54" w:rsidRPr="009232AD">
        <w:rPr>
          <w:rFonts w:ascii="Garamond" w:hAnsi="Garamond"/>
          <w:sz w:val="24"/>
          <w:szCs w:val="24"/>
        </w:rPr>
        <w:t>g</w:t>
      </w:r>
      <w:r w:rsidRPr="009232AD">
        <w:rPr>
          <w:rFonts w:ascii="Garamond" w:hAnsi="Garamond"/>
          <w:sz w:val="24"/>
          <w:szCs w:val="24"/>
        </w:rPr>
        <w:t>jykatën në konkluzionin se autoritetet vend</w:t>
      </w:r>
      <w:r w:rsidR="00A85824">
        <w:rPr>
          <w:rFonts w:ascii="Garamond" w:hAnsi="Garamond"/>
          <w:sz w:val="24"/>
          <w:szCs w:val="24"/>
        </w:rPr>
        <w:t>ë</w:t>
      </w:r>
      <w:r w:rsidRPr="009232AD">
        <w:rPr>
          <w:rFonts w:ascii="Garamond" w:hAnsi="Garamond"/>
          <w:sz w:val="24"/>
          <w:szCs w:val="24"/>
        </w:rPr>
        <w:t xml:space="preserve">se nuk kanë kryer një hetim të përshtatshëm dhe efikas në rrethanat që kanë të bëjnë me vdekjen e vëllait të kërkuesit. Për këtë arsye, ka pasur një shkelje të detyrimit procedural </w:t>
      </w:r>
      <w:r w:rsidR="00A85824" w:rsidRPr="009232AD">
        <w:rPr>
          <w:rFonts w:ascii="Garamond" w:hAnsi="Garamond"/>
          <w:sz w:val="24"/>
          <w:szCs w:val="24"/>
        </w:rPr>
        <w:t>shtetëror</w:t>
      </w:r>
      <w:r w:rsidR="00A85824">
        <w:rPr>
          <w:rFonts w:ascii="Garamond" w:hAnsi="Garamond"/>
          <w:sz w:val="24"/>
          <w:szCs w:val="24"/>
        </w:rPr>
        <w:t>,</w:t>
      </w:r>
      <w:r w:rsidR="00A85824" w:rsidRPr="009232AD">
        <w:rPr>
          <w:rFonts w:ascii="Garamond" w:hAnsi="Garamond"/>
          <w:sz w:val="24"/>
          <w:szCs w:val="24"/>
        </w:rPr>
        <w:t xml:space="preserve"> </w:t>
      </w:r>
      <w:r w:rsidRPr="009232AD">
        <w:rPr>
          <w:rFonts w:ascii="Garamond" w:hAnsi="Garamond"/>
          <w:sz w:val="24"/>
          <w:szCs w:val="24"/>
        </w:rPr>
        <w:t xml:space="preserve">sipas </w:t>
      </w:r>
      <w:r w:rsidR="00A85824" w:rsidRPr="009232AD">
        <w:rPr>
          <w:rFonts w:ascii="Garamond" w:hAnsi="Garamond"/>
          <w:sz w:val="24"/>
          <w:szCs w:val="24"/>
        </w:rPr>
        <w:t xml:space="preserve">nenit </w:t>
      </w:r>
      <w:r w:rsidRPr="009232AD">
        <w:rPr>
          <w:rFonts w:ascii="Garamond" w:hAnsi="Garamond"/>
          <w:sz w:val="24"/>
          <w:szCs w:val="24"/>
        </w:rPr>
        <w:t>2</w:t>
      </w:r>
      <w:r w:rsidR="00A85824">
        <w:rPr>
          <w:rFonts w:ascii="Garamond" w:hAnsi="Garamond"/>
          <w:sz w:val="24"/>
          <w:szCs w:val="24"/>
        </w:rPr>
        <w:t>,</w:t>
      </w:r>
      <w:r w:rsidRPr="009232AD">
        <w:rPr>
          <w:rFonts w:ascii="Garamond" w:hAnsi="Garamond"/>
          <w:sz w:val="24"/>
          <w:szCs w:val="24"/>
        </w:rPr>
        <w:t xml:space="preserve"> për të mbrojtur të drejtën për të jetuar.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III. </w:t>
      </w:r>
      <w:r w:rsidR="00DA36D6" w:rsidRPr="009232AD">
        <w:rPr>
          <w:rFonts w:ascii="Garamond" w:hAnsi="Garamond"/>
          <w:sz w:val="24"/>
          <w:szCs w:val="24"/>
        </w:rPr>
        <w:t>SHKELJE E PRETENDUAR E NENIT 3 TË KONVENTËS</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53. Kërkuesi u ankua se teksa ishte i ndaluar, vëllai i tij i është nënshtruar një forme trajtimi e cila është në kundërshtim me </w:t>
      </w:r>
      <w:r w:rsidR="001E4259" w:rsidRPr="009232AD">
        <w:rPr>
          <w:rFonts w:ascii="Garamond" w:hAnsi="Garamond"/>
          <w:sz w:val="24"/>
          <w:szCs w:val="24"/>
        </w:rPr>
        <w:t xml:space="preserve">nenin </w:t>
      </w:r>
      <w:r w:rsidRPr="009232AD">
        <w:rPr>
          <w:rFonts w:ascii="Garamond" w:hAnsi="Garamond"/>
          <w:sz w:val="24"/>
          <w:szCs w:val="24"/>
        </w:rPr>
        <w:t xml:space="preserve">3 të Konventës, i cili parashikon si më poshtë: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 </w:t>
      </w:r>
      <w:r w:rsidR="00DA36D6" w:rsidRPr="009232AD">
        <w:rPr>
          <w:rFonts w:ascii="Garamond" w:hAnsi="Garamond"/>
          <w:sz w:val="24"/>
          <w:szCs w:val="24"/>
        </w:rPr>
        <w:t>“Askush nuk mund t’</w:t>
      </w:r>
      <w:r w:rsidR="009279C5">
        <w:rPr>
          <w:rFonts w:ascii="Garamond" w:hAnsi="Garamond"/>
          <w:sz w:val="24"/>
          <w:szCs w:val="24"/>
        </w:rPr>
        <w:t>i</w:t>
      </w:r>
      <w:r w:rsidR="00DA36D6" w:rsidRPr="009232AD">
        <w:rPr>
          <w:rFonts w:ascii="Garamond" w:hAnsi="Garamond"/>
          <w:sz w:val="24"/>
          <w:szCs w:val="24"/>
        </w:rPr>
        <w:t xml:space="preserve"> nënshtrohet torturës ose dënimeve</w:t>
      </w:r>
      <w:r w:rsidR="001E4259">
        <w:rPr>
          <w:rFonts w:ascii="Garamond" w:hAnsi="Garamond"/>
          <w:sz w:val="24"/>
          <w:szCs w:val="24"/>
        </w:rPr>
        <w:t>,</w:t>
      </w:r>
      <w:r w:rsidR="00DA36D6" w:rsidRPr="009232AD">
        <w:rPr>
          <w:rFonts w:ascii="Garamond" w:hAnsi="Garamond"/>
          <w:sz w:val="24"/>
          <w:szCs w:val="24"/>
        </w:rPr>
        <w:t xml:space="preserve"> ose trajtimeve çnjerëzore ose poshtëruese.”    </w:t>
      </w:r>
    </w:p>
    <w:p w:rsidR="00DA36D6" w:rsidRPr="009232AD" w:rsidRDefault="00DA36D6" w:rsidP="00DA36D6">
      <w:pPr>
        <w:spacing w:after="0" w:line="240" w:lineRule="auto"/>
        <w:ind w:firstLine="284"/>
        <w:jc w:val="both"/>
        <w:rPr>
          <w:rFonts w:ascii="Garamond" w:hAnsi="Garamond"/>
          <w:sz w:val="24"/>
          <w:szCs w:val="24"/>
        </w:rPr>
      </w:pPr>
      <w:r w:rsidRPr="003F44CA">
        <w:rPr>
          <w:rFonts w:ascii="Garamond" w:hAnsi="Garamond"/>
          <w:sz w:val="24"/>
          <w:szCs w:val="24"/>
        </w:rPr>
        <w:t>54. Gjithashtu, kërkuesi pretendonte se ai e kishte gjetur vëlla</w:t>
      </w:r>
      <w:r w:rsidR="003F44CA">
        <w:rPr>
          <w:rFonts w:ascii="Garamond" w:hAnsi="Garamond"/>
          <w:sz w:val="24"/>
          <w:szCs w:val="24"/>
        </w:rPr>
        <w:t>në</w:t>
      </w:r>
      <w:r w:rsidRPr="003F44CA">
        <w:rPr>
          <w:rFonts w:ascii="Garamond" w:hAnsi="Garamond"/>
          <w:sz w:val="24"/>
          <w:szCs w:val="24"/>
        </w:rPr>
        <w:t xml:space="preserve"> e tij në spital të lidhur me çarçafë</w:t>
      </w:r>
      <w:r w:rsidR="003F44CA">
        <w:rPr>
          <w:rFonts w:ascii="Garamond" w:hAnsi="Garamond"/>
          <w:sz w:val="24"/>
          <w:szCs w:val="24"/>
        </w:rPr>
        <w:t>,</w:t>
      </w:r>
      <w:r w:rsidRPr="003F44CA">
        <w:rPr>
          <w:rFonts w:ascii="Garamond" w:hAnsi="Garamond"/>
          <w:sz w:val="24"/>
          <w:szCs w:val="24"/>
        </w:rPr>
        <w:t xml:space="preserve"> teksa ishte pa ndjenja dhe se shenjat në kyçet e duarve të vëllait të tij ngrinin dyshime serioze se ai kishte qenë i prangosur ndërsa ishte në spital. Gjithashtu, rezultati i ekzaminimit mjekoligjor, në të</w:t>
      </w:r>
      <w:r w:rsidRPr="009232AD">
        <w:rPr>
          <w:rFonts w:ascii="Garamond" w:hAnsi="Garamond"/>
          <w:sz w:val="24"/>
          <w:szCs w:val="24"/>
        </w:rPr>
        <w:t xml:space="preserve"> cilin tregohej një mungesë mjekimesh në gjak, ngrinte dyshime nëse ai kishte marrë kujdesin e duhur mjekësor. Në lidhje me këtë gjë nuk u bënë hetime të tjera, pavarësisht një nënvizimi në raportin e ekzaminimit mjekoligjor se çështja duhej të hetohej më tej.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55. Qeveria kundërshtoi parashtrimin e kërkuesit. Ajo argumentoi se dosja hetimore tregonte se ishin marrë në konsideratë të gjitha masat</w:t>
      </w:r>
      <w:r w:rsidR="003F44CA">
        <w:rPr>
          <w:rFonts w:ascii="Garamond" w:hAnsi="Garamond"/>
          <w:sz w:val="24"/>
          <w:szCs w:val="24"/>
        </w:rPr>
        <w:t>,</w:t>
      </w:r>
      <w:r w:rsidRPr="009232AD">
        <w:rPr>
          <w:rFonts w:ascii="Garamond" w:hAnsi="Garamond"/>
          <w:sz w:val="24"/>
          <w:szCs w:val="24"/>
        </w:rPr>
        <w:t xml:space="preserve"> nëse vëllai i kërkuesit i ishte nënshtruar një keqtrajtimi. Provat tregonin se ai ishte mbajtur nën mbikëqyrje të vazhdueshme mjekësore. Në lidhje me pretendimin e kërkuesit se vëllai i tij ishte prangosur, Qeveria parashtroi se një gjë e tillë nuk mbështetej në prova.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56. Gjykata ka konstatuar se autoritetet nuk kanë përcaktuar në mënyrë të prerë shkakun e vdekjes së </w:t>
      </w:r>
      <w:r w:rsidR="004F0976">
        <w:rPr>
          <w:rFonts w:ascii="Garamond" w:hAnsi="Garamond"/>
          <w:sz w:val="24"/>
          <w:szCs w:val="24"/>
        </w:rPr>
        <w:t>SH.P.</w:t>
      </w:r>
      <w:r w:rsidRPr="009232AD">
        <w:rPr>
          <w:rFonts w:ascii="Garamond" w:hAnsi="Garamond"/>
          <w:sz w:val="24"/>
          <w:szCs w:val="24"/>
        </w:rPr>
        <w:t xml:space="preserve"> Gjithashtu, autoritetet nuk kanë dhënë një shpjegim të fortë në lidhje me dy të nxirat e gjetura në kyçet e duarve të </w:t>
      </w:r>
      <w:r w:rsidR="004F0976">
        <w:rPr>
          <w:rFonts w:ascii="Garamond" w:hAnsi="Garamond"/>
          <w:sz w:val="24"/>
          <w:szCs w:val="24"/>
        </w:rPr>
        <w:t>SH.P.</w:t>
      </w:r>
      <w:r w:rsidRPr="009232AD">
        <w:rPr>
          <w:rFonts w:ascii="Garamond" w:hAnsi="Garamond"/>
          <w:sz w:val="24"/>
          <w:szCs w:val="24"/>
        </w:rPr>
        <w:t xml:space="preserve"> dhe se nuk ka asnjë tregues se policia e burgut ose personeli i spitalit janë marrë në pyetje në lidhje me këtë çështje. Deklaratat e kërkuesit për policinë, së bashku me gjetjet e raportit mjekoligjor për të nxirat e konstatuara në trupin e vëllait të tij, çojnë në pretendimin e diskutueshëm se vëllai i kërkuesit mund të ketë qenë subjekt i një trajtimi</w:t>
      </w:r>
      <w:r w:rsidR="003F44CA">
        <w:rPr>
          <w:rFonts w:ascii="Garamond" w:hAnsi="Garamond"/>
          <w:sz w:val="24"/>
          <w:szCs w:val="24"/>
        </w:rPr>
        <w:t>,</w:t>
      </w:r>
      <w:r w:rsidRPr="009232AD">
        <w:rPr>
          <w:rFonts w:ascii="Garamond" w:hAnsi="Garamond"/>
          <w:sz w:val="24"/>
          <w:szCs w:val="24"/>
        </w:rPr>
        <w:t xml:space="preserve"> i cili vjen në kundërshtim me </w:t>
      </w:r>
      <w:r w:rsidR="003F44CA" w:rsidRPr="009232AD">
        <w:rPr>
          <w:rFonts w:ascii="Garamond" w:hAnsi="Garamond"/>
          <w:sz w:val="24"/>
          <w:szCs w:val="24"/>
        </w:rPr>
        <w:t xml:space="preserve">nenin </w:t>
      </w:r>
      <w:r w:rsidRPr="009232AD">
        <w:rPr>
          <w:rFonts w:ascii="Garamond" w:hAnsi="Garamond"/>
          <w:sz w:val="24"/>
          <w:szCs w:val="24"/>
        </w:rPr>
        <w:t>3, gjatë kohës që ishte në spital, duke nënvizuar kështu detyrimin e autoriteteve për të hetuar çështjen (</w:t>
      </w:r>
      <w:r w:rsidRPr="003F44CA">
        <w:rPr>
          <w:rFonts w:ascii="Garamond" w:hAnsi="Garamond"/>
          <w:i/>
          <w:sz w:val="24"/>
          <w:szCs w:val="24"/>
        </w:rPr>
        <w:t>Bouyid kundër Belgjikës</w:t>
      </w:r>
      <w:r w:rsidRPr="009232AD">
        <w:rPr>
          <w:rFonts w:ascii="Garamond" w:hAnsi="Garamond"/>
          <w:sz w:val="24"/>
          <w:szCs w:val="24"/>
        </w:rPr>
        <w:t xml:space="preserve"> [DHM], nr. 23380/09, § 92, GJEDNJ 2015).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57. Gjykata përsërit se prangosja nuk ng</w:t>
      </w:r>
      <w:r w:rsidR="008C446B">
        <w:rPr>
          <w:rFonts w:ascii="Garamond" w:hAnsi="Garamond"/>
          <w:sz w:val="24"/>
          <w:szCs w:val="24"/>
        </w:rPr>
        <w:t>r</w:t>
      </w:r>
      <w:r w:rsidRPr="009232AD">
        <w:rPr>
          <w:rFonts w:ascii="Garamond" w:hAnsi="Garamond"/>
          <w:sz w:val="24"/>
          <w:szCs w:val="24"/>
        </w:rPr>
        <w:t xml:space="preserve">e </w:t>
      </w:r>
      <w:r w:rsidR="00B16725" w:rsidRPr="009232AD">
        <w:rPr>
          <w:rFonts w:ascii="Garamond" w:hAnsi="Garamond"/>
          <w:sz w:val="24"/>
          <w:szCs w:val="24"/>
        </w:rPr>
        <w:t>domosdoshmërish</w:t>
      </w:r>
      <w:r w:rsidR="00B16725">
        <w:rPr>
          <w:rFonts w:ascii="Garamond" w:hAnsi="Garamond"/>
          <w:sz w:val="24"/>
          <w:szCs w:val="24"/>
        </w:rPr>
        <w:t>t</w:t>
      </w:r>
      <w:r w:rsidRPr="009232AD">
        <w:rPr>
          <w:rFonts w:ascii="Garamond" w:hAnsi="Garamond"/>
          <w:sz w:val="24"/>
          <w:szCs w:val="24"/>
        </w:rPr>
        <w:t xml:space="preserve"> një problematikë</w:t>
      </w:r>
      <w:r w:rsidR="008C446B">
        <w:rPr>
          <w:rFonts w:ascii="Garamond" w:hAnsi="Garamond"/>
          <w:sz w:val="24"/>
          <w:szCs w:val="24"/>
        </w:rPr>
        <w:t>,</w:t>
      </w:r>
      <w:r w:rsidRPr="009232AD">
        <w:rPr>
          <w:rFonts w:ascii="Garamond" w:hAnsi="Garamond"/>
          <w:sz w:val="24"/>
          <w:szCs w:val="24"/>
        </w:rPr>
        <w:t xml:space="preserve"> sipas </w:t>
      </w:r>
      <w:r w:rsidR="008C446B" w:rsidRPr="009232AD">
        <w:rPr>
          <w:rFonts w:ascii="Garamond" w:hAnsi="Garamond"/>
          <w:sz w:val="24"/>
          <w:szCs w:val="24"/>
        </w:rPr>
        <w:t xml:space="preserve">nenit </w:t>
      </w:r>
      <w:r w:rsidRPr="009232AD">
        <w:rPr>
          <w:rFonts w:ascii="Garamond" w:hAnsi="Garamond"/>
          <w:sz w:val="24"/>
          <w:szCs w:val="24"/>
        </w:rPr>
        <w:t xml:space="preserve">3 të Konventës, për aq kohë sa masa është ushtruar në lidhje me ndalimin e ligjshëm dhe nuk përbën përdorim të forcës apo ekspozim publik, i cili tejkalon atë çfarë konsiderohet në mënyrë të arsyeshme si e nevojshme. Në këtë aspekt, është e rëndësishme të merret në konsideratë, për shembull, nëse ka rrezik nëse personi në fjalë mund t’i fshihej drejtësisë ose të shkaktonte dëmtime ose dëme (shih </w:t>
      </w:r>
      <w:r w:rsidRPr="00E711FD">
        <w:rPr>
          <w:rFonts w:ascii="Garamond" w:hAnsi="Garamond"/>
          <w:i/>
          <w:sz w:val="24"/>
          <w:szCs w:val="24"/>
        </w:rPr>
        <w:t>Tarariyeva kundër Rusisë</w:t>
      </w:r>
      <w:r w:rsidRPr="009232AD">
        <w:rPr>
          <w:rFonts w:ascii="Garamond" w:hAnsi="Garamond"/>
          <w:sz w:val="24"/>
          <w:szCs w:val="24"/>
        </w:rPr>
        <w:t xml:space="preserve">, nr. 4353/03, § 109, GJEDNJ 2006-XV (ekstrakte). Në çështjen në fjalë, raporti mjekoligjor thjesht përmendte ekzistencën e shenjave dhe faktin se ato ishin shkaktuar nga një objekt i mprehtë në trupin e vëllait të kërkuesit. Megjithatë, autoritetet nuk kanë </w:t>
      </w:r>
      <w:r w:rsidRPr="009232AD">
        <w:rPr>
          <w:rFonts w:ascii="Garamond" w:hAnsi="Garamond"/>
          <w:sz w:val="24"/>
          <w:szCs w:val="24"/>
        </w:rPr>
        <w:lastRenderedPageBreak/>
        <w:t xml:space="preserve">bërë hetime të mëtejshme në lidhje me faktin nëse vëllai i kërkuesit i është nënshtruar ndonjë forme keqtrajtimi (shih paragrafin 17 më sipër). Për më tepër, në lidhje me këtë aspekt nuk u bënë hetime të mëtejshme. Në këtë mënyrë, </w:t>
      </w:r>
      <w:r w:rsidR="00CF3F54" w:rsidRPr="009232AD">
        <w:rPr>
          <w:rFonts w:ascii="Garamond" w:hAnsi="Garamond"/>
          <w:sz w:val="24"/>
          <w:szCs w:val="24"/>
        </w:rPr>
        <w:t>g</w:t>
      </w:r>
      <w:r w:rsidRPr="009232AD">
        <w:rPr>
          <w:rFonts w:ascii="Garamond" w:hAnsi="Garamond"/>
          <w:sz w:val="24"/>
          <w:szCs w:val="24"/>
        </w:rPr>
        <w:t>jykata konstaton se autoritetet vend</w:t>
      </w:r>
      <w:r w:rsidR="00E711FD">
        <w:rPr>
          <w:rFonts w:ascii="Garamond" w:hAnsi="Garamond"/>
          <w:sz w:val="24"/>
          <w:szCs w:val="24"/>
        </w:rPr>
        <w:t>ë</w:t>
      </w:r>
      <w:r w:rsidRPr="009232AD">
        <w:rPr>
          <w:rFonts w:ascii="Garamond" w:hAnsi="Garamond"/>
          <w:sz w:val="24"/>
          <w:szCs w:val="24"/>
        </w:rPr>
        <w:t>se nuk kanë marrë mjaftueshëm masa hetimore për të përcaktuar përtej çdo dyshimi të arsyeshëm</w:t>
      </w:r>
      <w:r w:rsidR="00E711FD">
        <w:rPr>
          <w:rFonts w:ascii="Garamond" w:hAnsi="Garamond"/>
          <w:sz w:val="24"/>
          <w:szCs w:val="24"/>
        </w:rPr>
        <w:t>,</w:t>
      </w:r>
      <w:r w:rsidRPr="009232AD">
        <w:rPr>
          <w:rFonts w:ascii="Garamond" w:hAnsi="Garamond"/>
          <w:sz w:val="24"/>
          <w:szCs w:val="24"/>
        </w:rPr>
        <w:t xml:space="preserve"> nëse të nxirat në kyçet e duarve të vëllait të kërkuesit ishin shkaktuar nga trajtimi</w:t>
      </w:r>
      <w:r w:rsidR="00287D96">
        <w:rPr>
          <w:rFonts w:ascii="Garamond" w:hAnsi="Garamond"/>
          <w:sz w:val="24"/>
          <w:szCs w:val="24"/>
        </w:rPr>
        <w:t>,</w:t>
      </w:r>
      <w:r w:rsidRPr="009232AD">
        <w:rPr>
          <w:rFonts w:ascii="Garamond" w:hAnsi="Garamond"/>
          <w:sz w:val="24"/>
          <w:szCs w:val="24"/>
        </w:rPr>
        <w:t xml:space="preserve"> i cili bie në kundërshtim me </w:t>
      </w:r>
      <w:r w:rsidR="00287D96" w:rsidRPr="009232AD">
        <w:rPr>
          <w:rFonts w:ascii="Garamond" w:hAnsi="Garamond"/>
          <w:sz w:val="24"/>
          <w:szCs w:val="24"/>
        </w:rPr>
        <w:t xml:space="preserve">nenin </w:t>
      </w:r>
      <w:r w:rsidRPr="009232AD">
        <w:rPr>
          <w:rFonts w:ascii="Garamond" w:hAnsi="Garamond"/>
          <w:sz w:val="24"/>
          <w:szCs w:val="24"/>
        </w:rPr>
        <w:t xml:space="preserve">3 të Konventës. Në këto rrethana, </w:t>
      </w:r>
      <w:r w:rsidR="00CF3F54" w:rsidRPr="009232AD">
        <w:rPr>
          <w:rFonts w:ascii="Garamond" w:hAnsi="Garamond"/>
          <w:sz w:val="24"/>
          <w:szCs w:val="24"/>
        </w:rPr>
        <w:t>g</w:t>
      </w:r>
      <w:r w:rsidRPr="009232AD">
        <w:rPr>
          <w:rFonts w:ascii="Garamond" w:hAnsi="Garamond"/>
          <w:sz w:val="24"/>
          <w:szCs w:val="24"/>
        </w:rPr>
        <w:t xml:space="preserve">jykata e ka të pamundur të arrijë në përfundimin nëse ka pasur një shkelje të qartë të </w:t>
      </w:r>
      <w:r w:rsidR="00287D96" w:rsidRPr="009232AD">
        <w:rPr>
          <w:rFonts w:ascii="Garamond" w:hAnsi="Garamond"/>
          <w:sz w:val="24"/>
          <w:szCs w:val="24"/>
        </w:rPr>
        <w:t xml:space="preserve">nenit </w:t>
      </w:r>
      <w:r w:rsidRPr="009232AD">
        <w:rPr>
          <w:rFonts w:ascii="Garamond" w:hAnsi="Garamond"/>
          <w:sz w:val="24"/>
          <w:szCs w:val="24"/>
        </w:rPr>
        <w:t xml:space="preserve">3.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58. Në analizën përfundimtare, </w:t>
      </w:r>
      <w:r w:rsidR="00CF3F54" w:rsidRPr="009232AD">
        <w:rPr>
          <w:rFonts w:ascii="Garamond" w:hAnsi="Garamond"/>
          <w:sz w:val="24"/>
          <w:szCs w:val="24"/>
        </w:rPr>
        <w:t>g</w:t>
      </w:r>
      <w:r w:rsidRPr="009232AD">
        <w:rPr>
          <w:rFonts w:ascii="Garamond" w:hAnsi="Garamond"/>
          <w:sz w:val="24"/>
          <w:szCs w:val="24"/>
        </w:rPr>
        <w:t xml:space="preserve">jykata merr në konsideratë se autoritetet nuk kanë mundur të kryejnë një hetim efikas për të përcaktuar nëse vëllai i kërkuesit ka qenë subjekt i keqtrajtimit teksa ishte i ndaluar. Në këtë mënyrë, në lidhje me këtë aspekt, ka pasur një shkelje të </w:t>
      </w:r>
      <w:r w:rsidR="00287D96" w:rsidRPr="009232AD">
        <w:rPr>
          <w:rFonts w:ascii="Garamond" w:hAnsi="Garamond"/>
          <w:sz w:val="24"/>
          <w:szCs w:val="24"/>
        </w:rPr>
        <w:t xml:space="preserve">nenit </w:t>
      </w:r>
      <w:r w:rsidRPr="009232AD">
        <w:rPr>
          <w:rFonts w:ascii="Garamond" w:hAnsi="Garamond"/>
          <w:sz w:val="24"/>
          <w:szCs w:val="24"/>
        </w:rPr>
        <w:t>3 të Konventës</w:t>
      </w:r>
      <w:r w:rsidR="00287D96">
        <w:rPr>
          <w:rFonts w:ascii="Garamond" w:hAnsi="Garamond"/>
          <w:sz w:val="24"/>
          <w:szCs w:val="24"/>
        </w:rPr>
        <w:t>,</w:t>
      </w:r>
      <w:r w:rsidRPr="009232AD">
        <w:rPr>
          <w:rFonts w:ascii="Garamond" w:hAnsi="Garamond"/>
          <w:sz w:val="24"/>
          <w:szCs w:val="24"/>
        </w:rPr>
        <w:t xml:space="preserve"> sipas aspektit të tij procedural.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IV. </w:t>
      </w:r>
      <w:r w:rsidR="00DA36D6" w:rsidRPr="009232AD">
        <w:rPr>
          <w:rFonts w:ascii="Garamond" w:hAnsi="Garamond"/>
          <w:sz w:val="24"/>
          <w:szCs w:val="24"/>
        </w:rPr>
        <w:t>SHKELJE E PRETENDUAR E NENIT 13 TË KONVENTËS</w:t>
      </w:r>
      <w:r w:rsidR="00287D96">
        <w:rPr>
          <w:rFonts w:ascii="Garamond" w:hAnsi="Garamond"/>
          <w:sz w:val="24"/>
          <w:szCs w:val="24"/>
        </w:rPr>
        <w:t>,</w:t>
      </w:r>
      <w:r w:rsidR="00DA36D6" w:rsidRPr="009232AD">
        <w:rPr>
          <w:rFonts w:ascii="Garamond" w:hAnsi="Garamond"/>
          <w:sz w:val="24"/>
          <w:szCs w:val="24"/>
        </w:rPr>
        <w:t xml:space="preserve"> NË LIDHJE ME NENET 2 DHE 3 TË KONVENTËS</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59. Në vijim, kërkuesi u ankua se në sistemin vend</w:t>
      </w:r>
      <w:r w:rsidR="00141162">
        <w:rPr>
          <w:rFonts w:ascii="Garamond" w:hAnsi="Garamond"/>
          <w:sz w:val="24"/>
          <w:szCs w:val="24"/>
        </w:rPr>
        <w:t>ë</w:t>
      </w:r>
      <w:r w:rsidRPr="009232AD">
        <w:rPr>
          <w:rFonts w:ascii="Garamond" w:hAnsi="Garamond"/>
          <w:sz w:val="24"/>
          <w:szCs w:val="24"/>
        </w:rPr>
        <w:t xml:space="preserve">s nuk ka asnjë mjet efikas për ankesat e tij në mbështetje të </w:t>
      </w:r>
      <w:r w:rsidR="00141162" w:rsidRPr="009232AD">
        <w:rPr>
          <w:rFonts w:ascii="Garamond" w:hAnsi="Garamond"/>
          <w:sz w:val="24"/>
          <w:szCs w:val="24"/>
        </w:rPr>
        <w:t xml:space="preserve">neneve </w:t>
      </w:r>
      <w:r w:rsidRPr="009232AD">
        <w:rPr>
          <w:rFonts w:ascii="Garamond" w:hAnsi="Garamond"/>
          <w:sz w:val="24"/>
          <w:szCs w:val="24"/>
        </w:rPr>
        <w:t xml:space="preserve">2 dhe 3 të Konventës. Ai mbështetet në </w:t>
      </w:r>
      <w:r w:rsidR="00141162" w:rsidRPr="009232AD">
        <w:rPr>
          <w:rFonts w:ascii="Garamond" w:hAnsi="Garamond"/>
          <w:sz w:val="24"/>
          <w:szCs w:val="24"/>
        </w:rPr>
        <w:t xml:space="preserve">nenin </w:t>
      </w:r>
      <w:r w:rsidRPr="009232AD">
        <w:rPr>
          <w:rFonts w:ascii="Garamond" w:hAnsi="Garamond"/>
          <w:sz w:val="24"/>
          <w:szCs w:val="24"/>
        </w:rPr>
        <w:t>13 të Konventës, i cili parashikon si më poshtë:</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60. Kërkuesi pretendonte se edhe pse ai kishte paraqitur një ankesë ndaj vendimit të prokurorisë së Tiranës për mosfillimin e procedimit penal, </w:t>
      </w:r>
      <w:r w:rsidR="00CF3F54" w:rsidRPr="009232AD">
        <w:rPr>
          <w:rFonts w:ascii="Garamond" w:hAnsi="Garamond"/>
          <w:sz w:val="24"/>
          <w:szCs w:val="24"/>
        </w:rPr>
        <w:t xml:space="preserve">Gjykata </w:t>
      </w:r>
      <w:r w:rsidRPr="009232AD">
        <w:rPr>
          <w:rFonts w:ascii="Garamond" w:hAnsi="Garamond"/>
          <w:sz w:val="24"/>
          <w:szCs w:val="24"/>
        </w:rPr>
        <w:t xml:space="preserve">e Rrethit Tiranë e kishte kundërshtuar atë. Ai e kishte ndjekur rrugën deri në Gjykatën Kushtetuese, por pa asnjë rezultat. Ky është një tregues se mjetet që ai ka përdorur nuk kanë qenë efikase dhe se ai nuk ka pasur asnjë mjet tjetër të cilin sot ë mund ta kishte përdorur.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61. Qeveria e kundërshtoi këtë argument. Ajo pretendonte se kërkuesi kishte pasur mjete efikase në dispozicion të tij, por ai kishte zgjedhur të ndiqte rrugën e gabuar procedurale (shih paragrafët 19</w:t>
      </w:r>
      <w:r w:rsidR="00DB5152">
        <w:rPr>
          <w:rFonts w:ascii="Garamond" w:hAnsi="Garamond"/>
          <w:sz w:val="24"/>
          <w:szCs w:val="24"/>
        </w:rPr>
        <w:t>–</w:t>
      </w:r>
      <w:r w:rsidRPr="009232AD">
        <w:rPr>
          <w:rFonts w:ascii="Garamond" w:hAnsi="Garamond"/>
          <w:sz w:val="24"/>
          <w:szCs w:val="24"/>
        </w:rPr>
        <w:t xml:space="preserve">21 më sipër).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62. Gjykata vëren se kjo ankesë ka të bëjë me të njëjtat problematika si ato të shqyrtuara në </w:t>
      </w:r>
      <w:r w:rsidR="000A49FF" w:rsidRPr="009232AD">
        <w:rPr>
          <w:rFonts w:ascii="Garamond" w:hAnsi="Garamond"/>
          <w:sz w:val="24"/>
          <w:szCs w:val="24"/>
        </w:rPr>
        <w:t xml:space="preserve">nenet </w:t>
      </w:r>
      <w:r w:rsidRPr="009232AD">
        <w:rPr>
          <w:rFonts w:ascii="Garamond" w:hAnsi="Garamond"/>
          <w:sz w:val="24"/>
          <w:szCs w:val="24"/>
        </w:rPr>
        <w:t>2 dhe 3 të Konventës. Për këtë arsye, ankesa duhet të deklarohet e pranueshme. Megjithatë, në lidhje me përfundimet e saj më sipër</w:t>
      </w:r>
      <w:r w:rsidR="000A49FF">
        <w:rPr>
          <w:rFonts w:ascii="Garamond" w:hAnsi="Garamond"/>
          <w:sz w:val="24"/>
          <w:szCs w:val="24"/>
        </w:rPr>
        <w:t>,</w:t>
      </w:r>
      <w:r w:rsidRPr="009232AD">
        <w:rPr>
          <w:rFonts w:ascii="Garamond" w:hAnsi="Garamond"/>
          <w:sz w:val="24"/>
          <w:szCs w:val="24"/>
        </w:rPr>
        <w:t xml:space="preserve"> sipas </w:t>
      </w:r>
      <w:r w:rsidR="00DE53C8" w:rsidRPr="009232AD">
        <w:rPr>
          <w:rFonts w:ascii="Garamond" w:hAnsi="Garamond"/>
          <w:sz w:val="24"/>
          <w:szCs w:val="24"/>
        </w:rPr>
        <w:t xml:space="preserve">neneve </w:t>
      </w:r>
      <w:r w:rsidRPr="009232AD">
        <w:rPr>
          <w:rFonts w:ascii="Garamond" w:hAnsi="Garamond"/>
          <w:sz w:val="24"/>
          <w:szCs w:val="24"/>
        </w:rPr>
        <w:t xml:space="preserve">2 dhe 3 të Konventës, </w:t>
      </w:r>
      <w:r w:rsidR="00CF3F54" w:rsidRPr="009232AD">
        <w:rPr>
          <w:rFonts w:ascii="Garamond" w:hAnsi="Garamond"/>
          <w:sz w:val="24"/>
          <w:szCs w:val="24"/>
        </w:rPr>
        <w:t>g</w:t>
      </w:r>
      <w:r w:rsidRPr="009232AD">
        <w:rPr>
          <w:rFonts w:ascii="Garamond" w:hAnsi="Garamond"/>
          <w:sz w:val="24"/>
          <w:szCs w:val="24"/>
        </w:rPr>
        <w:t>jykata e konsideron si të panevojshme shqyrtimin e këtyre çështjeve më veçantë</w:t>
      </w:r>
      <w:r w:rsidR="000A49FF">
        <w:rPr>
          <w:rFonts w:ascii="Garamond" w:hAnsi="Garamond"/>
          <w:sz w:val="24"/>
          <w:szCs w:val="24"/>
        </w:rPr>
        <w:t>,</w:t>
      </w:r>
      <w:r w:rsidRPr="009232AD">
        <w:rPr>
          <w:rFonts w:ascii="Garamond" w:hAnsi="Garamond"/>
          <w:sz w:val="24"/>
          <w:szCs w:val="24"/>
        </w:rPr>
        <w:t xml:space="preserve"> sipas </w:t>
      </w:r>
      <w:r w:rsidR="00DE53C8" w:rsidRPr="009232AD">
        <w:rPr>
          <w:rFonts w:ascii="Garamond" w:hAnsi="Garamond"/>
          <w:sz w:val="24"/>
          <w:szCs w:val="24"/>
        </w:rPr>
        <w:t xml:space="preserve">nenit </w:t>
      </w:r>
      <w:r w:rsidRPr="009232AD">
        <w:rPr>
          <w:rFonts w:ascii="Garamond" w:hAnsi="Garamond"/>
          <w:sz w:val="24"/>
          <w:szCs w:val="24"/>
        </w:rPr>
        <w:t xml:space="preserve">13 të Konventës.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V. </w:t>
      </w:r>
      <w:r w:rsidR="00DA36D6" w:rsidRPr="009232AD">
        <w:rPr>
          <w:rFonts w:ascii="Garamond" w:hAnsi="Garamond"/>
          <w:sz w:val="24"/>
          <w:szCs w:val="24"/>
        </w:rPr>
        <w:t xml:space="preserve">ZBATIMI I NENIT 41 TË KONVENTËS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63. Neni 41 i Konventës parashikon se: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 </w:t>
      </w:r>
      <w:r w:rsidR="00DA36D6" w:rsidRPr="009232AD">
        <w:rPr>
          <w:rFonts w:ascii="Garamond" w:hAnsi="Garamond"/>
          <w:sz w:val="24"/>
          <w:szCs w:val="24"/>
        </w:rPr>
        <w:t xml:space="preserve">“Kur </w:t>
      </w:r>
      <w:r w:rsidR="00CF3F54" w:rsidRPr="009232AD">
        <w:rPr>
          <w:rFonts w:ascii="Garamond" w:hAnsi="Garamond"/>
          <w:sz w:val="24"/>
          <w:szCs w:val="24"/>
        </w:rPr>
        <w:t>g</w:t>
      </w:r>
      <w:r w:rsidR="00DA36D6" w:rsidRPr="009232AD">
        <w:rPr>
          <w:rFonts w:ascii="Garamond" w:hAnsi="Garamond"/>
          <w:sz w:val="24"/>
          <w:szCs w:val="24"/>
        </w:rPr>
        <w:t xml:space="preserve">jykata konstaton se ka pasur një shkelje të Konventës ose të protokolleve të saj dhe, nëse e drejta e brendshme e Palës së Lartë Kontraktuese lejon të bëhet vetëm një ndreqje e pjesshme, </w:t>
      </w:r>
      <w:r w:rsidR="00CF3F54" w:rsidRPr="009232AD">
        <w:rPr>
          <w:rFonts w:ascii="Garamond" w:hAnsi="Garamond"/>
          <w:sz w:val="24"/>
          <w:szCs w:val="24"/>
        </w:rPr>
        <w:t>g</w:t>
      </w:r>
      <w:r w:rsidR="00DA36D6" w:rsidRPr="009232AD">
        <w:rPr>
          <w:rFonts w:ascii="Garamond" w:hAnsi="Garamond"/>
          <w:sz w:val="24"/>
          <w:szCs w:val="24"/>
        </w:rPr>
        <w:t xml:space="preserve">jykata, kur është e nevojshme, i akordon shpërblim të drejtë palës së dëmtuar.”  </w:t>
      </w:r>
    </w:p>
    <w:p w:rsidR="00DA36D6" w:rsidRPr="009232AD" w:rsidRDefault="00900F23"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A. </w:t>
      </w:r>
      <w:r w:rsidR="00DA36D6" w:rsidRPr="009232AD">
        <w:rPr>
          <w:rFonts w:ascii="Garamond" w:hAnsi="Garamond"/>
          <w:b/>
          <w:sz w:val="24"/>
          <w:szCs w:val="24"/>
        </w:rPr>
        <w:t>Dëmi</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64. Kërkuesi pretendonte 30 000 euro (EUR) për dëmin jomonetar të vuajtur nga ai dhe vëllai i tij.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65.</w:t>
      </w:r>
      <w:r w:rsidR="00141162">
        <w:rPr>
          <w:rFonts w:ascii="Garamond" w:hAnsi="Garamond"/>
          <w:sz w:val="24"/>
          <w:szCs w:val="24"/>
        </w:rPr>
        <w:t xml:space="preserve"> </w:t>
      </w:r>
      <w:r w:rsidRPr="009232AD">
        <w:rPr>
          <w:rFonts w:ascii="Garamond" w:hAnsi="Garamond"/>
          <w:sz w:val="24"/>
          <w:szCs w:val="24"/>
        </w:rPr>
        <w:t xml:space="preserve">Qeveria parashtroi se pretendimet e kërkuesit nuk ishin të provuara, duke qenë se nuk kishte paraqitur ndonjë provë.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66. Gjykata përsërit se është konstatuar se autoritetet nuk kanë realizuar një hetim efikas, në kundërshtim me detyrimin procedural</w:t>
      </w:r>
      <w:r w:rsidR="000A49FF">
        <w:rPr>
          <w:rFonts w:ascii="Garamond" w:hAnsi="Garamond"/>
          <w:sz w:val="24"/>
          <w:szCs w:val="24"/>
        </w:rPr>
        <w:t>,</w:t>
      </w:r>
      <w:r w:rsidRPr="009232AD">
        <w:rPr>
          <w:rFonts w:ascii="Garamond" w:hAnsi="Garamond"/>
          <w:sz w:val="24"/>
          <w:szCs w:val="24"/>
        </w:rPr>
        <w:t xml:space="preserve"> sipas </w:t>
      </w:r>
      <w:r w:rsidR="000A49FF" w:rsidRPr="009232AD">
        <w:rPr>
          <w:rFonts w:ascii="Garamond" w:hAnsi="Garamond"/>
          <w:sz w:val="24"/>
          <w:szCs w:val="24"/>
        </w:rPr>
        <w:t xml:space="preserve">neneve </w:t>
      </w:r>
      <w:r w:rsidRPr="009232AD">
        <w:rPr>
          <w:rFonts w:ascii="Garamond" w:hAnsi="Garamond"/>
          <w:sz w:val="24"/>
          <w:szCs w:val="24"/>
        </w:rPr>
        <w:t xml:space="preserve">2 dhe 3 të Konventës. Në lidhje me konstatimin e shkeljeve dhe vlerësimin mbi baza të drejta, </w:t>
      </w:r>
      <w:r w:rsidR="00CF3F54" w:rsidRPr="009232AD">
        <w:rPr>
          <w:rFonts w:ascii="Garamond" w:hAnsi="Garamond"/>
          <w:sz w:val="24"/>
          <w:szCs w:val="24"/>
        </w:rPr>
        <w:t>g</w:t>
      </w:r>
      <w:r w:rsidRPr="009232AD">
        <w:rPr>
          <w:rFonts w:ascii="Garamond" w:hAnsi="Garamond"/>
          <w:sz w:val="24"/>
          <w:szCs w:val="24"/>
        </w:rPr>
        <w:t xml:space="preserve">jykata i kep kërkuesit 12 000 </w:t>
      </w:r>
      <w:r w:rsidR="000A49FF" w:rsidRPr="009232AD">
        <w:rPr>
          <w:rFonts w:ascii="Garamond" w:hAnsi="Garamond"/>
          <w:sz w:val="24"/>
          <w:szCs w:val="24"/>
        </w:rPr>
        <w:t>eur</w:t>
      </w:r>
      <w:r w:rsidR="000A49FF">
        <w:rPr>
          <w:rFonts w:ascii="Garamond" w:hAnsi="Garamond"/>
          <w:sz w:val="24"/>
          <w:szCs w:val="24"/>
        </w:rPr>
        <w:t>o</w:t>
      </w:r>
      <w:r w:rsidR="000A49FF" w:rsidRPr="009232AD">
        <w:rPr>
          <w:rFonts w:ascii="Garamond" w:hAnsi="Garamond"/>
          <w:sz w:val="24"/>
          <w:szCs w:val="24"/>
        </w:rPr>
        <w:t xml:space="preserve"> </w:t>
      </w:r>
      <w:r w:rsidRPr="009232AD">
        <w:rPr>
          <w:rFonts w:ascii="Garamond" w:hAnsi="Garamond"/>
          <w:sz w:val="24"/>
          <w:szCs w:val="24"/>
        </w:rPr>
        <w:t xml:space="preserve">për dëmin jomonetar. </w:t>
      </w:r>
    </w:p>
    <w:p w:rsidR="00DA36D6" w:rsidRPr="009232AD" w:rsidRDefault="00900F23"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B. </w:t>
      </w:r>
      <w:r w:rsidR="00DA36D6" w:rsidRPr="009232AD">
        <w:rPr>
          <w:rFonts w:ascii="Garamond" w:hAnsi="Garamond"/>
          <w:b/>
          <w:sz w:val="24"/>
          <w:szCs w:val="24"/>
        </w:rPr>
        <w:t>Kostot dhe shpenzimet</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67. Kërkuesi</w:t>
      </w:r>
      <w:r w:rsidR="00667BF9">
        <w:rPr>
          <w:rFonts w:ascii="Garamond" w:hAnsi="Garamond"/>
          <w:sz w:val="24"/>
          <w:szCs w:val="24"/>
        </w:rPr>
        <w:t>,</w:t>
      </w:r>
      <w:r w:rsidRPr="009232AD">
        <w:rPr>
          <w:rFonts w:ascii="Garamond" w:hAnsi="Garamond"/>
          <w:sz w:val="24"/>
          <w:szCs w:val="24"/>
        </w:rPr>
        <w:t xml:space="preserve"> gjithashtu</w:t>
      </w:r>
      <w:r w:rsidR="00667BF9">
        <w:rPr>
          <w:rFonts w:ascii="Garamond" w:hAnsi="Garamond"/>
          <w:sz w:val="24"/>
          <w:szCs w:val="24"/>
        </w:rPr>
        <w:t>,</w:t>
      </w:r>
      <w:r w:rsidRPr="009232AD">
        <w:rPr>
          <w:rFonts w:ascii="Garamond" w:hAnsi="Garamond"/>
          <w:sz w:val="24"/>
          <w:szCs w:val="24"/>
        </w:rPr>
        <w:t xml:space="preserve"> pretendonte 10 000 euro për kostot dhe shpenzimet e bëra në gjykatat vend</w:t>
      </w:r>
      <w:r w:rsidR="00667BF9">
        <w:rPr>
          <w:rFonts w:ascii="Garamond" w:hAnsi="Garamond"/>
          <w:sz w:val="24"/>
          <w:szCs w:val="24"/>
        </w:rPr>
        <w:t>ë</w:t>
      </w:r>
      <w:r w:rsidRPr="009232AD">
        <w:rPr>
          <w:rFonts w:ascii="Garamond" w:hAnsi="Garamond"/>
          <w:sz w:val="24"/>
          <w:szCs w:val="24"/>
        </w:rPr>
        <w:t xml:space="preserve">se dhe për ato të përdorura përpara </w:t>
      </w:r>
      <w:r w:rsidR="00CF3F54" w:rsidRPr="009232AD">
        <w:rPr>
          <w:rFonts w:ascii="Garamond" w:hAnsi="Garamond"/>
          <w:sz w:val="24"/>
          <w:szCs w:val="24"/>
        </w:rPr>
        <w:t>g</w:t>
      </w:r>
      <w:r w:rsidRPr="009232AD">
        <w:rPr>
          <w:rFonts w:ascii="Garamond" w:hAnsi="Garamond"/>
          <w:sz w:val="24"/>
          <w:szCs w:val="24"/>
        </w:rPr>
        <w:t xml:space="preserve">jykatës. Kjo përfshinte një shumë për përfaqësimin e tij </w:t>
      </w:r>
      <w:r w:rsidRPr="009232AD">
        <w:rPr>
          <w:rFonts w:ascii="Garamond" w:hAnsi="Garamond"/>
          <w:sz w:val="24"/>
          <w:szCs w:val="24"/>
        </w:rPr>
        <w:lastRenderedPageBreak/>
        <w:t xml:space="preserve">ligjor përpara Gjykatës Kushtetuese dhe përpara </w:t>
      </w:r>
      <w:r w:rsidR="00CF3F54" w:rsidRPr="009232AD">
        <w:rPr>
          <w:rFonts w:ascii="Garamond" w:hAnsi="Garamond"/>
          <w:sz w:val="24"/>
          <w:szCs w:val="24"/>
        </w:rPr>
        <w:t>g</w:t>
      </w:r>
      <w:r w:rsidRPr="009232AD">
        <w:rPr>
          <w:rFonts w:ascii="Garamond" w:hAnsi="Garamond"/>
          <w:sz w:val="24"/>
          <w:szCs w:val="24"/>
        </w:rPr>
        <w:t>jykatës me gjashtë përfaqësues ligjor</w:t>
      </w:r>
      <w:r w:rsidR="00667BF9">
        <w:rPr>
          <w:rFonts w:ascii="Garamond" w:hAnsi="Garamond"/>
          <w:sz w:val="24"/>
          <w:szCs w:val="24"/>
        </w:rPr>
        <w:t>ë</w:t>
      </w:r>
      <w:r w:rsidRPr="009232AD">
        <w:rPr>
          <w:rFonts w:ascii="Garamond" w:hAnsi="Garamond"/>
          <w:sz w:val="24"/>
          <w:szCs w:val="24"/>
        </w:rPr>
        <w:t>. Ai dorëzoi një faturë të përgjithshme dhe kontrata shërbimesh për përfaqësuesit ligjor</w:t>
      </w:r>
      <w:r w:rsidR="00667BF9">
        <w:rPr>
          <w:rFonts w:ascii="Garamond" w:hAnsi="Garamond"/>
          <w:sz w:val="24"/>
          <w:szCs w:val="24"/>
        </w:rPr>
        <w:t>ë</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68. Qeveria parashtroi se këto pretendime ishin të tepruara dhe të pabazuara në fakte.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69. Gjykata konstaton se kërkuesi duhet të ketë pasur disa kosto dhe shpenzime gjatë procedimeve. Në këtë mënyrë, në çështjen në fjalë, duke pasur në konsideratë informacionin në dispozicion, </w:t>
      </w:r>
      <w:r w:rsidR="00CF3F54" w:rsidRPr="009232AD">
        <w:rPr>
          <w:rFonts w:ascii="Garamond" w:hAnsi="Garamond"/>
          <w:sz w:val="24"/>
          <w:szCs w:val="24"/>
        </w:rPr>
        <w:t>g</w:t>
      </w:r>
      <w:r w:rsidRPr="009232AD">
        <w:rPr>
          <w:rFonts w:ascii="Garamond" w:hAnsi="Garamond"/>
          <w:sz w:val="24"/>
          <w:szCs w:val="24"/>
        </w:rPr>
        <w:t xml:space="preserve">jykata e gjykon të arsyeshme t’i japë kërkuesit shumën prej 1450 </w:t>
      </w:r>
      <w:r w:rsidR="00667BF9" w:rsidRPr="009232AD">
        <w:rPr>
          <w:rFonts w:ascii="Garamond" w:hAnsi="Garamond"/>
          <w:sz w:val="24"/>
          <w:szCs w:val="24"/>
        </w:rPr>
        <w:t>euro</w:t>
      </w:r>
      <w:r w:rsidR="00667BF9">
        <w:rPr>
          <w:rFonts w:ascii="Garamond" w:hAnsi="Garamond"/>
          <w:sz w:val="24"/>
          <w:szCs w:val="24"/>
        </w:rPr>
        <w:t>sh</w:t>
      </w:r>
      <w:r w:rsidR="00667BF9" w:rsidRPr="009232AD">
        <w:rPr>
          <w:rFonts w:ascii="Garamond" w:hAnsi="Garamond"/>
          <w:sz w:val="24"/>
          <w:szCs w:val="24"/>
        </w:rPr>
        <w:t xml:space="preserve"> </w:t>
      </w:r>
      <w:r w:rsidRPr="009232AD">
        <w:rPr>
          <w:rFonts w:ascii="Garamond" w:hAnsi="Garamond"/>
          <w:sz w:val="24"/>
          <w:szCs w:val="24"/>
        </w:rPr>
        <w:t xml:space="preserve">për procedimet përpara </w:t>
      </w:r>
      <w:r w:rsidR="00CF3F54" w:rsidRPr="009232AD">
        <w:rPr>
          <w:rFonts w:ascii="Garamond" w:hAnsi="Garamond"/>
          <w:sz w:val="24"/>
          <w:szCs w:val="24"/>
        </w:rPr>
        <w:t>gjy</w:t>
      </w:r>
      <w:r w:rsidRPr="009232AD">
        <w:rPr>
          <w:rFonts w:ascii="Garamond" w:hAnsi="Garamond"/>
          <w:sz w:val="24"/>
          <w:szCs w:val="24"/>
        </w:rPr>
        <w:t xml:space="preserve">katës. </w:t>
      </w:r>
    </w:p>
    <w:p w:rsidR="00DA36D6" w:rsidRPr="009232AD" w:rsidRDefault="00900F23" w:rsidP="00DA36D6">
      <w:pPr>
        <w:spacing w:after="0" w:line="240" w:lineRule="auto"/>
        <w:ind w:firstLine="284"/>
        <w:jc w:val="both"/>
        <w:rPr>
          <w:rFonts w:ascii="Garamond" w:hAnsi="Garamond"/>
          <w:b/>
          <w:sz w:val="24"/>
          <w:szCs w:val="24"/>
        </w:rPr>
      </w:pPr>
      <w:r w:rsidRPr="009232AD">
        <w:rPr>
          <w:rFonts w:ascii="Garamond" w:hAnsi="Garamond"/>
          <w:b/>
          <w:sz w:val="24"/>
          <w:szCs w:val="24"/>
        </w:rPr>
        <w:t xml:space="preserve">C. </w:t>
      </w:r>
      <w:r w:rsidR="00DA36D6" w:rsidRPr="009232AD">
        <w:rPr>
          <w:rFonts w:ascii="Garamond" w:hAnsi="Garamond"/>
          <w:b/>
          <w:sz w:val="24"/>
          <w:szCs w:val="24"/>
        </w:rPr>
        <w:t xml:space="preserve">Interes i vonuar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70. Gjykata gjykon të përshtatshme se norma e interesit të vonuar duhet të mbështetet në normën margjinale të huadhënies së Bankës Qendrore Europiane, shumë së cilës i shtohen tre pikë përqindje</w:t>
      </w:r>
      <w:r w:rsidR="00B82F73">
        <w:rPr>
          <w:rFonts w:ascii="Garamond" w:hAnsi="Garamond"/>
          <w:sz w:val="24"/>
          <w:szCs w:val="24"/>
        </w:rPr>
        <w:t>je</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PËR KËTO ARSYE, GJYKATA, NË MËNYRË ANONIME</w:t>
      </w:r>
      <w:r w:rsidR="00B82F73">
        <w:rPr>
          <w:rFonts w:ascii="Garamond" w:hAnsi="Garamond"/>
          <w:sz w:val="24"/>
          <w:szCs w:val="24"/>
        </w:rPr>
        <w:t>:</w:t>
      </w:r>
      <w:r w:rsidRPr="009232AD">
        <w:rPr>
          <w:rFonts w:ascii="Garamond" w:hAnsi="Garamond"/>
          <w:sz w:val="24"/>
          <w:szCs w:val="24"/>
        </w:rPr>
        <w:t xml:space="preserv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1. </w:t>
      </w:r>
      <w:r w:rsidR="00DA36D6" w:rsidRPr="009232AD">
        <w:rPr>
          <w:rFonts w:ascii="Garamond" w:hAnsi="Garamond"/>
          <w:sz w:val="24"/>
          <w:szCs w:val="24"/>
        </w:rPr>
        <w:t>Vendos të bashkojë kundërshtimin paraprak në lidhje për mosshfrytëzim të mjeteve të brendshme</w:t>
      </w:r>
      <w:r w:rsidR="00B82F73">
        <w:rPr>
          <w:rFonts w:ascii="Garamond" w:hAnsi="Garamond"/>
          <w:sz w:val="24"/>
          <w:szCs w:val="24"/>
        </w:rPr>
        <w:t>,</w:t>
      </w:r>
      <w:r w:rsidR="00DA36D6" w:rsidRPr="009232AD">
        <w:rPr>
          <w:rFonts w:ascii="Garamond" w:hAnsi="Garamond"/>
          <w:sz w:val="24"/>
          <w:szCs w:val="24"/>
        </w:rPr>
        <w:t xml:space="preserve"> sipas cilësive dhe e pushon atë;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2. </w:t>
      </w:r>
      <w:r w:rsidR="00DA36D6" w:rsidRPr="009232AD">
        <w:rPr>
          <w:rFonts w:ascii="Garamond" w:hAnsi="Garamond"/>
          <w:sz w:val="24"/>
          <w:szCs w:val="24"/>
        </w:rPr>
        <w:t xml:space="preserve">E deklaron kërkesën të pranueshme;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3. </w:t>
      </w:r>
      <w:r w:rsidR="00DA36D6" w:rsidRPr="009232AD">
        <w:rPr>
          <w:rFonts w:ascii="Garamond" w:hAnsi="Garamond"/>
          <w:sz w:val="24"/>
          <w:szCs w:val="24"/>
        </w:rPr>
        <w:t xml:space="preserve">Vendos se është shkelur </w:t>
      </w:r>
      <w:r w:rsidR="00B82F73" w:rsidRPr="009232AD">
        <w:rPr>
          <w:rFonts w:ascii="Garamond" w:hAnsi="Garamond"/>
          <w:sz w:val="24"/>
          <w:szCs w:val="24"/>
        </w:rPr>
        <w:t>n</w:t>
      </w:r>
      <w:r w:rsidR="00DA36D6" w:rsidRPr="009232AD">
        <w:rPr>
          <w:rFonts w:ascii="Garamond" w:hAnsi="Garamond"/>
          <w:sz w:val="24"/>
          <w:szCs w:val="24"/>
        </w:rPr>
        <w:t xml:space="preserve">eni 2 i Konventës, në pjesën procedurale;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4. </w:t>
      </w:r>
      <w:r w:rsidR="00DA36D6" w:rsidRPr="009232AD">
        <w:rPr>
          <w:rFonts w:ascii="Garamond" w:hAnsi="Garamond"/>
          <w:sz w:val="24"/>
          <w:szCs w:val="24"/>
        </w:rPr>
        <w:t xml:space="preserve">Vendos se nuk është shkelur </w:t>
      </w:r>
      <w:r w:rsidR="00B82F73" w:rsidRPr="009232AD">
        <w:rPr>
          <w:rFonts w:ascii="Garamond" w:hAnsi="Garamond"/>
          <w:sz w:val="24"/>
          <w:szCs w:val="24"/>
        </w:rPr>
        <w:t xml:space="preserve">neni </w:t>
      </w:r>
      <w:r w:rsidR="00DA36D6" w:rsidRPr="009232AD">
        <w:rPr>
          <w:rFonts w:ascii="Garamond" w:hAnsi="Garamond"/>
          <w:sz w:val="24"/>
          <w:szCs w:val="24"/>
        </w:rPr>
        <w:t xml:space="preserve">3 i </w:t>
      </w:r>
      <w:r w:rsidR="00B82F73" w:rsidRPr="009232AD">
        <w:rPr>
          <w:rFonts w:ascii="Garamond" w:hAnsi="Garamond"/>
          <w:sz w:val="24"/>
          <w:szCs w:val="24"/>
        </w:rPr>
        <w:t>Konventës</w:t>
      </w:r>
      <w:r w:rsidR="00DA36D6" w:rsidRPr="009232AD">
        <w:rPr>
          <w:rFonts w:ascii="Garamond" w:hAnsi="Garamond"/>
          <w:sz w:val="24"/>
          <w:szCs w:val="24"/>
        </w:rPr>
        <w:t xml:space="preserve">, në pjesën  thelbësore;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5. </w:t>
      </w:r>
      <w:r w:rsidR="00DA36D6" w:rsidRPr="009232AD">
        <w:rPr>
          <w:rFonts w:ascii="Garamond" w:hAnsi="Garamond"/>
          <w:sz w:val="24"/>
          <w:szCs w:val="24"/>
        </w:rPr>
        <w:t xml:space="preserve">Vendos se është shkelur </w:t>
      </w:r>
      <w:r w:rsidR="00B82F73" w:rsidRPr="009232AD">
        <w:rPr>
          <w:rFonts w:ascii="Garamond" w:hAnsi="Garamond"/>
          <w:sz w:val="24"/>
          <w:szCs w:val="24"/>
        </w:rPr>
        <w:t>n</w:t>
      </w:r>
      <w:r w:rsidR="00DA36D6" w:rsidRPr="009232AD">
        <w:rPr>
          <w:rFonts w:ascii="Garamond" w:hAnsi="Garamond"/>
          <w:sz w:val="24"/>
          <w:szCs w:val="24"/>
        </w:rPr>
        <w:t xml:space="preserve">eni 3 i Konventës në pjesën procedurale;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6. </w:t>
      </w:r>
      <w:r w:rsidR="00DA36D6" w:rsidRPr="009232AD">
        <w:rPr>
          <w:rFonts w:ascii="Garamond" w:hAnsi="Garamond"/>
          <w:sz w:val="24"/>
          <w:szCs w:val="24"/>
        </w:rPr>
        <w:t xml:space="preserve">Vendos se nuk është e nevojshme të shqyrtohet nëse është shkelur </w:t>
      </w:r>
      <w:r w:rsidR="00B82F73" w:rsidRPr="009232AD">
        <w:rPr>
          <w:rFonts w:ascii="Garamond" w:hAnsi="Garamond"/>
          <w:sz w:val="24"/>
          <w:szCs w:val="24"/>
        </w:rPr>
        <w:t xml:space="preserve">neni </w:t>
      </w:r>
      <w:r w:rsidR="00DA36D6" w:rsidRPr="009232AD">
        <w:rPr>
          <w:rFonts w:ascii="Garamond" w:hAnsi="Garamond"/>
          <w:sz w:val="24"/>
          <w:szCs w:val="24"/>
        </w:rPr>
        <w:t xml:space="preserve">13 i Konventës;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7. </w:t>
      </w:r>
      <w:r w:rsidR="00DA36D6" w:rsidRPr="009232AD">
        <w:rPr>
          <w:rFonts w:ascii="Garamond" w:hAnsi="Garamond"/>
          <w:sz w:val="24"/>
          <w:szCs w:val="24"/>
        </w:rPr>
        <w:t>Vendos</w:t>
      </w:r>
      <w:r w:rsidR="00B82F73">
        <w:rPr>
          <w:rFonts w:ascii="Garamond" w:hAnsi="Garamond"/>
          <w:sz w:val="24"/>
          <w:szCs w:val="24"/>
        </w:rPr>
        <w:t>:</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a) </w:t>
      </w:r>
      <w:r w:rsidR="00B82F73" w:rsidRPr="009232AD">
        <w:rPr>
          <w:rFonts w:ascii="Garamond" w:hAnsi="Garamond"/>
          <w:sz w:val="24"/>
          <w:szCs w:val="24"/>
        </w:rPr>
        <w:t xml:space="preserve">se shteti </w:t>
      </w:r>
      <w:r w:rsidR="00DA36D6" w:rsidRPr="009232AD">
        <w:rPr>
          <w:rFonts w:ascii="Garamond" w:hAnsi="Garamond"/>
          <w:sz w:val="24"/>
          <w:szCs w:val="24"/>
        </w:rPr>
        <w:t xml:space="preserve">i paditur duhet t’i paguajë kërkuesit, brenda tre muajve nga data në të cilin vendimi bëhet i formës së prerë, në përputhje me </w:t>
      </w:r>
      <w:r w:rsidR="00B82F73" w:rsidRPr="009232AD">
        <w:rPr>
          <w:rFonts w:ascii="Garamond" w:hAnsi="Garamond"/>
          <w:sz w:val="24"/>
          <w:szCs w:val="24"/>
        </w:rPr>
        <w:t xml:space="preserve">nenin </w:t>
      </w:r>
      <w:r w:rsidR="00DA36D6" w:rsidRPr="009232AD">
        <w:rPr>
          <w:rFonts w:ascii="Garamond" w:hAnsi="Garamond"/>
          <w:sz w:val="24"/>
          <w:szCs w:val="24"/>
        </w:rPr>
        <w:t>44 § 2 të Konventës, shumat e mëposhtme</w:t>
      </w:r>
      <w:r w:rsidR="00B82F73">
        <w:rPr>
          <w:rFonts w:ascii="Garamond" w:hAnsi="Garamond"/>
          <w:sz w:val="24"/>
          <w:szCs w:val="24"/>
        </w:rPr>
        <w:t>:</w:t>
      </w:r>
      <w:r w:rsidR="00DA36D6" w:rsidRPr="009232AD">
        <w:rPr>
          <w:rFonts w:ascii="Garamond" w:hAnsi="Garamond"/>
          <w:sz w:val="24"/>
          <w:szCs w:val="24"/>
        </w:rPr>
        <w:t xml:space="preserv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i</w:t>
      </w:r>
      <w:r w:rsidR="009232AD">
        <w:rPr>
          <w:rFonts w:ascii="Garamond" w:hAnsi="Garamond"/>
          <w:sz w:val="24"/>
          <w:szCs w:val="24"/>
        </w:rPr>
        <w:t>.</w:t>
      </w:r>
      <w:r w:rsidRPr="009232AD">
        <w:rPr>
          <w:rFonts w:ascii="Garamond" w:hAnsi="Garamond"/>
          <w:sz w:val="24"/>
          <w:szCs w:val="24"/>
        </w:rPr>
        <w:t xml:space="preserve"> </w:t>
      </w:r>
      <w:r w:rsidR="00DA36D6" w:rsidRPr="009232AD">
        <w:rPr>
          <w:rFonts w:ascii="Garamond" w:hAnsi="Garamond"/>
          <w:sz w:val="24"/>
          <w:szCs w:val="24"/>
        </w:rPr>
        <w:t xml:space="preserve">12 000 euro (dymbëdhjetë mijë euro) plus çdo taksë e cila mund të tarifohet, për dëmin jomonetar, shumë e cila duhet të konvertohet në monedhën e </w:t>
      </w:r>
      <w:r w:rsidR="00B82F73" w:rsidRPr="009232AD">
        <w:rPr>
          <w:rFonts w:ascii="Garamond" w:hAnsi="Garamond"/>
          <w:sz w:val="24"/>
          <w:szCs w:val="24"/>
        </w:rPr>
        <w:t xml:space="preserve">shtetit </w:t>
      </w:r>
      <w:r w:rsidR="00DA36D6" w:rsidRPr="009232AD">
        <w:rPr>
          <w:rFonts w:ascii="Garamond" w:hAnsi="Garamond"/>
          <w:sz w:val="24"/>
          <w:szCs w:val="24"/>
        </w:rPr>
        <w:t>të paditur</w:t>
      </w:r>
      <w:r w:rsidR="00B82F73">
        <w:rPr>
          <w:rFonts w:ascii="Garamond" w:hAnsi="Garamond"/>
          <w:sz w:val="24"/>
          <w:szCs w:val="24"/>
        </w:rPr>
        <w:t>,</w:t>
      </w:r>
      <w:r w:rsidR="00DA36D6" w:rsidRPr="009232AD">
        <w:rPr>
          <w:rFonts w:ascii="Garamond" w:hAnsi="Garamond"/>
          <w:sz w:val="24"/>
          <w:szCs w:val="24"/>
        </w:rPr>
        <w:t xml:space="preserve"> në normën e zbatueshme në datën e shlyerjes;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ii</w:t>
      </w:r>
      <w:r w:rsidR="009232AD">
        <w:rPr>
          <w:rFonts w:ascii="Garamond" w:hAnsi="Garamond"/>
          <w:sz w:val="24"/>
          <w:szCs w:val="24"/>
        </w:rPr>
        <w:t>.</w:t>
      </w:r>
      <w:r w:rsidRPr="009232AD">
        <w:rPr>
          <w:rFonts w:ascii="Garamond" w:hAnsi="Garamond"/>
          <w:sz w:val="24"/>
          <w:szCs w:val="24"/>
        </w:rPr>
        <w:t xml:space="preserve"> </w:t>
      </w:r>
      <w:r w:rsidR="00DA36D6" w:rsidRPr="009232AD">
        <w:rPr>
          <w:rFonts w:ascii="Garamond" w:hAnsi="Garamond"/>
          <w:sz w:val="24"/>
          <w:szCs w:val="24"/>
        </w:rPr>
        <w:t>1 450 euro (një mijë e katërqind e pesëdhjetë euro), plus çdo taksë</w:t>
      </w:r>
      <w:r w:rsidR="00B82F73">
        <w:rPr>
          <w:rFonts w:ascii="Garamond" w:hAnsi="Garamond"/>
          <w:sz w:val="24"/>
          <w:szCs w:val="24"/>
        </w:rPr>
        <w:t>,</w:t>
      </w:r>
      <w:r w:rsidR="00DA36D6" w:rsidRPr="009232AD">
        <w:rPr>
          <w:rFonts w:ascii="Garamond" w:hAnsi="Garamond"/>
          <w:sz w:val="24"/>
          <w:szCs w:val="24"/>
        </w:rPr>
        <w:t xml:space="preserve"> e cila mund të jetë e tarifueshme për kërkuesin, për kostot dhe shpenzimet;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b) </w:t>
      </w:r>
      <w:r w:rsidR="009232AD" w:rsidRPr="009232AD">
        <w:rPr>
          <w:rFonts w:ascii="Garamond" w:hAnsi="Garamond"/>
          <w:sz w:val="24"/>
          <w:szCs w:val="24"/>
        </w:rPr>
        <w:t xml:space="preserve">se </w:t>
      </w:r>
      <w:r w:rsidR="00DA36D6" w:rsidRPr="009232AD">
        <w:rPr>
          <w:rFonts w:ascii="Garamond" w:hAnsi="Garamond"/>
          <w:sz w:val="24"/>
          <w:szCs w:val="24"/>
        </w:rPr>
        <w:t>nga përfundimi i tre muajve të përmendur më sipër</w:t>
      </w:r>
      <w:r w:rsidR="00B82F73">
        <w:rPr>
          <w:rFonts w:ascii="Garamond" w:hAnsi="Garamond"/>
          <w:sz w:val="24"/>
          <w:szCs w:val="24"/>
        </w:rPr>
        <w:t>,</w:t>
      </w:r>
      <w:r w:rsidR="00DA36D6" w:rsidRPr="009232AD">
        <w:rPr>
          <w:rFonts w:ascii="Garamond" w:hAnsi="Garamond"/>
          <w:sz w:val="24"/>
          <w:szCs w:val="24"/>
        </w:rPr>
        <w:t xml:space="preserve"> deri në shlyerje, interesi i thjeshtë do të jetë i pagueshëm për shumat më sipër</w:t>
      </w:r>
      <w:r w:rsidR="00B82F73">
        <w:rPr>
          <w:rFonts w:ascii="Garamond" w:hAnsi="Garamond"/>
          <w:sz w:val="24"/>
          <w:szCs w:val="24"/>
        </w:rPr>
        <w:t>,</w:t>
      </w:r>
      <w:r w:rsidR="00DA36D6" w:rsidRPr="009232AD">
        <w:rPr>
          <w:rFonts w:ascii="Garamond" w:hAnsi="Garamond"/>
          <w:sz w:val="24"/>
          <w:szCs w:val="24"/>
        </w:rPr>
        <w:t xml:space="preserve"> në një normë të barabartë me normën margjinale të huadhënies së Bankës Qendrore Europiane</w:t>
      </w:r>
      <w:r w:rsidR="00B82F73">
        <w:rPr>
          <w:rFonts w:ascii="Garamond" w:hAnsi="Garamond"/>
          <w:sz w:val="24"/>
          <w:szCs w:val="24"/>
        </w:rPr>
        <w:t>,</w:t>
      </w:r>
      <w:r w:rsidR="00DA36D6" w:rsidRPr="009232AD">
        <w:rPr>
          <w:rFonts w:ascii="Garamond" w:hAnsi="Garamond"/>
          <w:sz w:val="24"/>
          <w:szCs w:val="24"/>
        </w:rPr>
        <w:t xml:space="preserve"> gjatë periudhës së vonesës, plus tre pikë përqindje</w:t>
      </w:r>
      <w:r w:rsidR="00B82F73">
        <w:rPr>
          <w:rFonts w:ascii="Garamond" w:hAnsi="Garamond"/>
          <w:sz w:val="24"/>
          <w:szCs w:val="24"/>
        </w:rPr>
        <w:t>je</w:t>
      </w:r>
      <w:r w:rsidR="00342010">
        <w:rPr>
          <w:rFonts w:ascii="Garamond" w:hAnsi="Garamond"/>
          <w:sz w:val="24"/>
          <w:szCs w:val="24"/>
        </w:rPr>
        <w:t>.</w:t>
      </w:r>
      <w:r w:rsidR="00DA36D6" w:rsidRPr="009232AD">
        <w:rPr>
          <w:rFonts w:ascii="Garamond" w:hAnsi="Garamond"/>
          <w:sz w:val="24"/>
          <w:szCs w:val="24"/>
        </w:rPr>
        <w:t xml:space="preserve"> </w:t>
      </w:r>
    </w:p>
    <w:p w:rsidR="00DA36D6" w:rsidRPr="009232AD" w:rsidRDefault="00900F23"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8. </w:t>
      </w:r>
      <w:r w:rsidR="00DA36D6" w:rsidRPr="009232AD">
        <w:rPr>
          <w:rFonts w:ascii="Garamond" w:hAnsi="Garamond"/>
          <w:sz w:val="24"/>
          <w:szCs w:val="24"/>
        </w:rPr>
        <w:t xml:space="preserve">Pushon pjesën tjetër të pretendimit të kërkuesit për kompensim të drejtë. </w:t>
      </w:r>
    </w:p>
    <w:p w:rsidR="00DA36D6" w:rsidRPr="009232AD" w:rsidRDefault="00DA36D6" w:rsidP="00DA36D6">
      <w:pPr>
        <w:spacing w:after="0" w:line="240" w:lineRule="auto"/>
        <w:ind w:firstLine="284"/>
        <w:jc w:val="both"/>
        <w:rPr>
          <w:rFonts w:ascii="Garamond" w:hAnsi="Garamond"/>
          <w:sz w:val="24"/>
          <w:szCs w:val="24"/>
        </w:rPr>
      </w:pPr>
      <w:r w:rsidRPr="009232AD">
        <w:rPr>
          <w:rFonts w:ascii="Garamond" w:hAnsi="Garamond"/>
          <w:sz w:val="24"/>
          <w:szCs w:val="24"/>
        </w:rPr>
        <w:t xml:space="preserve">Hartuar në gjuhën angleze dhe njoftuar me shkrim </w:t>
      </w:r>
      <w:r w:rsidR="00C419B3">
        <w:rPr>
          <w:rFonts w:ascii="Garamond" w:hAnsi="Garamond"/>
          <w:sz w:val="24"/>
          <w:szCs w:val="24"/>
        </w:rPr>
        <w:t>n</w:t>
      </w:r>
      <w:r w:rsidRPr="009232AD">
        <w:rPr>
          <w:rFonts w:ascii="Garamond" w:hAnsi="Garamond"/>
          <w:sz w:val="24"/>
          <w:szCs w:val="24"/>
        </w:rPr>
        <w:t>ë datë</w:t>
      </w:r>
      <w:r w:rsidR="00C419B3">
        <w:rPr>
          <w:rFonts w:ascii="Garamond" w:hAnsi="Garamond"/>
          <w:sz w:val="24"/>
          <w:szCs w:val="24"/>
        </w:rPr>
        <w:t>n</w:t>
      </w:r>
      <w:r w:rsidRPr="009232AD">
        <w:rPr>
          <w:rFonts w:ascii="Garamond" w:hAnsi="Garamond"/>
          <w:sz w:val="24"/>
          <w:szCs w:val="24"/>
        </w:rPr>
        <w:t xml:space="preserve"> 11 qershor 2019, sipas </w:t>
      </w:r>
      <w:r w:rsidR="00C419B3" w:rsidRPr="009232AD">
        <w:rPr>
          <w:rFonts w:ascii="Garamond" w:hAnsi="Garamond"/>
          <w:sz w:val="24"/>
          <w:szCs w:val="24"/>
        </w:rPr>
        <w:t>rregull</w:t>
      </w:r>
      <w:r w:rsidR="00CF3F54">
        <w:rPr>
          <w:rFonts w:ascii="Garamond" w:hAnsi="Garamond"/>
          <w:sz w:val="24"/>
          <w:szCs w:val="24"/>
        </w:rPr>
        <w:t>ave</w:t>
      </w:r>
      <w:r w:rsidR="00C419B3" w:rsidRPr="009232AD">
        <w:rPr>
          <w:rFonts w:ascii="Garamond" w:hAnsi="Garamond"/>
          <w:sz w:val="24"/>
          <w:szCs w:val="24"/>
        </w:rPr>
        <w:t xml:space="preserve"> </w:t>
      </w:r>
      <w:r w:rsidRPr="009232AD">
        <w:rPr>
          <w:rFonts w:ascii="Garamond" w:hAnsi="Garamond"/>
          <w:sz w:val="24"/>
          <w:szCs w:val="24"/>
        </w:rPr>
        <w:t xml:space="preserve">77 §§ 2 dhe 3 të </w:t>
      </w:r>
      <w:r w:rsidR="00CF3F54" w:rsidRPr="009232AD">
        <w:rPr>
          <w:rFonts w:ascii="Garamond" w:hAnsi="Garamond"/>
          <w:sz w:val="24"/>
          <w:szCs w:val="24"/>
        </w:rPr>
        <w:t xml:space="preserve">Rregullores </w:t>
      </w:r>
      <w:r w:rsidRPr="009232AD">
        <w:rPr>
          <w:rFonts w:ascii="Garamond" w:hAnsi="Garamond"/>
          <w:sz w:val="24"/>
          <w:szCs w:val="24"/>
        </w:rPr>
        <w:t xml:space="preserve">së </w:t>
      </w:r>
      <w:r w:rsidR="00CF3F54" w:rsidRPr="009232AD">
        <w:rPr>
          <w:rFonts w:ascii="Garamond" w:hAnsi="Garamond"/>
          <w:sz w:val="24"/>
          <w:szCs w:val="24"/>
        </w:rPr>
        <w:t>gjykatës</w:t>
      </w:r>
      <w:r w:rsidRPr="009232AD">
        <w:rPr>
          <w:rFonts w:ascii="Garamond" w:hAnsi="Garamond"/>
          <w:sz w:val="24"/>
          <w:szCs w:val="24"/>
        </w:rPr>
        <w:t xml:space="preserve">. </w:t>
      </w:r>
    </w:p>
    <w:p w:rsidR="00DA36D6" w:rsidRPr="009232AD" w:rsidRDefault="00DA36D6" w:rsidP="00DA36D6">
      <w:pPr>
        <w:spacing w:after="0" w:line="240" w:lineRule="auto"/>
        <w:ind w:firstLine="284"/>
        <w:jc w:val="both"/>
        <w:rPr>
          <w:rFonts w:ascii="Garamond" w:hAnsi="Garamond"/>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843"/>
      </w:tblGrid>
      <w:tr w:rsidR="00900F23" w:rsidRPr="009232AD" w:rsidTr="00900F23">
        <w:trPr>
          <w:jc w:val="right"/>
        </w:trPr>
        <w:tc>
          <w:tcPr>
            <w:tcW w:w="2376" w:type="dxa"/>
          </w:tcPr>
          <w:p w:rsidR="00900F23" w:rsidRPr="009232AD" w:rsidRDefault="00900F23" w:rsidP="00DA36D6">
            <w:pPr>
              <w:jc w:val="both"/>
              <w:rPr>
                <w:rFonts w:ascii="Garamond" w:hAnsi="Garamond"/>
                <w:sz w:val="24"/>
                <w:szCs w:val="24"/>
              </w:rPr>
            </w:pPr>
            <w:r w:rsidRPr="009232AD">
              <w:rPr>
                <w:rFonts w:ascii="Garamond" w:hAnsi="Garamond"/>
                <w:sz w:val="24"/>
                <w:szCs w:val="24"/>
              </w:rPr>
              <w:t>Stanley Naismith</w:t>
            </w:r>
          </w:p>
          <w:p w:rsidR="00900F23" w:rsidRPr="009232AD" w:rsidRDefault="00900F23" w:rsidP="00DA36D6">
            <w:pPr>
              <w:jc w:val="both"/>
              <w:rPr>
                <w:rFonts w:ascii="Garamond" w:hAnsi="Garamond"/>
                <w:b/>
                <w:sz w:val="24"/>
                <w:szCs w:val="24"/>
              </w:rPr>
            </w:pPr>
            <w:r w:rsidRPr="009232AD">
              <w:rPr>
                <w:rFonts w:ascii="Garamond" w:hAnsi="Garamond"/>
                <w:b/>
                <w:sz w:val="24"/>
                <w:szCs w:val="24"/>
              </w:rPr>
              <w:t>Sekretar</w:t>
            </w:r>
          </w:p>
        </w:tc>
        <w:tc>
          <w:tcPr>
            <w:tcW w:w="1843" w:type="dxa"/>
          </w:tcPr>
          <w:p w:rsidR="00900F23" w:rsidRPr="009232AD" w:rsidRDefault="00900F23" w:rsidP="00900F23">
            <w:pPr>
              <w:jc w:val="both"/>
              <w:rPr>
                <w:rFonts w:ascii="Garamond" w:hAnsi="Garamond"/>
                <w:sz w:val="24"/>
                <w:szCs w:val="24"/>
              </w:rPr>
            </w:pPr>
            <w:r w:rsidRPr="009232AD">
              <w:rPr>
                <w:rFonts w:ascii="Garamond" w:hAnsi="Garamond"/>
                <w:sz w:val="24"/>
                <w:szCs w:val="24"/>
              </w:rPr>
              <w:t xml:space="preserve">Robert Spano </w:t>
            </w:r>
          </w:p>
          <w:p w:rsidR="00900F23" w:rsidRPr="009232AD" w:rsidRDefault="00900F23" w:rsidP="00DA36D6">
            <w:pPr>
              <w:jc w:val="both"/>
              <w:rPr>
                <w:rFonts w:ascii="Garamond" w:hAnsi="Garamond"/>
                <w:b/>
                <w:sz w:val="24"/>
                <w:szCs w:val="24"/>
              </w:rPr>
            </w:pPr>
            <w:r w:rsidRPr="009232AD">
              <w:rPr>
                <w:rFonts w:ascii="Garamond" w:hAnsi="Garamond"/>
                <w:b/>
                <w:sz w:val="24"/>
                <w:szCs w:val="24"/>
              </w:rPr>
              <w:t>Kyetar</w:t>
            </w:r>
          </w:p>
        </w:tc>
      </w:tr>
    </w:tbl>
    <w:p w:rsidR="00900F23" w:rsidRPr="009232AD" w:rsidRDefault="00900F23" w:rsidP="00DA36D6">
      <w:pPr>
        <w:spacing w:after="0" w:line="240" w:lineRule="auto"/>
        <w:ind w:firstLine="284"/>
        <w:jc w:val="both"/>
        <w:rPr>
          <w:rFonts w:ascii="Garamond" w:hAnsi="Garamond"/>
          <w:sz w:val="24"/>
          <w:szCs w:val="24"/>
        </w:rPr>
      </w:pPr>
    </w:p>
    <w:p w:rsidR="00B70653" w:rsidRPr="009232AD" w:rsidRDefault="00B70653" w:rsidP="00DA36D6">
      <w:pPr>
        <w:spacing w:after="0" w:line="240" w:lineRule="auto"/>
        <w:ind w:firstLine="284"/>
        <w:jc w:val="both"/>
        <w:rPr>
          <w:rFonts w:ascii="Garamond" w:hAnsi="Garamond"/>
          <w:sz w:val="24"/>
          <w:szCs w:val="24"/>
        </w:rPr>
      </w:pPr>
    </w:p>
    <w:sectPr w:rsidR="00B70653" w:rsidRPr="009232AD" w:rsidSect="00665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0">
    <w:nsid w:val="0F7E04C9"/>
    <w:multiLevelType w:val="hybridMultilevel"/>
    <w:tmpl w:val="B6268408"/>
    <w:lvl w:ilvl="0" w:tplc="BA2483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F670F"/>
    <w:multiLevelType w:val="hybridMultilevel"/>
    <w:tmpl w:val="D2F0CFC4"/>
    <w:lvl w:ilvl="0" w:tplc="D9E6C8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8D47DE"/>
    <w:multiLevelType w:val="multilevel"/>
    <w:tmpl w:val="8012C870"/>
    <w:lvl w:ilvl="0">
      <w:start w:val="1"/>
      <w:numFmt w:val="decimal"/>
      <w:lvlText w:val="%1."/>
      <w:lvlJc w:val="left"/>
      <w:pPr>
        <w:ind w:left="992"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29285E"/>
    <w:multiLevelType w:val="hybridMultilevel"/>
    <w:tmpl w:val="7CA41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93172"/>
    <w:multiLevelType w:val="hybridMultilevel"/>
    <w:tmpl w:val="290AC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345950"/>
    <w:multiLevelType w:val="hybridMultilevel"/>
    <w:tmpl w:val="2FF07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CE6D0B"/>
    <w:multiLevelType w:val="hybridMultilevel"/>
    <w:tmpl w:val="6646E996"/>
    <w:lvl w:ilvl="0" w:tplc="46FEE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nsid w:val="6AC0126E"/>
    <w:multiLevelType w:val="hybridMultilevel"/>
    <w:tmpl w:val="97946E3C"/>
    <w:lvl w:ilvl="0" w:tplc="92ECED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EB5E05"/>
    <w:multiLevelType w:val="hybridMultilevel"/>
    <w:tmpl w:val="0E8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F22CD"/>
    <w:multiLevelType w:val="hybridMultilevel"/>
    <w:tmpl w:val="A484DD50"/>
    <w:lvl w:ilvl="0" w:tplc="FCBC7F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84413"/>
    <w:multiLevelType w:val="hybridMultilevel"/>
    <w:tmpl w:val="E4CABBEA"/>
    <w:lvl w:ilvl="0" w:tplc="EF8667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C970851"/>
    <w:multiLevelType w:val="multilevel"/>
    <w:tmpl w:val="F842BC8C"/>
    <w:lvl w:ilvl="0">
      <w:start w:val="1"/>
      <w:numFmt w:val="bullet"/>
      <w:lvlText w:val=""/>
      <w:lvlJc w:val="left"/>
      <w:pPr>
        <w:tabs>
          <w:tab w:val="num" w:pos="851"/>
        </w:tabs>
        <w:ind w:left="851" w:hanging="284"/>
      </w:pPr>
      <w:rPr>
        <w:rFonts w:ascii="Wingdings" w:hAnsi="Wingdings" w:hint="default"/>
        <w:color w:val="0072BC"/>
      </w:rPr>
    </w:lvl>
    <w:lvl w:ilvl="1">
      <w:start w:val="1"/>
      <w:numFmt w:val="bullet"/>
      <w:lvlText w:val=""/>
      <w:lvlJc w:val="left"/>
      <w:pPr>
        <w:tabs>
          <w:tab w:val="num" w:pos="1134"/>
        </w:tabs>
        <w:ind w:left="1135" w:hanging="284"/>
      </w:pPr>
      <w:rPr>
        <w:rFonts w:ascii="Wingdings" w:hAnsi="Wingdings" w:hint="default"/>
        <w:color w:val="0072BC"/>
      </w:rPr>
    </w:lvl>
    <w:lvl w:ilvl="2">
      <w:start w:val="1"/>
      <w:numFmt w:val="bullet"/>
      <w:lvlText w:val=""/>
      <w:lvlJc w:val="left"/>
      <w:pPr>
        <w:tabs>
          <w:tab w:val="num" w:pos="1418"/>
        </w:tabs>
        <w:ind w:left="1419" w:hanging="284"/>
      </w:pPr>
      <w:rPr>
        <w:rFonts w:ascii="Wingdings" w:hAnsi="Wingdings" w:hint="default"/>
        <w:color w:val="7F7F7F"/>
      </w:rPr>
    </w:lvl>
    <w:lvl w:ilvl="3">
      <w:start w:val="1"/>
      <w:numFmt w:val="bullet"/>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num w:numId="1">
    <w:abstractNumId w:val="14"/>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20"/>
  </w:num>
  <w:num w:numId="7">
    <w:abstractNumId w:val="15"/>
  </w:num>
  <w:num w:numId="8">
    <w:abstractNumId w:val="13"/>
  </w:num>
  <w:num w:numId="9">
    <w:abstractNumId w:val="12"/>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19"/>
  </w:num>
  <w:num w:numId="20">
    <w:abstractNumId w:val="24"/>
  </w:num>
  <w:num w:numId="21">
    <w:abstractNumId w:val="23"/>
  </w:num>
  <w:num w:numId="22">
    <w:abstractNumId w:val="22"/>
  </w:num>
  <w:num w:numId="23">
    <w:abstractNumId w:val="18"/>
  </w:num>
  <w:num w:numId="24">
    <w:abstractNumId w:val="10"/>
  </w:num>
  <w:num w:numId="25">
    <w:abstractNumId w:val="16"/>
  </w:num>
  <w:num w:numId="26">
    <w:abstractNumId w:val="17"/>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62"/>
    <w:rsid w:val="00004AD8"/>
    <w:rsid w:val="00007453"/>
    <w:rsid w:val="00033683"/>
    <w:rsid w:val="0005338A"/>
    <w:rsid w:val="0008320A"/>
    <w:rsid w:val="000A49FF"/>
    <w:rsid w:val="000E4AA2"/>
    <w:rsid w:val="00141162"/>
    <w:rsid w:val="00151594"/>
    <w:rsid w:val="00195B87"/>
    <w:rsid w:val="001C68A4"/>
    <w:rsid w:val="001E4259"/>
    <w:rsid w:val="002051E3"/>
    <w:rsid w:val="00210378"/>
    <w:rsid w:val="00227F48"/>
    <w:rsid w:val="00250D01"/>
    <w:rsid w:val="00264DFF"/>
    <w:rsid w:val="00287D96"/>
    <w:rsid w:val="002D1141"/>
    <w:rsid w:val="00316A74"/>
    <w:rsid w:val="00316DF2"/>
    <w:rsid w:val="003300C2"/>
    <w:rsid w:val="00342010"/>
    <w:rsid w:val="00363264"/>
    <w:rsid w:val="003F44CA"/>
    <w:rsid w:val="003F5506"/>
    <w:rsid w:val="00400FB0"/>
    <w:rsid w:val="004621E3"/>
    <w:rsid w:val="004921EA"/>
    <w:rsid w:val="004A76A2"/>
    <w:rsid w:val="004F0976"/>
    <w:rsid w:val="00563964"/>
    <w:rsid w:val="0058326F"/>
    <w:rsid w:val="005938A7"/>
    <w:rsid w:val="005F2568"/>
    <w:rsid w:val="00617C8B"/>
    <w:rsid w:val="00665EFF"/>
    <w:rsid w:val="00667BF9"/>
    <w:rsid w:val="0067090E"/>
    <w:rsid w:val="006A742B"/>
    <w:rsid w:val="007211C8"/>
    <w:rsid w:val="00733CBC"/>
    <w:rsid w:val="007555BF"/>
    <w:rsid w:val="007E5C49"/>
    <w:rsid w:val="00856A0B"/>
    <w:rsid w:val="008C446B"/>
    <w:rsid w:val="008F18C5"/>
    <w:rsid w:val="00900F23"/>
    <w:rsid w:val="009232AD"/>
    <w:rsid w:val="009279C5"/>
    <w:rsid w:val="009302DC"/>
    <w:rsid w:val="00960E80"/>
    <w:rsid w:val="009779DF"/>
    <w:rsid w:val="009C00A8"/>
    <w:rsid w:val="009D6026"/>
    <w:rsid w:val="009E5BCB"/>
    <w:rsid w:val="00A85824"/>
    <w:rsid w:val="00A951AD"/>
    <w:rsid w:val="00AE3659"/>
    <w:rsid w:val="00B16725"/>
    <w:rsid w:val="00B23DBB"/>
    <w:rsid w:val="00B5011B"/>
    <w:rsid w:val="00B70653"/>
    <w:rsid w:val="00B76E43"/>
    <w:rsid w:val="00B82F73"/>
    <w:rsid w:val="00B96925"/>
    <w:rsid w:val="00BD0923"/>
    <w:rsid w:val="00C115E1"/>
    <w:rsid w:val="00C419B3"/>
    <w:rsid w:val="00C624CF"/>
    <w:rsid w:val="00CD0809"/>
    <w:rsid w:val="00CD6DCE"/>
    <w:rsid w:val="00CF3F54"/>
    <w:rsid w:val="00D11E56"/>
    <w:rsid w:val="00D52F57"/>
    <w:rsid w:val="00D8606F"/>
    <w:rsid w:val="00D9243C"/>
    <w:rsid w:val="00DA36D6"/>
    <w:rsid w:val="00DB5152"/>
    <w:rsid w:val="00DB6EEC"/>
    <w:rsid w:val="00DD4C44"/>
    <w:rsid w:val="00DE53C8"/>
    <w:rsid w:val="00E16F14"/>
    <w:rsid w:val="00E24848"/>
    <w:rsid w:val="00E711FD"/>
    <w:rsid w:val="00ED6A18"/>
    <w:rsid w:val="00EF3BB9"/>
    <w:rsid w:val="00F3020C"/>
    <w:rsid w:val="00F53E62"/>
    <w:rsid w:val="00F63BA9"/>
    <w:rsid w:val="00FE28CA"/>
    <w:rsid w:val="00FF3F4C"/>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7298B-09DE-4519-A4E9-E5E3C5F3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FF"/>
    <w:rPr>
      <w:lang w:val="sq-AL"/>
    </w:rPr>
  </w:style>
  <w:style w:type="paragraph" w:styleId="Heading1">
    <w:name w:val="heading 1"/>
    <w:basedOn w:val="Normal"/>
    <w:next w:val="Normal"/>
    <w:link w:val="Heading1Char"/>
    <w:uiPriority w:val="9"/>
    <w:qFormat/>
    <w:rsid w:val="00DA36D6"/>
    <w:pPr>
      <w:numPr>
        <w:numId w:val="3"/>
      </w:numPr>
      <w:tabs>
        <w:tab w:val="clear" w:pos="964"/>
      </w:tabs>
      <w:spacing w:before="480" w:after="0" w:line="240" w:lineRule="auto"/>
      <w:ind w:left="0" w:firstLine="0"/>
      <w:contextualSpacing/>
      <w:jc w:val="both"/>
      <w:outlineLvl w:val="0"/>
    </w:pPr>
    <w:rPr>
      <w:rFonts w:ascii="Times New Roman" w:eastAsia="MS Gothic" w:hAnsi="Times New Roman" w:cs="Times New Roman"/>
      <w:b/>
      <w:bCs/>
      <w:color w:val="333333"/>
      <w:sz w:val="28"/>
      <w:szCs w:val="28"/>
      <w:lang w:val="en-GB"/>
    </w:rPr>
  </w:style>
  <w:style w:type="paragraph" w:styleId="Heading2">
    <w:name w:val="heading 2"/>
    <w:basedOn w:val="Normal"/>
    <w:next w:val="Normal"/>
    <w:link w:val="Heading2Char"/>
    <w:uiPriority w:val="99"/>
    <w:semiHidden/>
    <w:rsid w:val="00DA36D6"/>
    <w:pPr>
      <w:numPr>
        <w:ilvl w:val="1"/>
        <w:numId w:val="3"/>
      </w:numPr>
      <w:tabs>
        <w:tab w:val="clear" w:pos="1361"/>
      </w:tabs>
      <w:spacing w:before="200" w:after="0" w:line="240" w:lineRule="auto"/>
      <w:ind w:left="0" w:firstLine="0"/>
      <w:jc w:val="both"/>
      <w:outlineLvl w:val="1"/>
    </w:pPr>
    <w:rPr>
      <w:rFonts w:ascii="Times New Roman" w:eastAsia="MS Gothic" w:hAnsi="Times New Roman" w:cs="Times New Roman"/>
      <w:b/>
      <w:bCs/>
      <w:color w:val="4D4D4D"/>
      <w:sz w:val="26"/>
      <w:szCs w:val="26"/>
      <w:lang w:val="en-GB"/>
    </w:rPr>
  </w:style>
  <w:style w:type="paragraph" w:styleId="Heading3">
    <w:name w:val="heading 3"/>
    <w:basedOn w:val="Normal"/>
    <w:next w:val="Normal"/>
    <w:link w:val="Heading3Char"/>
    <w:uiPriority w:val="99"/>
    <w:semiHidden/>
    <w:rsid w:val="00DA36D6"/>
    <w:pPr>
      <w:numPr>
        <w:ilvl w:val="2"/>
        <w:numId w:val="3"/>
      </w:numPr>
      <w:tabs>
        <w:tab w:val="clear" w:pos="1758"/>
      </w:tabs>
      <w:spacing w:before="200" w:after="0" w:line="271" w:lineRule="auto"/>
      <w:ind w:left="720" w:hanging="432"/>
      <w:jc w:val="both"/>
      <w:outlineLvl w:val="2"/>
    </w:pPr>
    <w:rPr>
      <w:rFonts w:ascii="Times New Roman" w:eastAsia="MS Gothic" w:hAnsi="Times New Roman" w:cs="Times New Roman"/>
      <w:b/>
      <w:bCs/>
      <w:color w:val="5F5F5F"/>
      <w:sz w:val="24"/>
      <w:lang w:val="en-GB"/>
    </w:rPr>
  </w:style>
  <w:style w:type="paragraph" w:styleId="Heading4">
    <w:name w:val="heading 4"/>
    <w:basedOn w:val="Normal"/>
    <w:next w:val="Normal"/>
    <w:link w:val="Heading4Char"/>
    <w:uiPriority w:val="99"/>
    <w:semiHidden/>
    <w:rsid w:val="00DA36D6"/>
    <w:pPr>
      <w:numPr>
        <w:ilvl w:val="3"/>
        <w:numId w:val="3"/>
      </w:numPr>
      <w:tabs>
        <w:tab w:val="clear" w:pos="1703"/>
      </w:tabs>
      <w:spacing w:before="200" w:after="0" w:line="240" w:lineRule="auto"/>
      <w:ind w:left="864" w:hanging="144"/>
      <w:jc w:val="both"/>
      <w:outlineLvl w:val="3"/>
    </w:pPr>
    <w:rPr>
      <w:rFonts w:ascii="Times New Roman" w:eastAsia="MS Gothic" w:hAnsi="Times New Roman" w:cs="Times New Roman"/>
      <w:b/>
      <w:bCs/>
      <w:i/>
      <w:iCs/>
      <w:color w:val="777777"/>
      <w:sz w:val="24"/>
      <w:lang w:val="en-GB"/>
    </w:rPr>
  </w:style>
  <w:style w:type="paragraph" w:styleId="Heading5">
    <w:name w:val="heading 5"/>
    <w:basedOn w:val="Normal"/>
    <w:next w:val="Normal"/>
    <w:link w:val="Heading5Char"/>
    <w:uiPriority w:val="99"/>
    <w:semiHidden/>
    <w:qFormat/>
    <w:rsid w:val="00DA36D6"/>
    <w:pPr>
      <w:numPr>
        <w:ilvl w:val="4"/>
        <w:numId w:val="3"/>
      </w:numPr>
      <w:tabs>
        <w:tab w:val="clear" w:pos="1987"/>
      </w:tabs>
      <w:spacing w:before="200" w:after="0" w:line="240" w:lineRule="auto"/>
      <w:ind w:left="1008" w:hanging="432"/>
      <w:jc w:val="both"/>
      <w:outlineLvl w:val="4"/>
    </w:pPr>
    <w:rPr>
      <w:rFonts w:ascii="Times New Roman" w:eastAsia="MS Gothic" w:hAnsi="Times New Roman" w:cs="Times New Roman"/>
      <w:b/>
      <w:bCs/>
      <w:color w:val="808080"/>
      <w:lang w:val="en-US"/>
    </w:rPr>
  </w:style>
  <w:style w:type="paragraph" w:styleId="Heading6">
    <w:name w:val="heading 6"/>
    <w:basedOn w:val="Normal"/>
    <w:next w:val="Normal"/>
    <w:link w:val="Heading6Char"/>
    <w:uiPriority w:val="99"/>
    <w:semiHidden/>
    <w:rsid w:val="00DA36D6"/>
    <w:pPr>
      <w:numPr>
        <w:ilvl w:val="5"/>
        <w:numId w:val="3"/>
      </w:numPr>
      <w:tabs>
        <w:tab w:val="clear" w:pos="2271"/>
      </w:tabs>
      <w:spacing w:after="0" w:line="271" w:lineRule="auto"/>
      <w:ind w:left="1152" w:hanging="432"/>
      <w:jc w:val="both"/>
      <w:outlineLvl w:val="5"/>
    </w:pPr>
    <w:rPr>
      <w:rFonts w:ascii="Times New Roman" w:eastAsia="MS Gothic" w:hAnsi="Times New Roman" w:cs="Times New Roman"/>
      <w:b/>
      <w:bCs/>
      <w:i/>
      <w:iCs/>
      <w:color w:val="7F7F7F"/>
      <w:sz w:val="24"/>
      <w:lang w:val="en-GB" w:bidi="en-US"/>
    </w:rPr>
  </w:style>
  <w:style w:type="paragraph" w:styleId="Heading7">
    <w:name w:val="heading 7"/>
    <w:basedOn w:val="Normal"/>
    <w:next w:val="Normal"/>
    <w:link w:val="Heading7Char"/>
    <w:uiPriority w:val="99"/>
    <w:semiHidden/>
    <w:qFormat/>
    <w:rsid w:val="00DA36D6"/>
    <w:pPr>
      <w:numPr>
        <w:ilvl w:val="6"/>
        <w:numId w:val="3"/>
      </w:numPr>
      <w:tabs>
        <w:tab w:val="clear" w:pos="2555"/>
      </w:tabs>
      <w:spacing w:after="0" w:line="240" w:lineRule="auto"/>
      <w:ind w:left="1296" w:hanging="288"/>
      <w:jc w:val="both"/>
      <w:outlineLvl w:val="6"/>
    </w:pPr>
    <w:rPr>
      <w:rFonts w:ascii="Times New Roman" w:eastAsia="MS Gothic" w:hAnsi="Times New Roman" w:cs="Times New Roman"/>
      <w:i/>
      <w:iCs/>
      <w:lang w:val="en-US" w:bidi="en-US"/>
    </w:rPr>
  </w:style>
  <w:style w:type="paragraph" w:styleId="Heading8">
    <w:name w:val="heading 8"/>
    <w:basedOn w:val="Normal"/>
    <w:next w:val="Normal"/>
    <w:link w:val="Heading8Char"/>
    <w:uiPriority w:val="99"/>
    <w:semiHidden/>
    <w:qFormat/>
    <w:rsid w:val="00DA36D6"/>
    <w:pPr>
      <w:numPr>
        <w:ilvl w:val="7"/>
        <w:numId w:val="3"/>
      </w:numPr>
      <w:tabs>
        <w:tab w:val="clear" w:pos="2839"/>
      </w:tabs>
      <w:spacing w:after="0" w:line="240" w:lineRule="auto"/>
      <w:ind w:left="1440" w:hanging="432"/>
      <w:jc w:val="both"/>
      <w:outlineLvl w:val="7"/>
    </w:pPr>
    <w:rPr>
      <w:rFonts w:ascii="Times New Roman" w:eastAsia="MS Gothic" w:hAnsi="Times New Roman" w:cs="Times New Roman"/>
      <w:sz w:val="20"/>
      <w:szCs w:val="20"/>
      <w:lang w:val="en-US" w:bidi="en-US"/>
    </w:rPr>
  </w:style>
  <w:style w:type="paragraph" w:styleId="Heading9">
    <w:name w:val="heading 9"/>
    <w:basedOn w:val="Normal"/>
    <w:next w:val="Normal"/>
    <w:link w:val="Heading9Char"/>
    <w:uiPriority w:val="99"/>
    <w:semiHidden/>
    <w:qFormat/>
    <w:rsid w:val="00DA36D6"/>
    <w:pPr>
      <w:numPr>
        <w:ilvl w:val="8"/>
        <w:numId w:val="3"/>
      </w:numPr>
      <w:tabs>
        <w:tab w:val="clear" w:pos="3123"/>
      </w:tabs>
      <w:spacing w:after="0" w:line="240" w:lineRule="auto"/>
      <w:ind w:left="1584" w:hanging="144"/>
      <w:jc w:val="both"/>
      <w:outlineLvl w:val="8"/>
    </w:pPr>
    <w:rPr>
      <w:rFonts w:ascii="Times New Roman" w:eastAsia="MS Gothic" w:hAnsi="Times New Roman" w:cs="Times New Roman"/>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6D6"/>
    <w:rPr>
      <w:rFonts w:ascii="Times New Roman" w:eastAsia="MS Gothic" w:hAnsi="Times New Roman" w:cs="Times New Roman"/>
      <w:b/>
      <w:bCs/>
      <w:color w:val="333333"/>
      <w:sz w:val="28"/>
      <w:szCs w:val="28"/>
      <w:lang w:val="en-GB"/>
    </w:rPr>
  </w:style>
  <w:style w:type="character" w:customStyle="1" w:styleId="Heading2Char">
    <w:name w:val="Heading 2 Char"/>
    <w:basedOn w:val="DefaultParagraphFont"/>
    <w:link w:val="Heading2"/>
    <w:uiPriority w:val="99"/>
    <w:semiHidden/>
    <w:rsid w:val="00DA36D6"/>
    <w:rPr>
      <w:rFonts w:ascii="Times New Roman" w:eastAsia="MS Gothic" w:hAnsi="Times New Roman" w:cs="Times New Roman"/>
      <w:b/>
      <w:bCs/>
      <w:color w:val="4D4D4D"/>
      <w:sz w:val="26"/>
      <w:szCs w:val="26"/>
      <w:lang w:val="en-GB"/>
    </w:rPr>
  </w:style>
  <w:style w:type="character" w:customStyle="1" w:styleId="Heading3Char">
    <w:name w:val="Heading 3 Char"/>
    <w:basedOn w:val="DefaultParagraphFont"/>
    <w:link w:val="Heading3"/>
    <w:uiPriority w:val="99"/>
    <w:semiHidden/>
    <w:rsid w:val="00DA36D6"/>
    <w:rPr>
      <w:rFonts w:ascii="Times New Roman" w:eastAsia="MS Gothic" w:hAnsi="Times New Roman" w:cs="Times New Roman"/>
      <w:b/>
      <w:bCs/>
      <w:color w:val="5F5F5F"/>
      <w:sz w:val="24"/>
      <w:lang w:val="en-GB"/>
    </w:rPr>
  </w:style>
  <w:style w:type="character" w:customStyle="1" w:styleId="Heading4Char">
    <w:name w:val="Heading 4 Char"/>
    <w:basedOn w:val="DefaultParagraphFont"/>
    <w:link w:val="Heading4"/>
    <w:uiPriority w:val="99"/>
    <w:semiHidden/>
    <w:rsid w:val="00DA36D6"/>
    <w:rPr>
      <w:rFonts w:ascii="Times New Roman" w:eastAsia="MS Gothic" w:hAnsi="Times New Roman" w:cs="Times New Roman"/>
      <w:b/>
      <w:bCs/>
      <w:i/>
      <w:iCs/>
      <w:color w:val="777777"/>
      <w:sz w:val="24"/>
      <w:lang w:val="en-GB"/>
    </w:rPr>
  </w:style>
  <w:style w:type="character" w:customStyle="1" w:styleId="Heading5Char">
    <w:name w:val="Heading 5 Char"/>
    <w:basedOn w:val="DefaultParagraphFont"/>
    <w:link w:val="Heading5"/>
    <w:uiPriority w:val="99"/>
    <w:semiHidden/>
    <w:rsid w:val="00DA36D6"/>
    <w:rPr>
      <w:rFonts w:ascii="Times New Roman" w:eastAsia="MS Gothic" w:hAnsi="Times New Roman" w:cs="Times New Roman"/>
      <w:b/>
      <w:bCs/>
      <w:color w:val="808080"/>
    </w:rPr>
  </w:style>
  <w:style w:type="character" w:customStyle="1" w:styleId="Heading6Char">
    <w:name w:val="Heading 6 Char"/>
    <w:basedOn w:val="DefaultParagraphFont"/>
    <w:link w:val="Heading6"/>
    <w:uiPriority w:val="99"/>
    <w:semiHidden/>
    <w:rsid w:val="00DA36D6"/>
    <w:rPr>
      <w:rFonts w:ascii="Times New Roman" w:eastAsia="MS Gothic" w:hAnsi="Times New Roman" w:cs="Times New Roman"/>
      <w:b/>
      <w:bCs/>
      <w:i/>
      <w:iCs/>
      <w:color w:val="7F7F7F"/>
      <w:sz w:val="24"/>
      <w:lang w:val="en-GB" w:bidi="en-US"/>
    </w:rPr>
  </w:style>
  <w:style w:type="character" w:customStyle="1" w:styleId="Heading7Char">
    <w:name w:val="Heading 7 Char"/>
    <w:basedOn w:val="DefaultParagraphFont"/>
    <w:link w:val="Heading7"/>
    <w:uiPriority w:val="99"/>
    <w:semiHidden/>
    <w:rsid w:val="00DA36D6"/>
    <w:rPr>
      <w:rFonts w:ascii="Times New Roman" w:eastAsia="MS Gothic" w:hAnsi="Times New Roman" w:cs="Times New Roman"/>
      <w:i/>
      <w:iCs/>
      <w:lang w:bidi="en-US"/>
    </w:rPr>
  </w:style>
  <w:style w:type="character" w:customStyle="1" w:styleId="Heading8Char">
    <w:name w:val="Heading 8 Char"/>
    <w:basedOn w:val="DefaultParagraphFont"/>
    <w:link w:val="Heading8"/>
    <w:uiPriority w:val="99"/>
    <w:semiHidden/>
    <w:rsid w:val="00DA36D6"/>
    <w:rPr>
      <w:rFonts w:ascii="Times New Roman" w:eastAsia="MS Gothic" w:hAnsi="Times New Roman" w:cs="Times New Roman"/>
      <w:sz w:val="20"/>
      <w:szCs w:val="20"/>
      <w:lang w:bidi="en-US"/>
    </w:rPr>
  </w:style>
  <w:style w:type="character" w:customStyle="1" w:styleId="Heading9Char">
    <w:name w:val="Heading 9 Char"/>
    <w:basedOn w:val="DefaultParagraphFont"/>
    <w:link w:val="Heading9"/>
    <w:uiPriority w:val="99"/>
    <w:semiHidden/>
    <w:rsid w:val="00DA36D6"/>
    <w:rPr>
      <w:rFonts w:ascii="Times New Roman" w:eastAsia="MS Gothic" w:hAnsi="Times New Roman" w:cs="Times New Roman"/>
      <w:i/>
      <w:iCs/>
      <w:spacing w:val="5"/>
      <w:sz w:val="20"/>
      <w:szCs w:val="20"/>
      <w:lang w:bidi="en-US"/>
    </w:rPr>
  </w:style>
  <w:style w:type="paragraph" w:styleId="BalloonText">
    <w:name w:val="Balloon Text"/>
    <w:basedOn w:val="Normal"/>
    <w:link w:val="BalloonTextChar"/>
    <w:uiPriority w:val="99"/>
    <w:semiHidden/>
    <w:rsid w:val="00DA36D6"/>
    <w:pPr>
      <w:spacing w:after="0" w:line="240" w:lineRule="auto"/>
      <w:jc w:val="both"/>
    </w:pPr>
    <w:rPr>
      <w:rFonts w:ascii="Tahoma" w:eastAsia="MS Mincho" w:hAnsi="Tahoma" w:cs="Tahoma"/>
      <w:sz w:val="16"/>
      <w:szCs w:val="16"/>
      <w:lang w:val="en-GB"/>
    </w:rPr>
  </w:style>
  <w:style w:type="character" w:customStyle="1" w:styleId="BalloonTextChar">
    <w:name w:val="Balloon Text Char"/>
    <w:basedOn w:val="DefaultParagraphFont"/>
    <w:link w:val="BalloonText"/>
    <w:uiPriority w:val="99"/>
    <w:semiHidden/>
    <w:rsid w:val="00DA36D6"/>
    <w:rPr>
      <w:rFonts w:ascii="Tahoma" w:eastAsia="MS Mincho" w:hAnsi="Tahoma" w:cs="Tahoma"/>
      <w:sz w:val="16"/>
      <w:szCs w:val="16"/>
      <w:lang w:val="en-GB"/>
    </w:rPr>
  </w:style>
  <w:style w:type="character" w:styleId="BookTitle">
    <w:name w:val="Book Title"/>
    <w:uiPriority w:val="99"/>
    <w:qFormat/>
    <w:rsid w:val="00DA36D6"/>
    <w:rPr>
      <w:i/>
      <w:iCs/>
      <w:smallCaps/>
      <w:spacing w:val="5"/>
    </w:rPr>
  </w:style>
  <w:style w:type="paragraph" w:customStyle="1" w:styleId="ECHRHeader">
    <w:name w:val="ECHR_Header"/>
    <w:aliases w:val="Ju_Header"/>
    <w:basedOn w:val="Header"/>
    <w:uiPriority w:val="4"/>
    <w:qFormat/>
    <w:rsid w:val="00DA36D6"/>
    <w:pPr>
      <w:tabs>
        <w:tab w:val="clear" w:pos="4536"/>
        <w:tab w:val="clear" w:pos="9072"/>
        <w:tab w:val="center" w:pos="3686"/>
        <w:tab w:val="right" w:pos="7371"/>
      </w:tabs>
      <w:jc w:val="left"/>
    </w:pPr>
    <w:rPr>
      <w:sz w:val="18"/>
    </w:rPr>
  </w:style>
  <w:style w:type="paragraph" w:customStyle="1" w:styleId="DecHTitle">
    <w:name w:val="Dec_H_Title"/>
    <w:basedOn w:val="ECHRTitleCentre1"/>
    <w:uiPriority w:val="7"/>
    <w:semiHidden/>
    <w:qFormat/>
    <w:rsid w:val="00DA36D6"/>
  </w:style>
  <w:style w:type="character" w:styleId="Strong">
    <w:name w:val="Strong"/>
    <w:uiPriority w:val="99"/>
    <w:qFormat/>
    <w:rsid w:val="00DA36D6"/>
    <w:rPr>
      <w:b/>
      <w:bCs/>
    </w:rPr>
  </w:style>
  <w:style w:type="paragraph" w:styleId="NoSpacing">
    <w:name w:val="No Spacing"/>
    <w:basedOn w:val="Normal"/>
    <w:link w:val="NoSpacingChar"/>
    <w:qFormat/>
    <w:rsid w:val="00DA36D6"/>
    <w:pPr>
      <w:spacing w:after="0" w:line="240" w:lineRule="auto"/>
      <w:jc w:val="both"/>
    </w:pPr>
    <w:rPr>
      <w:rFonts w:ascii="Times New Roman" w:eastAsia="MS Mincho" w:hAnsi="Times New Roman" w:cs="Times New Roman"/>
      <w:lang w:val="en-US"/>
    </w:rPr>
  </w:style>
  <w:style w:type="character" w:customStyle="1" w:styleId="NoSpacingChar">
    <w:name w:val="No Spacing Char"/>
    <w:link w:val="NoSpacing"/>
    <w:rsid w:val="00DA36D6"/>
    <w:rPr>
      <w:rFonts w:ascii="Times New Roman" w:eastAsia="MS Mincho" w:hAnsi="Times New Roman" w:cs="Times New Roman"/>
    </w:rPr>
  </w:style>
  <w:style w:type="paragraph" w:customStyle="1" w:styleId="ECHRParaQuote">
    <w:name w:val="ECHR_Para_Quote"/>
    <w:aliases w:val="Ju_Quot"/>
    <w:basedOn w:val="Normal"/>
    <w:uiPriority w:val="14"/>
    <w:qFormat/>
    <w:rsid w:val="00DA36D6"/>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DA36D6"/>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DA36D6"/>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DA36D6"/>
    <w:pPr>
      <w:numPr>
        <w:numId w:val="18"/>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DA36D6"/>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DA36D6"/>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DA36D6"/>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DA36D6"/>
  </w:style>
  <w:style w:type="paragraph" w:customStyle="1" w:styleId="ECHRTitle1">
    <w:name w:val="ECHR_Title_1"/>
    <w:aliases w:val="Ju_H_Head"/>
    <w:basedOn w:val="Normal"/>
    <w:next w:val="ECHRPara"/>
    <w:uiPriority w:val="18"/>
    <w:qFormat/>
    <w:rsid w:val="00DA36D6"/>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DA36D6"/>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DA36D6"/>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DA36D6"/>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en-US" w:bidi="en-US"/>
    </w:rPr>
  </w:style>
  <w:style w:type="character" w:customStyle="1" w:styleId="TitleChar">
    <w:name w:val="Title Char"/>
    <w:basedOn w:val="DefaultParagraphFont"/>
    <w:link w:val="Title"/>
    <w:uiPriority w:val="99"/>
    <w:rsid w:val="00DA36D6"/>
    <w:rPr>
      <w:rFonts w:ascii="Times New Roman" w:eastAsia="MS Gothic" w:hAnsi="Times New Roman" w:cs="Times New Roman"/>
      <w:spacing w:val="5"/>
      <w:sz w:val="52"/>
      <w:szCs w:val="52"/>
      <w:lang w:bidi="en-US"/>
    </w:rPr>
  </w:style>
  <w:style w:type="character" w:customStyle="1" w:styleId="JuITMark">
    <w:name w:val="Ju_ITMark"/>
    <w:uiPriority w:val="38"/>
    <w:qFormat/>
    <w:rsid w:val="00DA36D6"/>
    <w:rPr>
      <w:vanish w:val="0"/>
      <w:color w:val="auto"/>
      <w:sz w:val="14"/>
      <w:bdr w:val="none" w:sz="0" w:space="0" w:color="auto"/>
      <w:shd w:val="clear" w:color="auto" w:fill="BEE5FF"/>
    </w:rPr>
  </w:style>
  <w:style w:type="paragraph" w:customStyle="1" w:styleId="JuLista">
    <w:name w:val="Ju_List_a"/>
    <w:basedOn w:val="JuList"/>
    <w:uiPriority w:val="28"/>
    <w:qFormat/>
    <w:rsid w:val="00DA36D6"/>
  </w:style>
  <w:style w:type="paragraph" w:customStyle="1" w:styleId="JuListi">
    <w:name w:val="Ju_List_i"/>
    <w:basedOn w:val="Normal"/>
    <w:next w:val="JuLista"/>
    <w:uiPriority w:val="28"/>
    <w:qFormat/>
    <w:rsid w:val="00DA36D6"/>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DA36D6"/>
    <w:rPr>
      <w:caps w:val="0"/>
      <w:smallCaps/>
    </w:rPr>
  </w:style>
  <w:style w:type="paragraph" w:customStyle="1" w:styleId="JuParaSub">
    <w:name w:val="Ju_Para_Sub"/>
    <w:basedOn w:val="ECHRPara"/>
    <w:uiPriority w:val="13"/>
    <w:qFormat/>
    <w:rsid w:val="00DA36D6"/>
    <w:pPr>
      <w:ind w:left="284"/>
    </w:pPr>
  </w:style>
  <w:style w:type="paragraph" w:customStyle="1" w:styleId="ECHRHeading1">
    <w:name w:val="ECHR_Heading_1"/>
    <w:aliases w:val="Ju_H_I_Roman"/>
    <w:basedOn w:val="Heading1"/>
    <w:next w:val="ECHRPara"/>
    <w:uiPriority w:val="19"/>
    <w:qFormat/>
    <w:rsid w:val="00DA36D6"/>
  </w:style>
  <w:style w:type="paragraph" w:customStyle="1" w:styleId="ECHRHeading2">
    <w:name w:val="ECHR_Heading_2"/>
    <w:aliases w:val="Ju_H_A"/>
    <w:basedOn w:val="Heading2"/>
    <w:next w:val="ECHRPara"/>
    <w:uiPriority w:val="20"/>
    <w:qFormat/>
    <w:rsid w:val="00DA36D6"/>
  </w:style>
  <w:style w:type="paragraph" w:customStyle="1" w:styleId="ECHRHeading3">
    <w:name w:val="ECHR_Heading_3"/>
    <w:aliases w:val="Ju_H_1."/>
    <w:basedOn w:val="Heading3"/>
    <w:next w:val="ECHRPara"/>
    <w:uiPriority w:val="21"/>
    <w:qFormat/>
    <w:rsid w:val="00DA36D6"/>
  </w:style>
  <w:style w:type="paragraph" w:styleId="Header">
    <w:name w:val="header"/>
    <w:basedOn w:val="Normal"/>
    <w:link w:val="HeaderChar"/>
    <w:uiPriority w:val="57"/>
    <w:semiHidden/>
    <w:rsid w:val="00DA36D6"/>
    <w:pPr>
      <w:tabs>
        <w:tab w:val="center" w:pos="4536"/>
        <w:tab w:val="right" w:pos="9072"/>
      </w:tabs>
      <w:spacing w:after="0" w:line="240" w:lineRule="auto"/>
      <w:jc w:val="both"/>
    </w:pPr>
    <w:rPr>
      <w:rFonts w:ascii="Times New Roman" w:eastAsia="Times New Roman" w:hAnsi="Times New Roman" w:cs="Times New Roman"/>
      <w:sz w:val="24"/>
      <w:lang w:val="en-GB"/>
    </w:rPr>
  </w:style>
  <w:style w:type="character" w:customStyle="1" w:styleId="HeaderChar">
    <w:name w:val="Header Char"/>
    <w:basedOn w:val="DefaultParagraphFont"/>
    <w:link w:val="Header"/>
    <w:uiPriority w:val="57"/>
    <w:semiHidden/>
    <w:rsid w:val="00DA36D6"/>
    <w:rPr>
      <w:rFonts w:ascii="Times New Roman" w:eastAsia="Times New Roman" w:hAnsi="Times New Roman" w:cs="Times New Roman"/>
      <w:sz w:val="24"/>
      <w:lang w:val="en-GB"/>
    </w:rPr>
  </w:style>
  <w:style w:type="paragraph" w:customStyle="1" w:styleId="ECHRHeading4">
    <w:name w:val="ECHR_Heading_4"/>
    <w:aliases w:val="Ju_H_a"/>
    <w:basedOn w:val="Heading4"/>
    <w:next w:val="ECHRPara"/>
    <w:uiPriority w:val="22"/>
    <w:qFormat/>
    <w:rsid w:val="00DA36D6"/>
  </w:style>
  <w:style w:type="paragraph" w:customStyle="1" w:styleId="ECHRHeading5">
    <w:name w:val="ECHR_Heading_5"/>
    <w:aliases w:val="Ju_H_i"/>
    <w:basedOn w:val="Heading5"/>
    <w:next w:val="ECHRPara"/>
    <w:uiPriority w:val="23"/>
    <w:qFormat/>
    <w:rsid w:val="00DA36D6"/>
  </w:style>
  <w:style w:type="paragraph" w:customStyle="1" w:styleId="ECHRHeading6">
    <w:name w:val="ECHR_Heading_6"/>
    <w:aliases w:val="Ju_H_alpha"/>
    <w:basedOn w:val="Heading6"/>
    <w:next w:val="ECHRPara"/>
    <w:uiPriority w:val="24"/>
    <w:qFormat/>
    <w:rsid w:val="00DA36D6"/>
  </w:style>
  <w:style w:type="paragraph" w:customStyle="1" w:styleId="ECHRHeading7">
    <w:name w:val="ECHR_Heading_7"/>
    <w:aliases w:val="Ju_H_–"/>
    <w:basedOn w:val="Heading7"/>
    <w:next w:val="ECHRPara"/>
    <w:uiPriority w:val="25"/>
    <w:qFormat/>
    <w:rsid w:val="00DA36D6"/>
  </w:style>
  <w:style w:type="paragraph" w:customStyle="1" w:styleId="JuParaLast">
    <w:name w:val="Ju_Para_Last"/>
    <w:basedOn w:val="Normal"/>
    <w:next w:val="ECHRPara"/>
    <w:uiPriority w:val="30"/>
    <w:qFormat/>
    <w:rsid w:val="00DA36D6"/>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ECHRDecisionBody">
    <w:name w:val="ECHR_Decision_Body"/>
    <w:aliases w:val="Ju_Judges"/>
    <w:basedOn w:val="Normal"/>
    <w:uiPriority w:val="11"/>
    <w:qFormat/>
    <w:rsid w:val="00DA36D6"/>
    <w:pPr>
      <w:tabs>
        <w:tab w:val="left" w:pos="567"/>
        <w:tab w:val="left" w:pos="1134"/>
      </w:tabs>
      <w:spacing w:after="0" w:line="240" w:lineRule="auto"/>
    </w:pPr>
    <w:rPr>
      <w:rFonts w:ascii="Times New Roman" w:eastAsia="MS Mincho" w:hAnsi="Times New Roman" w:cs="Times New Roman"/>
      <w:sz w:val="24"/>
      <w:lang w:val="en-GB"/>
    </w:rPr>
  </w:style>
  <w:style w:type="paragraph" w:customStyle="1" w:styleId="JuList">
    <w:name w:val="Ju_List"/>
    <w:basedOn w:val="Normal"/>
    <w:uiPriority w:val="28"/>
    <w:qFormat/>
    <w:rsid w:val="00DA36D6"/>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DA36D6"/>
  </w:style>
  <w:style w:type="paragraph" w:customStyle="1" w:styleId="JuTitle">
    <w:name w:val="Ju_Title"/>
    <w:basedOn w:val="Normal"/>
    <w:next w:val="ECHRPara"/>
    <w:uiPriority w:val="3"/>
    <w:semiHidden/>
    <w:qFormat/>
    <w:rsid w:val="00DA36D6"/>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DA36D6"/>
    <w:rPr>
      <w:i/>
      <w:iCs/>
    </w:rPr>
  </w:style>
  <w:style w:type="paragraph" w:customStyle="1" w:styleId="OpiH1">
    <w:name w:val="Opi_H_1"/>
    <w:basedOn w:val="ECHRHeading2"/>
    <w:uiPriority w:val="42"/>
    <w:qFormat/>
    <w:rsid w:val="00DA36D6"/>
    <w:pPr>
      <w:keepNext/>
      <w:keepLines/>
      <w:numPr>
        <w:ilvl w:val="0"/>
        <w:numId w:val="0"/>
      </w:numPr>
      <w:tabs>
        <w:tab w:val="left" w:pos="584"/>
      </w:tabs>
      <w:spacing w:before="360" w:after="240"/>
      <w:ind w:left="635" w:hanging="357"/>
      <w:outlineLvl w:val="2"/>
    </w:pPr>
    <w:rPr>
      <w:color w:val="auto"/>
      <w:sz w:val="24"/>
    </w:rPr>
  </w:style>
  <w:style w:type="table" w:customStyle="1" w:styleId="ECHRTable">
    <w:name w:val="ECHR_Table"/>
    <w:basedOn w:val="TableNormal"/>
    <w:rsid w:val="00DA36D6"/>
    <w:pPr>
      <w:spacing w:after="0" w:line="240" w:lineRule="auto"/>
    </w:pPr>
    <w:rPr>
      <w:rFonts w:ascii="Times New Roman" w:eastAsia="Times New Roman" w:hAnsi="Times New Roman" w:cs="Times New Roman"/>
      <w:sz w:val="20"/>
      <w:szCs w:val="20"/>
      <w:lang w:val="en-GB"/>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DA36D6"/>
    <w:pPr>
      <w:spacing w:after="0" w:line="240" w:lineRule="auto"/>
    </w:pPr>
    <w:rPr>
      <w:rFonts w:ascii="Verdana" w:eastAsia="Times New Roman" w:hAnsi="Verdana" w:cs="Times New Roman"/>
      <w:sz w:val="20"/>
      <w:szCs w:val="20"/>
      <w:lang w:val="en-GB"/>
    </w:rPr>
    <w:tblPr>
      <w:tblInd w:w="0" w:type="dxa"/>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DA36D6"/>
    <w:pPr>
      <w:keepNext/>
      <w:keepLines/>
      <w:numPr>
        <w:ilvl w:val="0"/>
        <w:numId w:val="0"/>
      </w:numPr>
      <w:tabs>
        <w:tab w:val="left" w:pos="731"/>
      </w:tabs>
      <w:spacing w:before="240" w:after="120" w:line="240" w:lineRule="auto"/>
      <w:ind w:left="833" w:hanging="357"/>
      <w:outlineLvl w:val="3"/>
    </w:pPr>
    <w:rPr>
      <w:color w:val="auto"/>
      <w:sz w:val="20"/>
    </w:rPr>
  </w:style>
  <w:style w:type="paragraph" w:customStyle="1" w:styleId="OpiHA0">
    <w:name w:val="Opi_H_A"/>
    <w:basedOn w:val="ECHRHeading1"/>
    <w:next w:val="OpiPara"/>
    <w:uiPriority w:val="41"/>
    <w:qFormat/>
    <w:rsid w:val="00DA36D6"/>
    <w:pPr>
      <w:keepNext/>
      <w:keepLines/>
      <w:numPr>
        <w:numId w:val="0"/>
      </w:numPr>
      <w:spacing w:before="360" w:after="240"/>
      <w:ind w:left="357" w:hanging="357"/>
      <w:contextualSpacing w:val="0"/>
      <w:outlineLvl w:val="1"/>
    </w:pPr>
    <w:rPr>
      <w:color w:val="auto"/>
      <w:sz w:val="24"/>
    </w:rPr>
  </w:style>
  <w:style w:type="paragraph" w:customStyle="1" w:styleId="OpiHi">
    <w:name w:val="Opi_H_i"/>
    <w:basedOn w:val="ECHRHeading4"/>
    <w:uiPriority w:val="44"/>
    <w:qFormat/>
    <w:rsid w:val="00DA36D6"/>
    <w:pPr>
      <w:keepNext/>
      <w:keepLines/>
      <w:numPr>
        <w:ilvl w:val="0"/>
        <w:numId w:val="0"/>
      </w:numPr>
      <w:tabs>
        <w:tab w:val="left" w:pos="975"/>
      </w:tabs>
      <w:spacing w:before="240" w:after="120"/>
      <w:ind w:left="1037" w:hanging="357"/>
      <w:outlineLvl w:val="4"/>
    </w:pPr>
    <w:rPr>
      <w:b w:val="0"/>
      <w:color w:val="auto"/>
      <w:sz w:val="20"/>
    </w:rPr>
  </w:style>
  <w:style w:type="character" w:styleId="Emphasis">
    <w:name w:val="Emphasis"/>
    <w:uiPriority w:val="99"/>
    <w:qFormat/>
    <w:rsid w:val="00DA36D6"/>
    <w:rPr>
      <w:b/>
      <w:bCs/>
      <w:i/>
      <w:iCs/>
      <w:spacing w:val="10"/>
      <w:bdr w:val="none" w:sz="0" w:space="0" w:color="auto"/>
      <w:shd w:val="clear" w:color="auto" w:fill="auto"/>
    </w:rPr>
  </w:style>
  <w:style w:type="paragraph" w:styleId="Footer">
    <w:name w:val="footer"/>
    <w:basedOn w:val="Normal"/>
    <w:link w:val="FooterChar"/>
    <w:uiPriority w:val="57"/>
    <w:semiHidden/>
    <w:rsid w:val="00DA36D6"/>
    <w:pPr>
      <w:tabs>
        <w:tab w:val="center" w:pos="4536"/>
        <w:tab w:val="right" w:pos="9696"/>
      </w:tabs>
      <w:spacing w:after="0" w:line="240" w:lineRule="auto"/>
      <w:ind w:left="-680" w:right="-680"/>
      <w:jc w:val="both"/>
    </w:pPr>
    <w:rPr>
      <w:rFonts w:ascii="Times New Roman" w:eastAsia="Times New Roman" w:hAnsi="Times New Roman" w:cs="Times New Roman"/>
      <w:sz w:val="24"/>
      <w:lang w:val="en-GB"/>
    </w:rPr>
  </w:style>
  <w:style w:type="character" w:customStyle="1" w:styleId="FooterChar">
    <w:name w:val="Footer Char"/>
    <w:basedOn w:val="DefaultParagraphFont"/>
    <w:link w:val="Footer"/>
    <w:uiPriority w:val="57"/>
    <w:semiHidden/>
    <w:rsid w:val="00DA36D6"/>
    <w:rPr>
      <w:rFonts w:ascii="Times New Roman" w:eastAsia="Times New Roman" w:hAnsi="Times New Roman" w:cs="Times New Roman"/>
      <w:sz w:val="24"/>
      <w:lang w:val="en-GB"/>
    </w:rPr>
  </w:style>
  <w:style w:type="character" w:styleId="FootnoteReference">
    <w:name w:val="footnote reference"/>
    <w:uiPriority w:val="99"/>
    <w:semiHidden/>
    <w:rsid w:val="00DA36D6"/>
    <w:rPr>
      <w:vertAlign w:val="superscript"/>
    </w:rPr>
  </w:style>
  <w:style w:type="paragraph" w:styleId="FootnoteText">
    <w:name w:val="footnote text"/>
    <w:basedOn w:val="Normal"/>
    <w:link w:val="FootnoteTextChar"/>
    <w:uiPriority w:val="99"/>
    <w:semiHidden/>
    <w:rsid w:val="00DA36D6"/>
    <w:pPr>
      <w:spacing w:after="0" w:line="240" w:lineRule="auto"/>
      <w:jc w:val="both"/>
    </w:pPr>
    <w:rPr>
      <w:rFonts w:ascii="Times New Roman" w:eastAsia="MS Mincho"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DA36D6"/>
    <w:rPr>
      <w:rFonts w:ascii="Times New Roman" w:eastAsia="MS Mincho" w:hAnsi="Times New Roman" w:cs="Times New Roman"/>
      <w:sz w:val="20"/>
      <w:szCs w:val="20"/>
      <w:lang w:val="en-GB"/>
    </w:rPr>
  </w:style>
  <w:style w:type="character" w:styleId="Hyperlink">
    <w:name w:val="Hyperlink"/>
    <w:uiPriority w:val="99"/>
    <w:semiHidden/>
    <w:rsid w:val="00DA36D6"/>
    <w:rPr>
      <w:color w:val="0072BC"/>
      <w:u w:val="single"/>
    </w:rPr>
  </w:style>
  <w:style w:type="character" w:styleId="IntenseEmphasis">
    <w:name w:val="Intense Emphasis"/>
    <w:uiPriority w:val="99"/>
    <w:qFormat/>
    <w:rsid w:val="00DA36D6"/>
    <w:rPr>
      <w:b/>
      <w:bCs/>
    </w:rPr>
  </w:style>
  <w:style w:type="paragraph" w:styleId="IntenseQuote">
    <w:name w:val="Intense Quote"/>
    <w:basedOn w:val="Normal"/>
    <w:next w:val="Normal"/>
    <w:link w:val="IntenseQuoteChar"/>
    <w:uiPriority w:val="99"/>
    <w:qFormat/>
    <w:rsid w:val="00DA36D6"/>
    <w:pPr>
      <w:pBdr>
        <w:bottom w:val="single" w:sz="4" w:space="1" w:color="auto"/>
      </w:pBdr>
      <w:spacing w:before="200" w:after="280" w:line="240" w:lineRule="auto"/>
      <w:ind w:left="1008" w:right="1152"/>
      <w:jc w:val="both"/>
    </w:pPr>
    <w:rPr>
      <w:rFonts w:ascii="Times New Roman" w:eastAsia="MS Mincho" w:hAnsi="Times New Roman" w:cs="Times New Roman"/>
      <w:b/>
      <w:bCs/>
      <w:i/>
      <w:iCs/>
      <w:lang w:val="en-US" w:bidi="en-US"/>
    </w:rPr>
  </w:style>
  <w:style w:type="character" w:customStyle="1" w:styleId="IntenseQuoteChar">
    <w:name w:val="Intense Quote Char"/>
    <w:basedOn w:val="DefaultParagraphFont"/>
    <w:link w:val="IntenseQuote"/>
    <w:uiPriority w:val="99"/>
    <w:rsid w:val="00DA36D6"/>
    <w:rPr>
      <w:rFonts w:ascii="Times New Roman" w:eastAsia="MS Mincho" w:hAnsi="Times New Roman" w:cs="Times New Roman"/>
      <w:b/>
      <w:bCs/>
      <w:i/>
      <w:iCs/>
      <w:lang w:bidi="en-US"/>
    </w:rPr>
  </w:style>
  <w:style w:type="character" w:styleId="IntenseReference">
    <w:name w:val="Intense Reference"/>
    <w:uiPriority w:val="99"/>
    <w:qFormat/>
    <w:rsid w:val="00DA36D6"/>
    <w:rPr>
      <w:smallCaps/>
      <w:spacing w:val="5"/>
      <w:u w:val="single"/>
    </w:rPr>
  </w:style>
  <w:style w:type="paragraph" w:styleId="ListParagraph">
    <w:name w:val="List Paragraph"/>
    <w:basedOn w:val="Normal"/>
    <w:uiPriority w:val="99"/>
    <w:qFormat/>
    <w:rsid w:val="00DA36D6"/>
    <w:pPr>
      <w:spacing w:after="0" w:line="240" w:lineRule="auto"/>
      <w:ind w:left="720"/>
      <w:contextualSpacing/>
      <w:jc w:val="both"/>
    </w:pPr>
    <w:rPr>
      <w:rFonts w:ascii="Times New Roman" w:eastAsia="MS Mincho" w:hAnsi="Times New Roman" w:cs="Times New Roman"/>
      <w:sz w:val="24"/>
      <w:lang w:val="en-GB"/>
    </w:rPr>
  </w:style>
  <w:style w:type="table" w:customStyle="1" w:styleId="LtrTableAddress">
    <w:name w:val="Ltr_Table_Address"/>
    <w:basedOn w:val="TableNormal"/>
    <w:uiPriority w:val="99"/>
    <w:rsid w:val="00DA36D6"/>
    <w:pPr>
      <w:spacing w:after="0" w:line="240" w:lineRule="auto"/>
    </w:pPr>
    <w:rPr>
      <w:rFonts w:ascii="Times New Roman" w:eastAsia="Times New Roman" w:hAnsi="Times New Roman" w:cs="Times New Roman"/>
      <w:sz w:val="20"/>
      <w:szCs w:val="20"/>
    </w:rPr>
    <w:tblPr>
      <w:tblInd w:w="5103" w:type="dxa"/>
      <w:tblCellMar>
        <w:top w:w="0" w:type="dxa"/>
        <w:left w:w="108" w:type="dxa"/>
        <w:bottom w:w="0" w:type="dxa"/>
        <w:right w:w="108" w:type="dxa"/>
      </w:tblCellMar>
    </w:tblPr>
  </w:style>
  <w:style w:type="paragraph" w:styleId="Quote">
    <w:name w:val="Quote"/>
    <w:basedOn w:val="Normal"/>
    <w:next w:val="Normal"/>
    <w:link w:val="QuoteChar"/>
    <w:uiPriority w:val="99"/>
    <w:qFormat/>
    <w:rsid w:val="00DA36D6"/>
    <w:pPr>
      <w:spacing w:before="200" w:after="0" w:line="240" w:lineRule="auto"/>
      <w:ind w:left="360" w:right="360"/>
      <w:jc w:val="both"/>
    </w:pPr>
    <w:rPr>
      <w:rFonts w:ascii="Times New Roman" w:eastAsia="MS Mincho" w:hAnsi="Times New Roman" w:cs="Times New Roman"/>
      <w:i/>
      <w:iCs/>
      <w:lang w:val="en-US" w:bidi="en-US"/>
    </w:rPr>
  </w:style>
  <w:style w:type="character" w:customStyle="1" w:styleId="QuoteChar">
    <w:name w:val="Quote Char"/>
    <w:basedOn w:val="DefaultParagraphFont"/>
    <w:link w:val="Quote"/>
    <w:uiPriority w:val="99"/>
    <w:rsid w:val="00DA36D6"/>
    <w:rPr>
      <w:rFonts w:ascii="Times New Roman" w:eastAsia="MS Mincho" w:hAnsi="Times New Roman" w:cs="Times New Roman"/>
      <w:i/>
      <w:iCs/>
      <w:lang w:bidi="en-US"/>
    </w:rPr>
  </w:style>
  <w:style w:type="character" w:styleId="SubtleReference">
    <w:name w:val="Subtle Reference"/>
    <w:uiPriority w:val="99"/>
    <w:qFormat/>
    <w:rsid w:val="00DA36D6"/>
    <w:rPr>
      <w:smallCaps/>
    </w:rPr>
  </w:style>
  <w:style w:type="table" w:styleId="TableGrid">
    <w:name w:val="Table Grid"/>
    <w:basedOn w:val="TableNormal"/>
    <w:uiPriority w:val="59"/>
    <w:rsid w:val="00DA36D6"/>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99"/>
    <w:semiHidden/>
    <w:rsid w:val="00DA36D6"/>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DA36D6"/>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DA36D6"/>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DA36D6"/>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DA36D6"/>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DA36D6"/>
    <w:pPr>
      <w:keepNext/>
      <w:keepLines/>
    </w:pPr>
    <w:rPr>
      <w:rFonts w:asciiTheme="majorHAnsi" w:eastAsiaTheme="majorEastAsia" w:hAnsiTheme="majorHAnsi" w:cstheme="majorBidi"/>
      <w:color w:val="2E74B5" w:themeColor="accent1" w:themeShade="BF"/>
    </w:rPr>
  </w:style>
  <w:style w:type="table" w:customStyle="1" w:styleId="UGTable">
    <w:name w:val="UG_Table"/>
    <w:basedOn w:val="TableNormal"/>
    <w:uiPriority w:val="99"/>
    <w:rsid w:val="00DA36D6"/>
    <w:pPr>
      <w:spacing w:after="0" w:line="240" w:lineRule="auto"/>
    </w:pPr>
    <w:rPr>
      <w:rFonts w:ascii="Times New Roman" w:eastAsia="MS Mincho" w:hAnsi="Times New Roman" w:cs="Times New Roman"/>
      <w:sz w:val="20"/>
      <w:szCs w:val="20"/>
      <w:lang w:val="en-GB" w:eastAsia="en-GB"/>
    </w:rPr>
    <w:tblPr>
      <w:tblInd w:w="-964" w:type="dxa"/>
      <w:tblCellMar>
        <w:top w:w="0" w:type="dxa"/>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DA36D6"/>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DA36D6"/>
    <w:pPr>
      <w:spacing w:after="0" w:line="240" w:lineRule="auto"/>
    </w:pPr>
    <w:rPr>
      <w:rFonts w:ascii="Times New Roman" w:eastAsia="Times New Roman" w:hAnsi="Times New Roman" w:cs="Times New Roman"/>
      <w:color w:val="000000"/>
      <w:sz w:val="18"/>
      <w:szCs w:val="20"/>
    </w:rPr>
    <w:tblPr>
      <w:tblInd w:w="0" w:type="dxa"/>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CellMar>
        <w:top w:w="0" w:type="dxa"/>
        <w:left w:w="108" w:type="dxa"/>
        <w:bottom w:w="0" w:type="dxa"/>
        <w:right w:w="108" w:type="dxa"/>
      </w:tblCellMar>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DA36D6"/>
    <w:pPr>
      <w:spacing w:after="0" w:line="240" w:lineRule="auto"/>
    </w:pPr>
    <w:rPr>
      <w:rFonts w:ascii="Times New Roman" w:eastAsia="Times New Roman" w:hAnsi="Times New Roman" w:cs="Times New Roman"/>
      <w:color w:val="000000"/>
      <w:sz w:val="20"/>
      <w:szCs w:val="20"/>
    </w:rPr>
    <w:tblPr>
      <w:tblInd w:w="-680" w:type="dxa"/>
      <w:tblBorders>
        <w:insideH w:val="single" w:sz="4" w:space="0" w:color="C6C6C6"/>
        <w:insideV w:val="single" w:sz="4" w:space="0" w:color="C6C6C6"/>
      </w:tblBorders>
      <w:tblCellMar>
        <w:top w:w="142" w:type="dxa"/>
        <w:left w:w="108" w:type="dxa"/>
        <w:bottom w:w="142" w:type="dxa"/>
        <w:right w:w="108" w:type="dxa"/>
      </w:tblCellMar>
    </w:tblPr>
    <w:trPr>
      <w:cantSplit/>
    </w:trPr>
  </w:style>
  <w:style w:type="table" w:customStyle="1" w:styleId="ECHRTableMemo">
    <w:name w:val="ECHR_Table_Memo"/>
    <w:basedOn w:val="TableNormal"/>
    <w:uiPriority w:val="99"/>
    <w:rsid w:val="00DA36D6"/>
    <w:pPr>
      <w:spacing w:after="0" w:line="240" w:lineRule="auto"/>
    </w:pPr>
    <w:rPr>
      <w:rFonts w:ascii="Times New Roman" w:eastAsia="Times New Roman" w:hAnsi="Times New Roman" w:cs="Times New Roman"/>
      <w:sz w:val="20"/>
      <w:szCs w:val="20"/>
    </w:rPr>
    <w:tblPr>
      <w:jc w:val="center"/>
      <w:tblInd w:w="0" w:type="dxa"/>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DA36D6"/>
    <w:pPr>
      <w:spacing w:after="0" w:line="240" w:lineRule="auto"/>
    </w:pPr>
    <w:rPr>
      <w:rFonts w:ascii="Times New Roman" w:eastAsia="Times New Roman" w:hAnsi="Times New Roman" w:cs="Times New Roman"/>
      <w:sz w:val="20"/>
      <w:szCs w:val="20"/>
    </w:rPr>
    <w:tblPr>
      <w:jc w:val="center"/>
      <w:tblInd w:w="0" w:type="dxa"/>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left w:w="108" w:type="dxa"/>
        <w:bottom w:w="57" w:type="dxa"/>
        <w:right w:w="108"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DA36D6"/>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DA36D6"/>
    <w:pPr>
      <w:spacing w:after="600" w:line="240" w:lineRule="auto"/>
      <w:jc w:val="both"/>
    </w:pPr>
    <w:rPr>
      <w:rFonts w:ascii="Times New Roman" w:eastAsia="MS Gothic" w:hAnsi="Times New Roman" w:cs="Times New Roman"/>
      <w:i/>
      <w:iCs/>
      <w:spacing w:val="13"/>
      <w:sz w:val="24"/>
      <w:szCs w:val="24"/>
      <w:lang w:val="en-US" w:bidi="en-US"/>
    </w:rPr>
  </w:style>
  <w:style w:type="character" w:customStyle="1" w:styleId="SubtitleChar">
    <w:name w:val="Subtitle Char"/>
    <w:basedOn w:val="DefaultParagraphFont"/>
    <w:link w:val="Subtitle"/>
    <w:uiPriority w:val="99"/>
    <w:rsid w:val="00DA36D6"/>
    <w:rPr>
      <w:rFonts w:ascii="Times New Roman" w:eastAsia="MS Gothic" w:hAnsi="Times New Roman" w:cs="Times New Roman"/>
      <w:i/>
      <w:iCs/>
      <w:spacing w:val="13"/>
      <w:sz w:val="24"/>
      <w:szCs w:val="24"/>
      <w:lang w:bidi="en-US"/>
    </w:rPr>
  </w:style>
  <w:style w:type="numbering" w:styleId="111111">
    <w:name w:val="Outline List 2"/>
    <w:basedOn w:val="NoList"/>
    <w:uiPriority w:val="99"/>
    <w:semiHidden/>
    <w:unhideWhenUsed/>
    <w:rsid w:val="00DA36D6"/>
    <w:pPr>
      <w:numPr>
        <w:numId w:val="7"/>
      </w:numPr>
    </w:pPr>
  </w:style>
  <w:style w:type="paragraph" w:customStyle="1" w:styleId="ECHRPara">
    <w:name w:val="ECHR_Para"/>
    <w:aliases w:val="Ju_Para"/>
    <w:basedOn w:val="Normal"/>
    <w:link w:val="ECHRParaChar"/>
    <w:uiPriority w:val="12"/>
    <w:qFormat/>
    <w:rsid w:val="00DA36D6"/>
    <w:pPr>
      <w:spacing w:after="0" w:line="240" w:lineRule="auto"/>
      <w:ind w:firstLine="284"/>
      <w:jc w:val="both"/>
    </w:pPr>
    <w:rPr>
      <w:rFonts w:ascii="Times New Roman" w:eastAsia="MS Mincho" w:hAnsi="Times New Roman" w:cs="Times New Roman"/>
      <w:sz w:val="24"/>
      <w:lang w:val="en-GB"/>
    </w:rPr>
  </w:style>
  <w:style w:type="numbering" w:styleId="1ai">
    <w:name w:val="Outline List 1"/>
    <w:basedOn w:val="NoList"/>
    <w:uiPriority w:val="99"/>
    <w:semiHidden/>
    <w:unhideWhenUsed/>
    <w:rsid w:val="00DA36D6"/>
    <w:pPr>
      <w:numPr>
        <w:numId w:val="8"/>
      </w:numPr>
    </w:pPr>
  </w:style>
  <w:style w:type="table" w:customStyle="1" w:styleId="ECHRTableSimpleBox">
    <w:name w:val="ECHR_Table_Simple_Box"/>
    <w:basedOn w:val="TableNormal"/>
    <w:uiPriority w:val="99"/>
    <w:rsid w:val="00DA36D6"/>
    <w:pPr>
      <w:spacing w:after="0" w:line="240" w:lineRule="auto"/>
    </w:pPr>
    <w:rPr>
      <w:rFonts w:ascii="Times New Roman" w:eastAsia="Times New Roman" w:hAnsi="Times New Roman" w:cs="Times New Roman"/>
      <w:sz w:val="20"/>
      <w:szCs w:val="20"/>
    </w:rPr>
    <w:tblPr>
      <w:tblInd w:w="0" w:type="dxa"/>
      <w:tblBorders>
        <w:top w:val="single" w:sz="4" w:space="0" w:color="9F9F9F"/>
        <w:left w:val="single" w:sz="4" w:space="0" w:color="9F9F9F"/>
        <w:bottom w:val="single" w:sz="4" w:space="0" w:color="9F9F9F"/>
        <w:right w:val="single" w:sz="4" w:space="0" w:color="9F9F9F"/>
      </w:tblBorders>
      <w:tblCellMar>
        <w:top w:w="113" w:type="dxa"/>
        <w:left w:w="108" w:type="dxa"/>
        <w:bottom w:w="113" w:type="dxa"/>
        <w:right w:w="108" w:type="dxa"/>
      </w:tblCellMar>
    </w:tblPr>
  </w:style>
  <w:style w:type="table" w:customStyle="1" w:styleId="ECHRTableNoLines">
    <w:name w:val="ECHR_Table_No_Lines"/>
    <w:basedOn w:val="TableNormal"/>
    <w:uiPriority w:val="99"/>
    <w:rsid w:val="00DA36D6"/>
    <w:pPr>
      <w:spacing w:after="0" w:line="240" w:lineRule="auto"/>
    </w:pPr>
    <w:rPr>
      <w:rFonts w:ascii="Times New Roman" w:eastAsia="Times New Roman" w:hAnsi="Times New Roman" w:cs="Times New Roman"/>
      <w:sz w:val="20"/>
      <w:szCs w:val="20"/>
    </w:rPr>
    <w:tblPr>
      <w:tblInd w:w="0" w:type="dxa"/>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DA36D6"/>
    <w:pPr>
      <w:numPr>
        <w:numId w:val="9"/>
      </w:numPr>
    </w:pPr>
  </w:style>
  <w:style w:type="table" w:customStyle="1" w:styleId="ECHRTableForInternalUse">
    <w:name w:val="ECHR_Table_For_Internal_Use"/>
    <w:basedOn w:val="TableNormal"/>
    <w:uiPriority w:val="99"/>
    <w:rsid w:val="00DA36D6"/>
    <w:pPr>
      <w:spacing w:after="0" w:line="240" w:lineRule="auto"/>
    </w:pPr>
    <w:rPr>
      <w:rFonts w:ascii="Times New Roman" w:eastAsia="Times New Roman" w:hAnsi="Times New Roman" w:cs="Times New Roman"/>
      <w:color w:val="636363"/>
      <w:sz w:val="18"/>
      <w:szCs w:val="20"/>
    </w:rPr>
    <w:tblPr>
      <w:tblStyleColBandSize w:val="1"/>
      <w:jc w:val="right"/>
      <w:tblInd w:w="0" w:type="dxa"/>
      <w:tblCellMar>
        <w:top w:w="113" w:type="dxa"/>
        <w:left w:w="108" w:type="dxa"/>
        <w:bottom w:w="28" w:type="dxa"/>
        <w:right w:w="10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DA36D6"/>
    <w:pPr>
      <w:spacing w:after="0" w:line="240" w:lineRule="auto"/>
    </w:pPr>
    <w:rPr>
      <w:rFonts w:ascii="Times New Roman" w:eastAsia="Times New Roman" w:hAnsi="Times New Roman" w:cs="Times New Roman"/>
      <w:sz w:val="20"/>
      <w:szCs w:val="20"/>
    </w:rPr>
    <w:tblPr>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DA36D6"/>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DA36D6"/>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DA36D6"/>
    <w:pPr>
      <w:spacing w:after="0" w:line="240" w:lineRule="auto"/>
    </w:pPr>
    <w:rPr>
      <w:rFonts w:ascii="Times New Roman" w:eastAsia="Times New Roman" w:hAnsi="Times New Roman" w:cs="Times New Roman"/>
      <w:sz w:val="20"/>
      <w:szCs w:val="20"/>
    </w:rPr>
    <w:tblPr>
      <w:tblInd w:w="-680" w:type="dxa"/>
      <w:tblBorders>
        <w:bottom w:val="single" w:sz="6" w:space="0" w:color="949494"/>
      </w:tblBorders>
      <w:tblCellMar>
        <w:top w:w="0" w:type="dxa"/>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DA36D6"/>
    <w:pPr>
      <w:spacing w:after="120" w:line="240" w:lineRule="auto"/>
      <w:jc w:val="both"/>
    </w:pPr>
    <w:rPr>
      <w:rFonts w:ascii="Times New Roman" w:eastAsia="MS Mincho" w:hAnsi="Times New Roman" w:cs="Times New Roman"/>
      <w:sz w:val="24"/>
      <w:lang w:val="en-GB"/>
    </w:rPr>
  </w:style>
  <w:style w:type="character" w:customStyle="1" w:styleId="BodyTextChar">
    <w:name w:val="Body Text Char"/>
    <w:basedOn w:val="DefaultParagraphFont"/>
    <w:link w:val="BodyText"/>
    <w:uiPriority w:val="99"/>
    <w:semiHidden/>
    <w:rsid w:val="00DA36D6"/>
    <w:rPr>
      <w:rFonts w:ascii="Times New Roman" w:eastAsia="MS Mincho" w:hAnsi="Times New Roman" w:cs="Times New Roman"/>
      <w:sz w:val="24"/>
      <w:lang w:val="en-GB"/>
    </w:rPr>
  </w:style>
  <w:style w:type="table" w:customStyle="1" w:styleId="ECHRTableOddBanded">
    <w:name w:val="ECHR_Table_Odd_Banded"/>
    <w:basedOn w:val="TableNormal"/>
    <w:uiPriority w:val="9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left w:w="108" w:type="dxa"/>
        <w:bottom w:w="28" w:type="dxa"/>
        <w:right w:w="10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DA36D6"/>
    <w:pPr>
      <w:spacing w:after="120" w:line="480" w:lineRule="auto"/>
      <w:jc w:val="both"/>
    </w:pPr>
    <w:rPr>
      <w:rFonts w:ascii="Times New Roman" w:eastAsia="MS Mincho" w:hAnsi="Times New Roman" w:cs="Times New Roman"/>
      <w:sz w:val="24"/>
      <w:lang w:val="en-GB"/>
    </w:rPr>
  </w:style>
  <w:style w:type="character" w:customStyle="1" w:styleId="BodyText2Char">
    <w:name w:val="Body Text 2 Char"/>
    <w:basedOn w:val="DefaultParagraphFont"/>
    <w:link w:val="BodyText2"/>
    <w:uiPriority w:val="99"/>
    <w:semiHidden/>
    <w:rsid w:val="00DA36D6"/>
    <w:rPr>
      <w:rFonts w:ascii="Times New Roman" w:eastAsia="MS Mincho" w:hAnsi="Times New Roman" w:cs="Times New Roman"/>
      <w:sz w:val="24"/>
      <w:lang w:val="en-GB"/>
    </w:rPr>
  </w:style>
  <w:style w:type="table" w:customStyle="1" w:styleId="ECHRHeaderTableReduced">
    <w:name w:val="ECHR_Header_Table_Reduced"/>
    <w:basedOn w:val="TableNormal"/>
    <w:uiPriority w:val="99"/>
    <w:rsid w:val="00DA36D6"/>
    <w:pPr>
      <w:spacing w:after="0" w:line="240" w:lineRule="auto"/>
    </w:pPr>
    <w:rPr>
      <w:rFonts w:ascii="Times New Roman" w:eastAsia="Times New Roman" w:hAnsi="Times New Roman" w:cs="Times New Roman"/>
      <w:sz w:val="20"/>
      <w:szCs w:val="20"/>
    </w:rPr>
    <w:tblPr>
      <w:tblInd w:w="-680" w:type="dxa"/>
      <w:tblCellMar>
        <w:top w:w="0" w:type="dxa"/>
        <w:left w:w="0" w:type="dxa"/>
        <w:bottom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DA36D6"/>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DA36D6"/>
    <w:rPr>
      <w:sz w:val="18"/>
    </w:rPr>
  </w:style>
  <w:style w:type="paragraph" w:styleId="ListBullet">
    <w:name w:val="List Bullet"/>
    <w:basedOn w:val="Normal"/>
    <w:uiPriority w:val="99"/>
    <w:semiHidden/>
    <w:rsid w:val="00DA36D6"/>
    <w:pPr>
      <w:numPr>
        <w:numId w:val="6"/>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DA36D6"/>
    <w:pPr>
      <w:numPr>
        <w:numId w:val="5"/>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DA36D6"/>
    <w:pPr>
      <w:spacing w:after="120" w:line="240" w:lineRule="auto"/>
      <w:jc w:val="both"/>
    </w:pPr>
    <w:rPr>
      <w:rFonts w:ascii="Times New Roman" w:eastAsia="MS Mincho" w:hAnsi="Times New Roman" w:cs="Times New Roman"/>
      <w:sz w:val="16"/>
      <w:szCs w:val="16"/>
      <w:lang w:val="en-GB"/>
    </w:rPr>
  </w:style>
  <w:style w:type="character" w:customStyle="1" w:styleId="BodyText3Char">
    <w:name w:val="Body Text 3 Char"/>
    <w:basedOn w:val="DefaultParagraphFont"/>
    <w:link w:val="BodyText3"/>
    <w:uiPriority w:val="99"/>
    <w:semiHidden/>
    <w:rsid w:val="00DA36D6"/>
    <w:rPr>
      <w:rFonts w:ascii="Times New Roman" w:eastAsia="MS Mincho" w:hAnsi="Times New Roman" w:cs="Times New Roman"/>
      <w:sz w:val="16"/>
      <w:szCs w:val="16"/>
      <w:lang w:val="en-GB"/>
    </w:rPr>
  </w:style>
  <w:style w:type="paragraph" w:styleId="BodyTextFirstIndent">
    <w:name w:val="Body Text First Indent"/>
    <w:basedOn w:val="BodyText"/>
    <w:link w:val="BodyTextFirstIndentChar"/>
    <w:uiPriority w:val="99"/>
    <w:semiHidden/>
    <w:rsid w:val="00DA36D6"/>
    <w:pPr>
      <w:spacing w:after="0"/>
      <w:ind w:firstLine="360"/>
    </w:pPr>
  </w:style>
  <w:style w:type="character" w:customStyle="1" w:styleId="BodyTextFirstIndentChar">
    <w:name w:val="Body Text First Indent Char"/>
    <w:basedOn w:val="BodyTextChar"/>
    <w:link w:val="BodyTextFirstIndent"/>
    <w:uiPriority w:val="99"/>
    <w:semiHidden/>
    <w:rsid w:val="00DA36D6"/>
    <w:rPr>
      <w:rFonts w:ascii="Times New Roman" w:eastAsia="MS Mincho" w:hAnsi="Times New Roman" w:cs="Times New Roman"/>
      <w:sz w:val="24"/>
      <w:lang w:val="en-GB"/>
    </w:rPr>
  </w:style>
  <w:style w:type="paragraph" w:styleId="BodyTextIndent">
    <w:name w:val="Body Text Indent"/>
    <w:basedOn w:val="Normal"/>
    <w:link w:val="BodyTextIndentChar"/>
    <w:uiPriority w:val="99"/>
    <w:semiHidden/>
    <w:rsid w:val="00DA36D6"/>
    <w:pPr>
      <w:spacing w:after="120" w:line="240" w:lineRule="auto"/>
      <w:ind w:left="283"/>
      <w:jc w:val="both"/>
    </w:pPr>
    <w:rPr>
      <w:rFonts w:ascii="Times New Roman" w:eastAsia="MS Mincho" w:hAnsi="Times New Roman" w:cs="Times New Roman"/>
      <w:sz w:val="24"/>
      <w:lang w:val="en-GB"/>
    </w:rPr>
  </w:style>
  <w:style w:type="character" w:customStyle="1" w:styleId="BodyTextIndentChar">
    <w:name w:val="Body Text Indent Char"/>
    <w:basedOn w:val="DefaultParagraphFont"/>
    <w:link w:val="BodyTextIndent"/>
    <w:uiPriority w:val="99"/>
    <w:semiHidden/>
    <w:rsid w:val="00DA36D6"/>
    <w:rPr>
      <w:rFonts w:ascii="Times New Roman" w:eastAsia="MS Mincho" w:hAnsi="Times New Roman" w:cs="Times New Roman"/>
      <w:sz w:val="24"/>
      <w:lang w:val="en-GB"/>
    </w:rPr>
  </w:style>
  <w:style w:type="paragraph" w:styleId="BodyTextFirstIndent2">
    <w:name w:val="Body Text First Indent 2"/>
    <w:basedOn w:val="BodyTextIndent"/>
    <w:link w:val="BodyTextFirstIndent2Char"/>
    <w:uiPriority w:val="99"/>
    <w:semiHidden/>
    <w:rsid w:val="00DA36D6"/>
    <w:pPr>
      <w:spacing w:after="0"/>
      <w:ind w:left="360" w:firstLine="360"/>
    </w:pPr>
  </w:style>
  <w:style w:type="character" w:customStyle="1" w:styleId="BodyTextFirstIndent2Char">
    <w:name w:val="Body Text First Indent 2 Char"/>
    <w:basedOn w:val="BodyTextIndentChar"/>
    <w:link w:val="BodyTextFirstIndent2"/>
    <w:uiPriority w:val="99"/>
    <w:semiHidden/>
    <w:rsid w:val="00DA36D6"/>
    <w:rPr>
      <w:rFonts w:ascii="Times New Roman" w:eastAsia="MS Mincho" w:hAnsi="Times New Roman" w:cs="Times New Roman"/>
      <w:sz w:val="24"/>
      <w:lang w:val="en-GB"/>
    </w:rPr>
  </w:style>
  <w:style w:type="paragraph" w:styleId="BodyTextIndent2">
    <w:name w:val="Body Text Indent 2"/>
    <w:basedOn w:val="Normal"/>
    <w:link w:val="BodyTextIndent2Char"/>
    <w:uiPriority w:val="99"/>
    <w:semiHidden/>
    <w:rsid w:val="00DA36D6"/>
    <w:pPr>
      <w:spacing w:after="120" w:line="480" w:lineRule="auto"/>
      <w:ind w:left="283"/>
      <w:jc w:val="both"/>
    </w:pPr>
    <w:rPr>
      <w:rFonts w:ascii="Times New Roman" w:eastAsia="MS Mincho" w:hAnsi="Times New Roman" w:cs="Times New Roman"/>
      <w:sz w:val="24"/>
      <w:lang w:val="en-GB"/>
    </w:rPr>
  </w:style>
  <w:style w:type="character" w:customStyle="1" w:styleId="BodyTextIndent2Char">
    <w:name w:val="Body Text Indent 2 Char"/>
    <w:basedOn w:val="DefaultParagraphFont"/>
    <w:link w:val="BodyTextIndent2"/>
    <w:uiPriority w:val="99"/>
    <w:semiHidden/>
    <w:rsid w:val="00DA36D6"/>
    <w:rPr>
      <w:rFonts w:ascii="Times New Roman" w:eastAsia="MS Mincho" w:hAnsi="Times New Roman" w:cs="Times New Roman"/>
      <w:sz w:val="24"/>
      <w:lang w:val="en-GB"/>
    </w:rPr>
  </w:style>
  <w:style w:type="paragraph" w:styleId="BodyTextIndent3">
    <w:name w:val="Body Text Indent 3"/>
    <w:basedOn w:val="Normal"/>
    <w:link w:val="BodyTextIndent3Char"/>
    <w:uiPriority w:val="99"/>
    <w:semiHidden/>
    <w:rsid w:val="00DA36D6"/>
    <w:pPr>
      <w:spacing w:after="120" w:line="240" w:lineRule="auto"/>
      <w:ind w:left="283"/>
      <w:jc w:val="both"/>
    </w:pPr>
    <w:rPr>
      <w:rFonts w:ascii="Times New Roman" w:eastAsia="MS Mincho" w:hAnsi="Times New Roman" w:cs="Times New Roman"/>
      <w:sz w:val="16"/>
      <w:szCs w:val="16"/>
      <w:lang w:val="en-GB"/>
    </w:rPr>
  </w:style>
  <w:style w:type="character" w:customStyle="1" w:styleId="BodyTextIndent3Char">
    <w:name w:val="Body Text Indent 3 Char"/>
    <w:basedOn w:val="DefaultParagraphFont"/>
    <w:link w:val="BodyTextIndent3"/>
    <w:uiPriority w:val="99"/>
    <w:semiHidden/>
    <w:rsid w:val="00DA36D6"/>
    <w:rPr>
      <w:rFonts w:ascii="Times New Roman" w:eastAsia="MS Mincho" w:hAnsi="Times New Roman" w:cs="Times New Roman"/>
      <w:sz w:val="16"/>
      <w:szCs w:val="16"/>
      <w:lang w:val="en-GB"/>
    </w:rPr>
  </w:style>
  <w:style w:type="paragraph" w:styleId="Caption">
    <w:name w:val="caption"/>
    <w:basedOn w:val="Normal"/>
    <w:next w:val="Normal"/>
    <w:uiPriority w:val="99"/>
    <w:semiHidden/>
    <w:qFormat/>
    <w:rsid w:val="00DA36D6"/>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DA36D6"/>
    <w:pPr>
      <w:spacing w:after="0" w:line="240" w:lineRule="auto"/>
      <w:ind w:left="4252"/>
      <w:jc w:val="both"/>
    </w:pPr>
    <w:rPr>
      <w:rFonts w:ascii="Times New Roman" w:eastAsia="MS Mincho" w:hAnsi="Times New Roman" w:cs="Times New Roman"/>
      <w:sz w:val="24"/>
      <w:lang w:val="en-GB"/>
    </w:rPr>
  </w:style>
  <w:style w:type="character" w:customStyle="1" w:styleId="ClosingChar">
    <w:name w:val="Closing Char"/>
    <w:basedOn w:val="DefaultParagraphFont"/>
    <w:link w:val="Closing"/>
    <w:uiPriority w:val="99"/>
    <w:semiHidden/>
    <w:rsid w:val="00DA36D6"/>
    <w:rPr>
      <w:rFonts w:ascii="Times New Roman" w:eastAsia="MS Mincho" w:hAnsi="Times New Roman" w:cs="Times New Roman"/>
      <w:sz w:val="24"/>
      <w:lang w:val="en-GB"/>
    </w:rPr>
  </w:style>
  <w:style w:type="table" w:styleId="ColorfulGrid">
    <w:name w:val="Colorful Grid"/>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insideH w:val="single" w:sz="4" w:space="0" w:color="0072BC"/>
      </w:tblBorders>
      <w:tblCellMar>
        <w:top w:w="0" w:type="dxa"/>
        <w:left w:w="108" w:type="dxa"/>
        <w:bottom w:w="0" w:type="dxa"/>
        <w:right w:w="108" w:type="dxa"/>
      </w:tblCellMar>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CellMar>
        <w:top w:w="0" w:type="dxa"/>
        <w:left w:w="108" w:type="dxa"/>
        <w:bottom w:w="0" w:type="dxa"/>
        <w:right w:w="108" w:type="dxa"/>
      </w:tblCellMar>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CellMar>
        <w:top w:w="0" w:type="dxa"/>
        <w:left w:w="108" w:type="dxa"/>
        <w:bottom w:w="0" w:type="dxa"/>
        <w:right w:w="108" w:type="dxa"/>
      </w:tblCellMar>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CellMar>
        <w:top w:w="0" w:type="dxa"/>
        <w:left w:w="108" w:type="dxa"/>
        <w:bottom w:w="0" w:type="dxa"/>
        <w:right w:w="108" w:type="dxa"/>
      </w:tblCellMar>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CellMar>
        <w:top w:w="0" w:type="dxa"/>
        <w:left w:w="108" w:type="dxa"/>
        <w:bottom w:w="0" w:type="dxa"/>
        <w:right w:w="108" w:type="dxa"/>
      </w:tblCellMar>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CellMar>
        <w:top w:w="0" w:type="dxa"/>
        <w:left w:w="108" w:type="dxa"/>
        <w:bottom w:w="0" w:type="dxa"/>
        <w:right w:w="108" w:type="dxa"/>
      </w:tblCellMar>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DA36D6"/>
    <w:rPr>
      <w:sz w:val="16"/>
      <w:szCs w:val="16"/>
    </w:rPr>
  </w:style>
  <w:style w:type="paragraph" w:styleId="CommentText">
    <w:name w:val="annotation text"/>
    <w:basedOn w:val="Normal"/>
    <w:link w:val="CommentTextChar"/>
    <w:uiPriority w:val="99"/>
    <w:semiHidden/>
    <w:rsid w:val="00DA36D6"/>
    <w:pPr>
      <w:spacing w:after="0" w:line="240" w:lineRule="auto"/>
      <w:jc w:val="both"/>
    </w:pPr>
    <w:rPr>
      <w:rFonts w:ascii="Times New Roman" w:eastAsia="MS Mincho"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DA36D6"/>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DA36D6"/>
    <w:rPr>
      <w:b/>
      <w:bCs/>
    </w:rPr>
  </w:style>
  <w:style w:type="character" w:customStyle="1" w:styleId="CommentSubjectChar">
    <w:name w:val="Comment Subject Char"/>
    <w:basedOn w:val="CommentTextChar"/>
    <w:link w:val="CommentSubject"/>
    <w:uiPriority w:val="99"/>
    <w:semiHidden/>
    <w:rsid w:val="00DA36D6"/>
    <w:rPr>
      <w:rFonts w:ascii="Times New Roman" w:eastAsia="MS Mincho" w:hAnsi="Times New Roman" w:cs="Times New Roman"/>
      <w:b/>
      <w:bCs/>
      <w:sz w:val="20"/>
      <w:szCs w:val="20"/>
      <w:lang w:val="en-GB"/>
    </w:rPr>
  </w:style>
  <w:style w:type="table" w:styleId="DarkList">
    <w:name w:val="Dark List"/>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DA36D6"/>
    <w:pPr>
      <w:spacing w:after="0" w:line="240" w:lineRule="auto"/>
    </w:pPr>
    <w:rPr>
      <w:rFonts w:ascii="Times New Roman" w:eastAsia="Times New Roman" w:hAnsi="Times New Roman" w:cs="Times New Roman"/>
      <w:color w:val="0072BC"/>
      <w:sz w:val="20"/>
      <w:szCs w:val="20"/>
    </w:rPr>
    <w:tblPr>
      <w:tblStyleRowBandSize w:val="1"/>
      <w:tblStyleColBandSize w:val="1"/>
      <w:tblInd w:w="0" w:type="dxa"/>
      <w:tblCellMar>
        <w:top w:w="0" w:type="dxa"/>
        <w:left w:w="108" w:type="dxa"/>
        <w:bottom w:w="0" w:type="dxa"/>
        <w:right w:w="108" w:type="dxa"/>
      </w:tblCellMar>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DA36D6"/>
    <w:pPr>
      <w:spacing w:after="0" w:line="240" w:lineRule="auto"/>
      <w:jc w:val="both"/>
    </w:pPr>
    <w:rPr>
      <w:rFonts w:ascii="Times New Roman" w:eastAsia="MS Mincho" w:hAnsi="Times New Roman" w:cs="Times New Roman"/>
      <w:sz w:val="24"/>
      <w:lang w:val="en-GB"/>
    </w:rPr>
  </w:style>
  <w:style w:type="character" w:customStyle="1" w:styleId="DateChar">
    <w:name w:val="Date Char"/>
    <w:basedOn w:val="DefaultParagraphFont"/>
    <w:link w:val="Date"/>
    <w:uiPriority w:val="99"/>
    <w:semiHidden/>
    <w:rsid w:val="00DA36D6"/>
    <w:rPr>
      <w:rFonts w:ascii="Times New Roman" w:eastAsia="MS Mincho" w:hAnsi="Times New Roman" w:cs="Times New Roman"/>
      <w:sz w:val="24"/>
      <w:lang w:val="en-GB"/>
    </w:rPr>
  </w:style>
  <w:style w:type="paragraph" w:styleId="DocumentMap">
    <w:name w:val="Document Map"/>
    <w:basedOn w:val="Normal"/>
    <w:link w:val="DocumentMapChar"/>
    <w:uiPriority w:val="99"/>
    <w:semiHidden/>
    <w:rsid w:val="00DA36D6"/>
    <w:pPr>
      <w:spacing w:after="0" w:line="240" w:lineRule="auto"/>
      <w:jc w:val="both"/>
    </w:pPr>
    <w:rPr>
      <w:rFonts w:ascii="Tahoma" w:eastAsia="MS Mincho" w:hAnsi="Tahoma" w:cs="Tahoma"/>
      <w:sz w:val="16"/>
      <w:szCs w:val="16"/>
      <w:lang w:val="en-GB"/>
    </w:rPr>
  </w:style>
  <w:style w:type="character" w:customStyle="1" w:styleId="DocumentMapChar">
    <w:name w:val="Document Map Char"/>
    <w:basedOn w:val="DefaultParagraphFont"/>
    <w:link w:val="DocumentMap"/>
    <w:uiPriority w:val="99"/>
    <w:semiHidden/>
    <w:rsid w:val="00DA36D6"/>
    <w:rPr>
      <w:rFonts w:ascii="Tahoma" w:eastAsia="MS Mincho" w:hAnsi="Tahoma" w:cs="Tahoma"/>
      <w:sz w:val="16"/>
      <w:szCs w:val="16"/>
      <w:lang w:val="en-GB"/>
    </w:rPr>
  </w:style>
  <w:style w:type="paragraph" w:styleId="E-mailSignature">
    <w:name w:val="E-mail Signature"/>
    <w:basedOn w:val="Normal"/>
    <w:link w:val="E-mailSignatureChar"/>
    <w:uiPriority w:val="99"/>
    <w:semiHidden/>
    <w:rsid w:val="00DA36D6"/>
    <w:pPr>
      <w:spacing w:after="0" w:line="240" w:lineRule="auto"/>
      <w:jc w:val="both"/>
    </w:pPr>
    <w:rPr>
      <w:rFonts w:ascii="Times New Roman" w:eastAsia="MS Mincho" w:hAnsi="Times New Roman" w:cs="Times New Roman"/>
      <w:sz w:val="24"/>
      <w:lang w:val="en-GB"/>
    </w:rPr>
  </w:style>
  <w:style w:type="character" w:customStyle="1" w:styleId="E-mailSignatureChar">
    <w:name w:val="E-mail Signature Char"/>
    <w:basedOn w:val="DefaultParagraphFont"/>
    <w:link w:val="E-mailSignature"/>
    <w:uiPriority w:val="99"/>
    <w:semiHidden/>
    <w:rsid w:val="00DA36D6"/>
    <w:rPr>
      <w:rFonts w:ascii="Times New Roman" w:eastAsia="MS Mincho" w:hAnsi="Times New Roman" w:cs="Times New Roman"/>
      <w:sz w:val="24"/>
      <w:lang w:val="en-GB"/>
    </w:rPr>
  </w:style>
  <w:style w:type="character" w:styleId="EndnoteReference">
    <w:name w:val="endnote reference"/>
    <w:uiPriority w:val="99"/>
    <w:semiHidden/>
    <w:rsid w:val="00DA36D6"/>
    <w:rPr>
      <w:vertAlign w:val="superscript"/>
    </w:rPr>
  </w:style>
  <w:style w:type="paragraph" w:styleId="EndnoteText">
    <w:name w:val="endnote text"/>
    <w:basedOn w:val="Normal"/>
    <w:link w:val="EndnoteTextChar"/>
    <w:uiPriority w:val="99"/>
    <w:semiHidden/>
    <w:rsid w:val="00DA36D6"/>
    <w:pPr>
      <w:spacing w:after="0" w:line="240" w:lineRule="auto"/>
      <w:jc w:val="both"/>
    </w:pPr>
    <w:rPr>
      <w:rFonts w:ascii="Times New Roman" w:eastAsia="MS Mincho"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DA36D6"/>
    <w:rPr>
      <w:rFonts w:ascii="Times New Roman" w:eastAsia="MS Mincho" w:hAnsi="Times New Roman" w:cs="Times New Roman"/>
      <w:sz w:val="20"/>
      <w:szCs w:val="20"/>
      <w:lang w:val="en-GB"/>
    </w:rPr>
  </w:style>
  <w:style w:type="paragraph" w:styleId="EnvelopeAddress">
    <w:name w:val="envelope address"/>
    <w:basedOn w:val="Normal"/>
    <w:uiPriority w:val="99"/>
    <w:semiHidden/>
    <w:rsid w:val="00DA36D6"/>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DA36D6"/>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DA36D6"/>
    <w:rPr>
      <w:color w:val="7030A0"/>
      <w:u w:val="single"/>
    </w:rPr>
  </w:style>
  <w:style w:type="character" w:styleId="HTMLAcronym">
    <w:name w:val="HTML Acronym"/>
    <w:basedOn w:val="DefaultParagraphFont"/>
    <w:uiPriority w:val="99"/>
    <w:semiHidden/>
    <w:rsid w:val="00DA36D6"/>
  </w:style>
  <w:style w:type="paragraph" w:styleId="HTMLAddress">
    <w:name w:val="HTML Address"/>
    <w:basedOn w:val="Normal"/>
    <w:link w:val="HTMLAddressChar"/>
    <w:uiPriority w:val="99"/>
    <w:semiHidden/>
    <w:rsid w:val="00DA36D6"/>
    <w:pPr>
      <w:spacing w:after="0" w:line="240" w:lineRule="auto"/>
      <w:jc w:val="both"/>
    </w:pPr>
    <w:rPr>
      <w:rFonts w:ascii="Times New Roman" w:eastAsia="MS Mincho" w:hAnsi="Times New Roman" w:cs="Times New Roman"/>
      <w:i/>
      <w:iCs/>
      <w:sz w:val="24"/>
      <w:lang w:val="en-GB"/>
    </w:rPr>
  </w:style>
  <w:style w:type="character" w:customStyle="1" w:styleId="HTMLAddressChar">
    <w:name w:val="HTML Address Char"/>
    <w:basedOn w:val="DefaultParagraphFont"/>
    <w:link w:val="HTMLAddress"/>
    <w:uiPriority w:val="99"/>
    <w:semiHidden/>
    <w:rsid w:val="00DA36D6"/>
    <w:rPr>
      <w:rFonts w:ascii="Times New Roman" w:eastAsia="MS Mincho" w:hAnsi="Times New Roman" w:cs="Times New Roman"/>
      <w:i/>
      <w:iCs/>
      <w:sz w:val="24"/>
      <w:lang w:val="en-GB"/>
    </w:rPr>
  </w:style>
  <w:style w:type="character" w:styleId="HTMLCite">
    <w:name w:val="HTML Cite"/>
    <w:uiPriority w:val="99"/>
    <w:semiHidden/>
    <w:rsid w:val="00DA36D6"/>
    <w:rPr>
      <w:i/>
      <w:iCs/>
    </w:rPr>
  </w:style>
  <w:style w:type="character" w:styleId="HTMLCode">
    <w:name w:val="HTML Code"/>
    <w:uiPriority w:val="99"/>
    <w:semiHidden/>
    <w:rsid w:val="00DA36D6"/>
    <w:rPr>
      <w:rFonts w:ascii="Consolas" w:hAnsi="Consolas" w:cs="Consolas"/>
      <w:sz w:val="20"/>
      <w:szCs w:val="20"/>
    </w:rPr>
  </w:style>
  <w:style w:type="character" w:styleId="HTMLDefinition">
    <w:name w:val="HTML Definition"/>
    <w:uiPriority w:val="99"/>
    <w:semiHidden/>
    <w:rsid w:val="00DA36D6"/>
    <w:rPr>
      <w:i/>
      <w:iCs/>
    </w:rPr>
  </w:style>
  <w:style w:type="character" w:styleId="HTMLKeyboard">
    <w:name w:val="HTML Keyboard"/>
    <w:uiPriority w:val="99"/>
    <w:semiHidden/>
    <w:rsid w:val="00DA36D6"/>
    <w:rPr>
      <w:rFonts w:ascii="Consolas" w:hAnsi="Consolas" w:cs="Consolas"/>
      <w:sz w:val="20"/>
      <w:szCs w:val="20"/>
    </w:rPr>
  </w:style>
  <w:style w:type="paragraph" w:styleId="HTMLPreformatted">
    <w:name w:val="HTML Preformatted"/>
    <w:basedOn w:val="Normal"/>
    <w:link w:val="HTMLPreformattedChar"/>
    <w:uiPriority w:val="99"/>
    <w:semiHidden/>
    <w:rsid w:val="00DA36D6"/>
    <w:pPr>
      <w:spacing w:after="0" w:line="240" w:lineRule="auto"/>
      <w:jc w:val="both"/>
    </w:pPr>
    <w:rPr>
      <w:rFonts w:ascii="Consolas" w:eastAsia="MS Mincho" w:hAnsi="Consolas" w:cs="Consolas"/>
      <w:sz w:val="20"/>
      <w:szCs w:val="20"/>
      <w:lang w:val="en-GB"/>
    </w:rPr>
  </w:style>
  <w:style w:type="character" w:customStyle="1" w:styleId="HTMLPreformattedChar">
    <w:name w:val="HTML Preformatted Char"/>
    <w:basedOn w:val="DefaultParagraphFont"/>
    <w:link w:val="HTMLPreformatted"/>
    <w:uiPriority w:val="99"/>
    <w:semiHidden/>
    <w:rsid w:val="00DA36D6"/>
    <w:rPr>
      <w:rFonts w:ascii="Consolas" w:eastAsia="MS Mincho" w:hAnsi="Consolas" w:cs="Consolas"/>
      <w:sz w:val="20"/>
      <w:szCs w:val="20"/>
      <w:lang w:val="en-GB"/>
    </w:rPr>
  </w:style>
  <w:style w:type="character" w:styleId="HTMLSample">
    <w:name w:val="HTML Sample"/>
    <w:uiPriority w:val="99"/>
    <w:semiHidden/>
    <w:rsid w:val="00DA36D6"/>
    <w:rPr>
      <w:rFonts w:ascii="Consolas" w:hAnsi="Consolas" w:cs="Consolas"/>
      <w:sz w:val="24"/>
      <w:szCs w:val="24"/>
    </w:rPr>
  </w:style>
  <w:style w:type="character" w:styleId="HTMLTypewriter">
    <w:name w:val="HTML Typewriter"/>
    <w:uiPriority w:val="99"/>
    <w:semiHidden/>
    <w:rsid w:val="00DA36D6"/>
    <w:rPr>
      <w:rFonts w:ascii="Consolas" w:hAnsi="Consolas" w:cs="Consolas"/>
      <w:sz w:val="20"/>
      <w:szCs w:val="20"/>
    </w:rPr>
  </w:style>
  <w:style w:type="character" w:styleId="HTMLVariable">
    <w:name w:val="HTML Variable"/>
    <w:uiPriority w:val="99"/>
    <w:semiHidden/>
    <w:rsid w:val="00DA36D6"/>
    <w:rPr>
      <w:i/>
      <w:iCs/>
    </w:rPr>
  </w:style>
  <w:style w:type="paragraph" w:styleId="Index1">
    <w:name w:val="index 1"/>
    <w:basedOn w:val="Normal"/>
    <w:next w:val="Normal"/>
    <w:autoRedefine/>
    <w:uiPriority w:val="99"/>
    <w:semiHidden/>
    <w:rsid w:val="00DA36D6"/>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DA36D6"/>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DA36D6"/>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DA36D6"/>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DA36D6"/>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DA36D6"/>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DA36D6"/>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DA36D6"/>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DA36D6"/>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DA36D6"/>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36D6"/>
    <w:pPr>
      <w:spacing w:after="0" w:line="240" w:lineRule="auto"/>
    </w:pPr>
    <w:rPr>
      <w:rFonts w:ascii="Times New Roman" w:eastAsia="Times New Roman" w:hAnsi="Times New Roman" w:cs="Times New Roman"/>
      <w:color w:val="00548C"/>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DA36D6"/>
    <w:pPr>
      <w:spacing w:after="0" w:line="240" w:lineRule="auto"/>
    </w:pPr>
    <w:rPr>
      <w:rFonts w:ascii="Times New Roman" w:eastAsia="Times New Roman" w:hAnsi="Times New Roman" w:cs="Times New Roman"/>
      <w:color w:val="8F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DA36D6"/>
    <w:pPr>
      <w:spacing w:after="0" w:line="240" w:lineRule="auto"/>
    </w:pPr>
    <w:rPr>
      <w:rFonts w:ascii="Times New Roman" w:eastAsia="Times New Roman" w:hAnsi="Times New Roman" w:cs="Times New Roman"/>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DA36D6"/>
    <w:pPr>
      <w:spacing w:after="0" w:line="240" w:lineRule="auto"/>
    </w:pPr>
    <w:rPr>
      <w:rFonts w:ascii="Times New Roman" w:eastAsia="Times New Roman" w:hAnsi="Times New Roman" w:cs="Times New Roman"/>
      <w:color w:val="70707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DA36D6"/>
    <w:pPr>
      <w:spacing w:after="0" w:line="240" w:lineRule="auto"/>
    </w:pPr>
    <w:rPr>
      <w:rFonts w:ascii="Times New Roman" w:eastAsia="Times New Roman" w:hAnsi="Times New Roman" w:cs="Times New Roman"/>
      <w:color w:val="474747"/>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DA36D6"/>
    <w:pPr>
      <w:spacing w:after="0" w:line="240" w:lineRule="auto"/>
    </w:pPr>
    <w:rPr>
      <w:rFonts w:ascii="Times New Roman" w:eastAsia="Times New Roman" w:hAnsi="Times New Roman" w:cs="Times New Roman"/>
      <w:color w:val="393939"/>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DA36D6"/>
  </w:style>
  <w:style w:type="paragraph" w:styleId="List">
    <w:name w:val="List"/>
    <w:basedOn w:val="Normal"/>
    <w:uiPriority w:val="99"/>
    <w:semiHidden/>
    <w:rsid w:val="00DA36D6"/>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DA36D6"/>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DA36D6"/>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DA36D6"/>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DA36D6"/>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DA36D6"/>
    <w:pPr>
      <w:numPr>
        <w:numId w:val="10"/>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DA36D6"/>
    <w:pPr>
      <w:numPr>
        <w:numId w:val="11"/>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DA36D6"/>
    <w:pPr>
      <w:numPr>
        <w:numId w:val="12"/>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DA36D6"/>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DA36D6"/>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DA36D6"/>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DA36D6"/>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DA36D6"/>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DA36D6"/>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DA36D6"/>
    <w:pPr>
      <w:numPr>
        <w:numId w:val="14"/>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DA36D6"/>
    <w:pPr>
      <w:numPr>
        <w:numId w:val="15"/>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DA36D6"/>
    <w:pPr>
      <w:numPr>
        <w:numId w:val="16"/>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DA36D6"/>
    <w:pPr>
      <w:numPr>
        <w:numId w:val="17"/>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DA36D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DA36D6"/>
    <w:rPr>
      <w:rFonts w:ascii="Consolas" w:eastAsia="MS Mincho" w:hAnsi="Consolas" w:cs="Consolas"/>
      <w:sz w:val="20"/>
      <w:szCs w:val="20"/>
    </w:rPr>
  </w:style>
  <w:style w:type="table" w:styleId="MediumGrid1">
    <w:name w:val="Medium Grid 1"/>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CellMar>
        <w:top w:w="0" w:type="dxa"/>
        <w:left w:w="108" w:type="dxa"/>
        <w:bottom w:w="0" w:type="dxa"/>
        <w:right w:w="108" w:type="dxa"/>
      </w:tblCellMar>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CellMar>
        <w:top w:w="0" w:type="dxa"/>
        <w:left w:w="108" w:type="dxa"/>
        <w:bottom w:w="0" w:type="dxa"/>
        <w:right w:w="108" w:type="dxa"/>
      </w:tblCellMar>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108" w:type="dxa"/>
        <w:bottom w:w="0" w:type="dxa"/>
        <w:right w:w="108" w:type="dxa"/>
      </w:tblCellMar>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CellMar>
        <w:top w:w="0" w:type="dxa"/>
        <w:left w:w="108" w:type="dxa"/>
        <w:bottom w:w="0" w:type="dxa"/>
        <w:right w:w="108" w:type="dxa"/>
      </w:tblCellMar>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CellMar>
        <w:top w:w="0" w:type="dxa"/>
        <w:left w:w="108" w:type="dxa"/>
        <w:bottom w:w="0" w:type="dxa"/>
        <w:right w:w="108" w:type="dxa"/>
      </w:tblCellMar>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CellMar>
        <w:top w:w="0" w:type="dxa"/>
        <w:left w:w="108" w:type="dxa"/>
        <w:bottom w:w="0" w:type="dxa"/>
        <w:right w:w="108" w:type="dxa"/>
      </w:tblCellMar>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0" w:type="dxa"/>
        <w:left w:w="108" w:type="dxa"/>
        <w:bottom w:w="0" w:type="dxa"/>
        <w:right w:w="108" w:type="dxa"/>
      </w:tblCellMar>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CellMar>
        <w:top w:w="0" w:type="dxa"/>
        <w:left w:w="108" w:type="dxa"/>
        <w:bottom w:w="0" w:type="dxa"/>
        <w:right w:w="108" w:type="dxa"/>
      </w:tblCellMar>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CellMar>
        <w:top w:w="0" w:type="dxa"/>
        <w:left w:w="108" w:type="dxa"/>
        <w:bottom w:w="0" w:type="dxa"/>
        <w:right w:w="108" w:type="dxa"/>
      </w:tblCellMar>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CellMar>
        <w:top w:w="0" w:type="dxa"/>
        <w:left w:w="108" w:type="dxa"/>
        <w:bottom w:w="0" w:type="dxa"/>
        <w:right w:w="108" w:type="dxa"/>
      </w:tblCellMar>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CellMar>
        <w:top w:w="0" w:type="dxa"/>
        <w:left w:w="108" w:type="dxa"/>
        <w:bottom w:w="0" w:type="dxa"/>
        <w:right w:w="108" w:type="dxa"/>
      </w:tblCellMar>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72BC"/>
        <w:bottom w:val="single" w:sz="8" w:space="0" w:color="0072BC"/>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C00000"/>
        <w:bottom w:val="single" w:sz="8" w:space="0" w:color="C00000"/>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969696"/>
        <w:bottom w:val="single" w:sz="8" w:space="0" w:color="969696"/>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DA36D6"/>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4D4D4D"/>
        <w:bottom w:val="single" w:sz="8" w:space="0" w:color="4D4D4D"/>
      </w:tblBorders>
      <w:tblCellMar>
        <w:top w:w="0" w:type="dxa"/>
        <w:left w:w="108" w:type="dxa"/>
        <w:bottom w:w="0" w:type="dxa"/>
        <w:right w:w="108" w:type="dxa"/>
      </w:tblCellMar>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0072BC"/>
        <w:left w:val="single" w:sz="8" w:space="0" w:color="0072BC"/>
        <w:bottom w:val="single" w:sz="8" w:space="0" w:color="0072BC"/>
        <w:right w:val="single" w:sz="8" w:space="0" w:color="0072BC"/>
      </w:tblBorders>
      <w:tblCellMar>
        <w:top w:w="0" w:type="dxa"/>
        <w:left w:w="108" w:type="dxa"/>
        <w:bottom w:w="0" w:type="dxa"/>
        <w:right w:w="108" w:type="dxa"/>
      </w:tblCellMar>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C00000"/>
        <w:left w:val="single" w:sz="8" w:space="0" w:color="C00000"/>
        <w:bottom w:val="single" w:sz="8" w:space="0" w:color="C00000"/>
        <w:right w:val="single" w:sz="8" w:space="0" w:color="C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969696"/>
        <w:left w:val="single" w:sz="8" w:space="0" w:color="969696"/>
        <w:bottom w:val="single" w:sz="8" w:space="0" w:color="969696"/>
        <w:right w:val="single" w:sz="8" w:space="0" w:color="969696"/>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5F5F5F"/>
        <w:left w:val="single" w:sz="8" w:space="0" w:color="5F5F5F"/>
        <w:bottom w:val="single" w:sz="8" w:space="0" w:color="5F5F5F"/>
        <w:right w:val="single" w:sz="8" w:space="0" w:color="5F5F5F"/>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DA36D6"/>
    <w:pPr>
      <w:spacing w:after="0" w:line="240" w:lineRule="auto"/>
    </w:pPr>
    <w:rPr>
      <w:rFonts w:ascii="Times New Roman" w:eastAsia="MS Gothic" w:hAnsi="Times New Roman" w:cs="Times New Roman"/>
      <w:color w:val="000000"/>
      <w:sz w:val="20"/>
      <w:szCs w:val="20"/>
    </w:rPr>
    <w:tblPr>
      <w:tblStyleRowBandSize w:val="1"/>
      <w:tblStyleColBandSize w:val="1"/>
      <w:tblInd w:w="0" w:type="dxa"/>
      <w:tblBorders>
        <w:top w:val="single" w:sz="8" w:space="0" w:color="4D4D4D"/>
        <w:left w:val="single" w:sz="8" w:space="0" w:color="4D4D4D"/>
        <w:bottom w:val="single" w:sz="8" w:space="0" w:color="4D4D4D"/>
        <w:right w:val="single" w:sz="8" w:space="0" w:color="4D4D4D"/>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D9FFF"/>
        <w:left w:val="single" w:sz="8" w:space="0" w:color="0D9FFF"/>
        <w:bottom w:val="single" w:sz="8" w:space="0" w:color="0D9FFF"/>
        <w:right w:val="single" w:sz="8" w:space="0" w:color="0D9FFF"/>
        <w:insideH w:val="single" w:sz="8" w:space="0" w:color="0D9FFF"/>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1010"/>
        <w:left w:val="single" w:sz="8" w:space="0" w:color="FF1010"/>
        <w:bottom w:val="single" w:sz="8" w:space="0" w:color="FF1010"/>
        <w:right w:val="single" w:sz="8" w:space="0" w:color="FF1010"/>
        <w:insideH w:val="single" w:sz="8" w:space="0" w:color="FF101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878787"/>
        <w:left w:val="single" w:sz="8" w:space="0" w:color="878787"/>
        <w:bottom w:val="single" w:sz="8" w:space="0" w:color="878787"/>
        <w:right w:val="single" w:sz="8" w:space="0" w:color="878787"/>
        <w:insideH w:val="single" w:sz="8" w:space="0" w:color="878787"/>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97979"/>
        <w:left w:val="single" w:sz="8" w:space="0" w:color="797979"/>
        <w:bottom w:val="single" w:sz="8" w:space="0" w:color="797979"/>
        <w:right w:val="single" w:sz="8" w:space="0" w:color="797979"/>
        <w:insideH w:val="single" w:sz="8" w:space="0" w:color="797979"/>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36D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A36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en-GB"/>
    </w:rPr>
  </w:style>
  <w:style w:type="character" w:customStyle="1" w:styleId="MessageHeaderChar">
    <w:name w:val="Message Header Char"/>
    <w:basedOn w:val="DefaultParagraphFont"/>
    <w:link w:val="MessageHeader"/>
    <w:uiPriority w:val="99"/>
    <w:semiHidden/>
    <w:rsid w:val="00DA36D6"/>
    <w:rPr>
      <w:rFonts w:ascii="Times New Roman" w:eastAsia="MS Gothic" w:hAnsi="Times New Roman" w:cs="Times New Roman"/>
      <w:sz w:val="24"/>
      <w:szCs w:val="24"/>
      <w:shd w:val="pct20" w:color="auto" w:fill="auto"/>
      <w:lang w:val="en-GB"/>
    </w:rPr>
  </w:style>
  <w:style w:type="paragraph" w:styleId="NormalWeb">
    <w:name w:val="Normal (Web)"/>
    <w:basedOn w:val="Normal"/>
    <w:uiPriority w:val="99"/>
    <w:semiHidden/>
    <w:rsid w:val="00DA36D6"/>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DA36D6"/>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DA36D6"/>
    <w:pPr>
      <w:spacing w:after="0" w:line="240" w:lineRule="auto"/>
      <w:jc w:val="both"/>
    </w:pPr>
    <w:rPr>
      <w:rFonts w:ascii="Times New Roman" w:eastAsia="MS Mincho" w:hAnsi="Times New Roman" w:cs="Times New Roman"/>
      <w:sz w:val="24"/>
      <w:lang w:val="en-GB"/>
    </w:rPr>
  </w:style>
  <w:style w:type="character" w:customStyle="1" w:styleId="NoteHeadingChar">
    <w:name w:val="Note Heading Char"/>
    <w:basedOn w:val="DefaultParagraphFont"/>
    <w:link w:val="NoteHeading"/>
    <w:uiPriority w:val="99"/>
    <w:semiHidden/>
    <w:rsid w:val="00DA36D6"/>
    <w:rPr>
      <w:rFonts w:ascii="Times New Roman" w:eastAsia="MS Mincho" w:hAnsi="Times New Roman" w:cs="Times New Roman"/>
      <w:sz w:val="24"/>
      <w:lang w:val="en-GB"/>
    </w:rPr>
  </w:style>
  <w:style w:type="character" w:styleId="PlaceholderText">
    <w:name w:val="Placeholder Text"/>
    <w:uiPriority w:val="99"/>
    <w:semiHidden/>
    <w:rsid w:val="00DA36D6"/>
    <w:rPr>
      <w:color w:val="auto"/>
      <w:bdr w:val="none" w:sz="0" w:space="0" w:color="auto"/>
      <w:shd w:val="clear" w:color="auto" w:fill="DFDFDF"/>
    </w:rPr>
  </w:style>
  <w:style w:type="paragraph" w:styleId="PlainText">
    <w:name w:val="Plain Text"/>
    <w:basedOn w:val="Normal"/>
    <w:link w:val="PlainTextChar"/>
    <w:uiPriority w:val="99"/>
    <w:semiHidden/>
    <w:rsid w:val="00DA36D6"/>
    <w:pPr>
      <w:spacing w:after="0" w:line="240" w:lineRule="auto"/>
      <w:jc w:val="both"/>
    </w:pPr>
    <w:rPr>
      <w:rFonts w:ascii="Consolas" w:eastAsia="MS Mincho" w:hAnsi="Consolas" w:cs="Consolas"/>
      <w:sz w:val="21"/>
      <w:szCs w:val="21"/>
      <w:lang w:val="en-GB"/>
    </w:rPr>
  </w:style>
  <w:style w:type="character" w:customStyle="1" w:styleId="PlainTextChar">
    <w:name w:val="Plain Text Char"/>
    <w:basedOn w:val="DefaultParagraphFont"/>
    <w:link w:val="PlainText"/>
    <w:uiPriority w:val="99"/>
    <w:semiHidden/>
    <w:rsid w:val="00DA36D6"/>
    <w:rPr>
      <w:rFonts w:ascii="Consolas" w:eastAsia="MS Mincho" w:hAnsi="Consolas" w:cs="Consolas"/>
      <w:sz w:val="21"/>
      <w:szCs w:val="21"/>
      <w:lang w:val="en-GB"/>
    </w:rPr>
  </w:style>
  <w:style w:type="paragraph" w:styleId="Salutation">
    <w:name w:val="Salutation"/>
    <w:basedOn w:val="Normal"/>
    <w:next w:val="Normal"/>
    <w:link w:val="SalutationChar"/>
    <w:uiPriority w:val="99"/>
    <w:semiHidden/>
    <w:rsid w:val="00DA36D6"/>
    <w:pPr>
      <w:spacing w:after="0" w:line="240" w:lineRule="auto"/>
      <w:jc w:val="both"/>
    </w:pPr>
    <w:rPr>
      <w:rFonts w:ascii="Times New Roman" w:eastAsia="MS Mincho" w:hAnsi="Times New Roman" w:cs="Times New Roman"/>
      <w:sz w:val="24"/>
      <w:lang w:val="en-GB"/>
    </w:rPr>
  </w:style>
  <w:style w:type="character" w:customStyle="1" w:styleId="SalutationChar">
    <w:name w:val="Salutation Char"/>
    <w:basedOn w:val="DefaultParagraphFont"/>
    <w:link w:val="Salutation"/>
    <w:uiPriority w:val="99"/>
    <w:semiHidden/>
    <w:rsid w:val="00DA36D6"/>
    <w:rPr>
      <w:rFonts w:ascii="Times New Roman" w:eastAsia="MS Mincho" w:hAnsi="Times New Roman" w:cs="Times New Roman"/>
      <w:sz w:val="24"/>
      <w:lang w:val="en-GB"/>
    </w:rPr>
  </w:style>
  <w:style w:type="paragraph" w:styleId="Signature">
    <w:name w:val="Signature"/>
    <w:basedOn w:val="Normal"/>
    <w:link w:val="SignatureChar"/>
    <w:uiPriority w:val="99"/>
    <w:semiHidden/>
    <w:rsid w:val="00DA36D6"/>
    <w:pPr>
      <w:spacing w:after="0" w:line="240" w:lineRule="auto"/>
      <w:ind w:left="4252"/>
      <w:jc w:val="both"/>
    </w:pPr>
    <w:rPr>
      <w:rFonts w:ascii="Times New Roman" w:eastAsia="MS Mincho" w:hAnsi="Times New Roman" w:cs="Times New Roman"/>
      <w:sz w:val="24"/>
      <w:lang w:val="en-GB"/>
    </w:rPr>
  </w:style>
  <w:style w:type="character" w:customStyle="1" w:styleId="SignatureChar">
    <w:name w:val="Signature Char"/>
    <w:basedOn w:val="DefaultParagraphFont"/>
    <w:link w:val="Signature"/>
    <w:uiPriority w:val="99"/>
    <w:semiHidden/>
    <w:rsid w:val="00DA36D6"/>
    <w:rPr>
      <w:rFonts w:ascii="Times New Roman" w:eastAsia="MS Mincho" w:hAnsi="Times New Roman" w:cs="Times New Roman"/>
      <w:sz w:val="24"/>
      <w:lang w:val="en-GB"/>
    </w:rPr>
  </w:style>
  <w:style w:type="table" w:styleId="Table3Deffects1">
    <w:name w:val="Table 3D effects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36D6"/>
    <w:pPr>
      <w:spacing w:after="0" w:line="240" w:lineRule="auto"/>
      <w:jc w:val="both"/>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36D6"/>
    <w:pPr>
      <w:spacing w:after="0" w:line="240" w:lineRule="auto"/>
      <w:jc w:val="both"/>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36D6"/>
    <w:pPr>
      <w:spacing w:after="0" w:line="240" w:lineRule="auto"/>
      <w:jc w:val="both"/>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36D6"/>
    <w:pPr>
      <w:spacing w:after="0" w:line="240" w:lineRule="auto"/>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36D6"/>
    <w:pPr>
      <w:spacing w:after="0" w:line="240" w:lineRule="auto"/>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36D6"/>
    <w:pPr>
      <w:spacing w:after="0" w:line="240" w:lineRule="auto"/>
      <w:jc w:val="both"/>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A36D6"/>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DA36D6"/>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36D6"/>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DA36D6"/>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DA36D6"/>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DA36D6"/>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DA36D6"/>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DA36D6"/>
  </w:style>
  <w:style w:type="paragraph" w:customStyle="1" w:styleId="OpiParaSub">
    <w:name w:val="Opi_Para_Sub"/>
    <w:basedOn w:val="JuParaSub"/>
    <w:uiPriority w:val="47"/>
    <w:qFormat/>
    <w:rsid w:val="00DA36D6"/>
  </w:style>
  <w:style w:type="paragraph" w:customStyle="1" w:styleId="ECHRFooter">
    <w:name w:val="ECHR_Footer"/>
    <w:aliases w:val="Footer_ECHR"/>
    <w:basedOn w:val="Footer"/>
    <w:uiPriority w:val="57"/>
    <w:semiHidden/>
    <w:rsid w:val="00DA36D6"/>
    <w:pPr>
      <w:jc w:val="left"/>
    </w:pPr>
    <w:rPr>
      <w:sz w:val="8"/>
    </w:rPr>
  </w:style>
  <w:style w:type="paragraph" w:customStyle="1" w:styleId="ECHRFooterLine">
    <w:name w:val="ECHR_Footer_Line"/>
    <w:aliases w:val="Footer_Line"/>
    <w:basedOn w:val="Normal"/>
    <w:next w:val="ECHRFooter"/>
    <w:uiPriority w:val="57"/>
    <w:semiHidden/>
    <w:rsid w:val="00DA36D6"/>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DA36D6"/>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DA36D6"/>
  </w:style>
  <w:style w:type="paragraph" w:customStyle="1" w:styleId="OpiQuotSub">
    <w:name w:val="Opi_Quot_Sub"/>
    <w:basedOn w:val="JuQuotSub"/>
    <w:uiPriority w:val="49"/>
    <w:qFormat/>
    <w:rsid w:val="00DA36D6"/>
    <w:pPr>
      <w:ind w:left="567"/>
    </w:pPr>
  </w:style>
  <w:style w:type="paragraph" w:customStyle="1" w:styleId="OpiTranslation">
    <w:name w:val="Opi_Translation"/>
    <w:basedOn w:val="Normal"/>
    <w:next w:val="OpiPara"/>
    <w:uiPriority w:val="40"/>
    <w:qFormat/>
    <w:rsid w:val="00DA36D6"/>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DA36D6"/>
    <w:rPr>
      <w:rFonts w:ascii="Times New Roman" w:eastAsia="MS Mincho" w:hAnsi="Times New Roman" w:cs="Times New Roman"/>
      <w:sz w:val="24"/>
      <w:lang w:val="en-GB"/>
    </w:rPr>
  </w:style>
  <w:style w:type="paragraph" w:customStyle="1" w:styleId="jupara">
    <w:name w:val="jupara"/>
    <w:basedOn w:val="Normal"/>
    <w:rsid w:val="00DA36D6"/>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DA36D6"/>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DA36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1">
    <w:name w:val="x_s1"/>
    <w:rsid w:val="00DA36D6"/>
  </w:style>
  <w:style w:type="paragraph" w:customStyle="1" w:styleId="xp2">
    <w:name w:val="x_p2"/>
    <w:basedOn w:val="Normal"/>
    <w:rsid w:val="00DA36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s2">
    <w:name w:val="x_s2"/>
    <w:rsid w:val="00DA3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53333B81C28A48D3AB899B2E3FAA164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29309-16</Nr_x002e__x0020_akti>
    <Data_x0020_e_x0020_Krijimit xmlns="0e656187-b300-4fb0-8bf4-3a50f872073c">2019-10-25T11:41:07Z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2019-10-23T22:00:00Z</Date_x0020_protokolli>
    <Titulli xmlns="0e656187-b300-4fb0-8bf4-3a50f872073c">Çështja Prizreni kundër Shqipërisë</Titulli>
    <Modifikuesi xmlns="0e656187-b300-4fb0-8bf4-3a50f872073c">alma.lisaku</Modifikuesi>
    <Nr_x002e__x0020_prot_x0020_QBZ xmlns="0e656187-b300-4fb0-8bf4-3a50f872073c">1475</Nr_x002e__x0020_prot_x0020_QBZ>
    <Data_x0020_e_x0020_Modifikimit xmlns="0e656187-b300-4fb0-8bf4-3a50f872073c">2019-10-29T10:00:34Z</Data_x0020_e_x0020_Modifikimit>
    <Dekretuar xmlns="0e656187-b300-4fb0-8bf4-3a50f872073c">false</Dekretuar>
    <Data xmlns="0e656187-b300-4fb0-8bf4-3a50f872073c">2019-06-10T22:00:00Z</Data>
    <Nr_x002e__x0020_protokolli_x0020_i_x0020_aktit xmlns="0e656187-b300-4fb0-8bf4-3a50f872073c">6452/1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53333B81C28A48D3AB899B2E3FAA1643"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1CBFF-E454-4CDB-8BD0-8CBD198EB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03846E-D71C-4A0B-A1F6-F662BB3D0C61}">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5155EC04-5D01-4945-98F9-8D9CD5A7E565}">
  <ds:schemaRefs>
    <ds:schemaRef ds:uri="http://schemas.microsoft.com/sharepoint/v3/contenttype/forms"/>
  </ds:schemaRefs>
</ds:datastoreItem>
</file>

<file path=customXml/itemProps4.xml><?xml version="1.0" encoding="utf-8"?>
<ds:datastoreItem xmlns:ds="http://schemas.openxmlformats.org/officeDocument/2006/customXml" ds:itemID="{7DD97612-CA7A-469A-A884-F8A67FC7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582A7C8-DA9A-4FB6-99E7-35549902603D}">
  <ds:schemaRefs>
    <ds:schemaRef ds:uri="http://schemas.microsoft.com/sharepoint/v3/contenttype/forms"/>
  </ds:schemaRefs>
</ds:datastoreItem>
</file>

<file path=customXml/itemProps6.xml><?xml version="1.0" encoding="utf-8"?>
<ds:datastoreItem xmlns:ds="http://schemas.openxmlformats.org/officeDocument/2006/customXml" ds:itemID="{BDFC5760-366B-4A5E-BA4A-C7DA8478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5857</Words>
  <Characters>33388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Çështja Prizreni kundër Shqipërisë</vt:lpstr>
    </vt:vector>
  </TitlesOfParts>
  <Company/>
  <LinksUpToDate>false</LinksUpToDate>
  <CharactersWithSpaces>39167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Prizreni kundër Shqipërisë</dc:title>
  <dc:creator>Entela Suli</dc:creator>
  <cp:lastModifiedBy>User</cp:lastModifiedBy>
  <cp:revision>2</cp:revision>
  <dcterms:created xsi:type="dcterms:W3CDTF">2020-07-06T08:08:00Z</dcterms:created>
  <dcterms:modified xsi:type="dcterms:W3CDTF">2020-07-06T08:08:00Z</dcterms:modified>
</cp:coreProperties>
</file>