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EUROPIANE E TË DREJTAVE TË NJERIUT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SEKSIONI I PAR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ÇËSHTJA 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RISTA DHE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KUNDËR SHQIPËRISË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1C7759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(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Ankimet</w:t>
      </w:r>
      <w:r w:rsidR="00943D1A" w:rsidRPr="005E718D">
        <w:rPr>
          <w:rFonts w:ascii="Times New Roman" w:hAnsi="Times New Roman"/>
          <w:i/>
          <w:sz w:val="24"/>
          <w:szCs w:val="24"/>
          <w:lang w:val="sq-AL"/>
        </w:rPr>
        <w:t xml:space="preserve"> nr. 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5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207/10, 24468/10, 36228/10, 39492/10, 39495/10, </w:t>
      </w:r>
    </w:p>
    <w:p w:rsidR="00943D1A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40751/10 dhe 48522/10</w:t>
      </w:r>
      <w:r w:rsidR="00943D1A" w:rsidRPr="005E718D">
        <w:rPr>
          <w:rFonts w:ascii="Times New Roman" w:hAnsi="Times New Roman"/>
          <w:sz w:val="24"/>
          <w:szCs w:val="24"/>
          <w:lang w:val="sq-AL"/>
        </w:rPr>
        <w:t>)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VENDIM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STRASBURG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1C7759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17 Mars 2016</w:t>
      </w:r>
    </w:p>
    <w:p w:rsidR="001C7759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355770" w:rsidRPr="005E718D" w:rsidRDefault="00355770" w:rsidP="00565FDE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  <w:lang w:val="sq-AL"/>
        </w:rPr>
      </w:pPr>
    </w:p>
    <w:p w:rsidR="001C7759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</w:p>
    <w:p w:rsidR="001C7759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Ky vendim 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sht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 xml:space="preserve"> i form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s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s</w:t>
      </w:r>
      <w:r w:rsidR="00337C06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prer</w:t>
      </w:r>
      <w:r w:rsidR="00337C06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i/>
          <w:sz w:val="24"/>
          <w:szCs w:val="24"/>
          <w:lang w:val="sq-AL"/>
        </w:rPr>
        <w:t>.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Ai mund 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t’i n</w:t>
      </w:r>
      <w:r w:rsidR="00355770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6D1BE1" w:rsidRPr="005E718D">
        <w:rPr>
          <w:rFonts w:ascii="Times New Roman" w:hAnsi="Times New Roman"/>
          <w:i/>
          <w:sz w:val="24"/>
          <w:szCs w:val="24"/>
          <w:lang w:val="sq-AL"/>
        </w:rPr>
        <w:t>nshtrohet rishikimit redaktues</w:t>
      </w:r>
    </w:p>
    <w:p w:rsidR="00943D1A" w:rsidRPr="005E718D" w:rsidRDefault="00943D1A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1C7759" w:rsidP="00565FDE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t>VENDIMI RISTA DHE TË TJERËT</w:t>
      </w:r>
      <w:r w:rsidR="00355770" w:rsidRPr="005E718D">
        <w:rPr>
          <w:rFonts w:ascii="Times New Roman" w:hAnsi="Times New Roman"/>
          <w:sz w:val="18"/>
          <w:szCs w:val="18"/>
          <w:lang w:val="sq-AL"/>
        </w:rPr>
        <w:t xml:space="preserve"> </w:t>
      </w:r>
      <w:r w:rsidR="00943D1A" w:rsidRPr="005E718D">
        <w:rPr>
          <w:rFonts w:ascii="Times New Roman" w:hAnsi="Times New Roman"/>
          <w:sz w:val="18"/>
          <w:szCs w:val="18"/>
          <w:lang w:val="sq-AL"/>
        </w:rPr>
        <w:t>KUNDËR SHQIPËRISË</w:t>
      </w:r>
    </w:p>
    <w:p w:rsidR="00943D1A" w:rsidRPr="005E718D" w:rsidRDefault="00943D1A" w:rsidP="00565FDE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Në çështjen 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Rista dhe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="001C7759" w:rsidRPr="005E718D">
        <w:rPr>
          <w:rFonts w:ascii="Times New Roman" w:hAnsi="Times New Roman"/>
          <w:b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, </w:t>
      </w:r>
    </w:p>
    <w:p w:rsidR="00943D1A" w:rsidRPr="005E718D" w:rsidRDefault="00943D1A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Europiane e të Drejta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ve të Njeriut (Seksioni i Par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), e mbledhur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si</w:t>
      </w:r>
      <w:r w:rsidR="00355770" w:rsidRPr="005E718D">
        <w:rPr>
          <w:rFonts w:ascii="Times New Roman" w:hAnsi="Times New Roman"/>
          <w:sz w:val="24"/>
          <w:szCs w:val="24"/>
          <w:lang w:val="sq-AL"/>
        </w:rPr>
        <w:t xml:space="preserve"> një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Komitet i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përbërë nga: </w:t>
      </w:r>
    </w:p>
    <w:p w:rsidR="00943D1A" w:rsidRPr="005E718D" w:rsidRDefault="00F872F5" w:rsidP="00565FDE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Kristina Par</w:t>
      </w:r>
      <w:r w:rsidR="001C7759" w:rsidRPr="005E718D">
        <w:rPr>
          <w:rFonts w:ascii="Times New Roman" w:hAnsi="Times New Roman"/>
          <w:sz w:val="24"/>
          <w:szCs w:val="24"/>
          <w:lang w:val="sq-AL"/>
        </w:rPr>
        <w:t>dalos</w:t>
      </w:r>
      <w:r w:rsidR="00943D1A" w:rsidRPr="005E718D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943D1A" w:rsidRPr="005E718D">
        <w:rPr>
          <w:rFonts w:ascii="Times New Roman" w:hAnsi="Times New Roman"/>
          <w:i/>
          <w:sz w:val="24"/>
          <w:szCs w:val="24"/>
          <w:lang w:val="sq-AL"/>
        </w:rPr>
        <w:t>Presidente</w:t>
      </w:r>
    </w:p>
    <w:p w:rsidR="001C7759" w:rsidRPr="005E718D" w:rsidRDefault="001C7759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Robert Spano,</w:t>
      </w:r>
    </w:p>
    <w:p w:rsidR="001C7759" w:rsidRPr="005E718D" w:rsidRDefault="001C7759" w:rsidP="00565FDE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Pauliine Koskelo,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gjyqtar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</w:p>
    <w:p w:rsidR="00943D1A" w:rsidRPr="005E718D" w:rsidRDefault="00EF6A7F" w:rsidP="00565FDE">
      <w:pPr>
        <w:pStyle w:val="NoSpacing"/>
        <w:spacing w:line="276" w:lineRule="auto"/>
        <w:rPr>
          <w:rFonts w:ascii="Times New Roman" w:hAnsi="Times New Roman"/>
          <w:i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dhe André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W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ampach,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Z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vend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 Regjistrar i Seksionit</w:t>
      </w:r>
      <w:r w:rsidR="00943D1A"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</w:p>
    <w:p w:rsidR="00EF6A7F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Pasi ka diskutuar me dye</w:t>
      </w:r>
      <w:r w:rsidR="00EF6A7F" w:rsidRPr="005E718D">
        <w:rPr>
          <w:rFonts w:ascii="Times New Roman" w:hAnsi="Times New Roman"/>
          <w:sz w:val="24"/>
          <w:szCs w:val="24"/>
          <w:lang w:val="sq-AL"/>
        </w:rPr>
        <w:t>r të mbyllura më 23 Shkurt 2016</w:t>
      </w:r>
      <w:r w:rsidRPr="005E718D">
        <w:rPr>
          <w:rFonts w:ascii="Times New Roman" w:hAnsi="Times New Roman"/>
          <w:sz w:val="24"/>
          <w:szCs w:val="24"/>
          <w:lang w:val="sq-AL"/>
        </w:rPr>
        <w:t>,</w:t>
      </w:r>
    </w:p>
    <w:p w:rsidR="00943D1A" w:rsidRPr="005E718D" w:rsidRDefault="00EF6A7F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Pasi ka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rejtur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>shtja ligjore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ankesat e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poshtme, tashm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objekt i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vendimit të mirëpërcaktuar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të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 (shiko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nr. 604/07, 43628/07, 46684/07 dhe 34770/09, § 31 Korrik 2012), </w:t>
      </w: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Lëshon vendimin e mëposhtëm, i cili u miratua në po atë ditë:</w:t>
      </w: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PROCEDURA</w:t>
      </w:r>
    </w:p>
    <w:p w:rsidR="00943D1A" w:rsidRPr="005E718D" w:rsidRDefault="00943D1A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66202" w:rsidRPr="005E718D" w:rsidRDefault="00943D1A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Çështja filloi me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shtat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ankesa (nr. 5207/10, 24468/10, 36228/10, 39492/10, 39495/10, 40751/10 dhe 48522/10),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r Republik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Shqip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,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zuar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sipas Nenit 34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9214E" w:rsidRPr="005E718D">
        <w:rPr>
          <w:rFonts w:ascii="Times New Roman" w:hAnsi="Times New Roman"/>
          <w:sz w:val="24"/>
          <w:szCs w:val="24"/>
          <w:lang w:val="sq-AL"/>
        </w:rPr>
        <w:t>r Mbrojtj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en 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Drejtave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Njeriut (“Konventa”)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nga 57 njer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z me komb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si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ndryshme. Detajet e ankuesve 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rfaq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suesve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>rcaktohen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Shtojc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n Nr. 1, bashkalidhur me vendimin. </w:t>
      </w:r>
    </w:p>
    <w:p w:rsidR="00A742C1" w:rsidRPr="005E718D" w:rsidRDefault="00C66202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29 Shtator 2014,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gimtar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t e z. Kurtesh Gjikolli, i 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cili ishte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ri nga ankuesit fillestar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ankimit nr.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 xml:space="preserve"> 24468/10, Znj. Pakize Zajmi, me mbiemrin e vajz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 xml:space="preserve"> Gjikolli, Znj. Rajmonda Karapici, me mbiemrin e vajz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 xml:space="preserve"> Gjikolli dhe Adnan Gjikolli shpreh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n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n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 xml:space="preserve"> ndjekur procudurat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 xml:space="preserve"> emër të z. Kurteshi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 xml:space="preserve"> 29 Shtator 2014,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gimtar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t e z. Nuri Xhikaj, i cili ishte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ri nga ankuesit fillestar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 xml:space="preserve"> ankimin nr. 24468/10, Znj. Ganimete Xhikaj, z.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rparim Xhikaj, znj</w:t>
      </w:r>
      <w:r w:rsidR="00ED0D48" w:rsidRPr="005E718D">
        <w:rPr>
          <w:rFonts w:ascii="Times New Roman" w:hAnsi="Times New Roman"/>
          <w:sz w:val="24"/>
          <w:szCs w:val="24"/>
          <w:lang w:val="sq-AL"/>
        </w:rPr>
        <w:t>. Dhurata Xhikaj, z. Adrian Xhikaj, znj. Pamela Xhikaj, z. Velson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Xhikaj shpreh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n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ndiqnin procedurat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emër të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tij.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22 Qershor 2015,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gimtar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t e znj. HysnijeXhikolli, e cila ishte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 xml:space="preserve"> nga ankuesit fillesta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ankimit nr. 24468/10, z. Muharrem Xhikolli, z. Burhan Xhikolli dhe znj. Edmila Molla, me mbiemrin e vajz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Xhikolli, shpreh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n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n e tyre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ndjekur procedurat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emër të</w:t>
      </w:r>
      <w:r w:rsidR="00A742C1" w:rsidRPr="005E718D">
        <w:rPr>
          <w:rFonts w:ascii="Times New Roman" w:hAnsi="Times New Roman"/>
          <w:sz w:val="24"/>
          <w:szCs w:val="24"/>
          <w:lang w:val="sq-AL"/>
        </w:rPr>
        <w:t xml:space="preserve"> saj. </w:t>
      </w:r>
    </w:p>
    <w:p w:rsidR="00A742C1" w:rsidRPr="005E718D" w:rsidRDefault="00A742C1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19 Gusht 2014,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gimtari i z. Sherafedin Hasa, i cili ishte ankuesi fillestar i ankimit nr. 36228/10, z. Erol Hasa shprehu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tij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ndejkur procedurat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emër të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tij. </w:t>
      </w:r>
    </w:p>
    <w:p w:rsidR="00473B2C" w:rsidRDefault="00A742C1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11 Maj 2015,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gimtar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t e znj. Nermin 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Bubani, e cila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ishte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ra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nga ankuesit fillestar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ankimin nr. 39495/10, z. Loredan Bubani, znj. Elvana Zami </w:t>
      </w:r>
    </w:p>
    <w:p w:rsidR="00473B2C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742C1" w:rsidRPr="005E718D" w:rsidRDefault="00A742C1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me mbiemrin e vajz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Buba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ni, dhe z. Gjergj Bubani shprehën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ndjekur procedimet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C034B" w:rsidRPr="005E718D">
        <w:rPr>
          <w:rFonts w:ascii="Times New Roman" w:hAnsi="Times New Roman"/>
          <w:sz w:val="24"/>
          <w:szCs w:val="24"/>
          <w:lang w:val="sq-AL"/>
        </w:rPr>
        <w:t>emër të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saj. </w:t>
      </w:r>
    </w:p>
    <w:p w:rsidR="00121D80" w:rsidRPr="005E718D" w:rsidRDefault="00F00162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arsye praktike, ankuesit z. Kurtesh Gjikolli, z. Nuri Xhikaj, z. Sherafedin Hasa, z. Nermin Bubani dhe znj. Hysnije Xhikolli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vazhdojn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referohen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 si ankues, megjith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se tashm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jan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gimtar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e tyre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referohen si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till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(shiko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Dalban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Rumanis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>[</w:t>
      </w:r>
      <w:r w:rsidR="00121D80" w:rsidRPr="005E718D">
        <w:rPr>
          <w:rFonts w:ascii="Times New Roman" w:hAnsi="Times New Roman"/>
          <w:sz w:val="24"/>
          <w:szCs w:val="24"/>
          <w:lang w:val="sq-AL"/>
        </w:rPr>
        <w:t>DHM</w:t>
      </w:r>
      <w:r w:rsidRPr="005E718D">
        <w:rPr>
          <w:rFonts w:ascii="Times New Roman" w:hAnsi="Times New Roman"/>
          <w:sz w:val="24"/>
          <w:szCs w:val="24"/>
          <w:lang w:val="sq-AL"/>
        </w:rPr>
        <w:t>]</w:t>
      </w:r>
      <w:r w:rsidR="00121D80" w:rsidRPr="005E718D">
        <w:rPr>
          <w:rFonts w:ascii="Times New Roman" w:hAnsi="Times New Roman"/>
          <w:sz w:val="24"/>
          <w:szCs w:val="24"/>
          <w:lang w:val="sq-AL"/>
        </w:rPr>
        <w:t xml:space="preserve">, nr. 28114/95, § 1, GJEDNJ 1999-VI, dhe </w:t>
      </w:r>
      <w:r w:rsidR="00221BFC" w:rsidRPr="005E718D">
        <w:rPr>
          <w:rFonts w:ascii="Times New Roman" w:hAnsi="Times New Roman"/>
          <w:i/>
          <w:sz w:val="24"/>
          <w:szCs w:val="24"/>
          <w:lang w:val="sq-AL"/>
        </w:rPr>
        <w:t>Janow</w:t>
      </w:r>
      <w:r w:rsidR="00121D80" w:rsidRPr="005E718D">
        <w:rPr>
          <w:rFonts w:ascii="Times New Roman" w:hAnsi="Times New Roman"/>
          <w:i/>
          <w:sz w:val="24"/>
          <w:szCs w:val="24"/>
          <w:lang w:val="sq-AL"/>
        </w:rPr>
        <w:t>iec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121D80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121D80"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121D80" w:rsidRPr="005E718D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121D80" w:rsidRPr="005E718D">
        <w:rPr>
          <w:rFonts w:ascii="Times New Roman" w:hAnsi="Times New Roman"/>
          <w:sz w:val="24"/>
          <w:szCs w:val="24"/>
          <w:lang w:val="sq-AL"/>
        </w:rPr>
        <w:t xml:space="preserve"> [DHM], nr. 55508/07 dhe 29520/09, §§ 97-101, GJEDNJ 2013</w:t>
      </w:r>
      <w:r w:rsidRPr="005E718D">
        <w:rPr>
          <w:rFonts w:ascii="Times New Roman" w:hAnsi="Times New Roman"/>
          <w:sz w:val="24"/>
          <w:szCs w:val="24"/>
          <w:lang w:val="sq-AL"/>
        </w:rPr>
        <w:t>)</w:t>
      </w:r>
      <w:r w:rsidR="00121D80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121D80" w:rsidRPr="005E718D" w:rsidRDefault="00121D80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Qeveria shqiptare (“Qeveria”) u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sua nga Agjentja e saj znj. A. Hicka e Zyr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Avokatis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Shtetit. </w:t>
      </w:r>
    </w:p>
    <w:p w:rsidR="00C0093E" w:rsidRPr="005E718D" w:rsidRDefault="00121D80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20 Dhjetor 2013, ankimet iu komunikuan Qeveris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C0093E" w:rsidRPr="005E718D" w:rsidRDefault="00C0093E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ankimet nr. 5207/10, 36228/10 dhe 40751/10, Qeveria nuk parashtroi komente me shkrim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kërkesat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ankuesve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kompensim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afatin kohor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lejuar. </w:t>
      </w:r>
    </w:p>
    <w:p w:rsidR="00C0093E" w:rsidRPr="005E718D" w:rsidRDefault="00C0093E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ankimin nr. 5207/10, ankuesi nuk paraqiti 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kërkesa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kompensim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afatin kohor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lejuar. </w:t>
      </w: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FAKTET </w:t>
      </w: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093E" w:rsidRPr="005E718D" w:rsidRDefault="00C0093E" w:rsidP="00565FDE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RRETHANAT E Ç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SHTJES</w:t>
      </w: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093E" w:rsidRPr="005E718D" w:rsidRDefault="00C0093E" w:rsidP="00565FDE">
      <w:pPr>
        <w:pStyle w:val="NoSpacing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Ankimi nr. 5207/10: Rista</w:t>
      </w:r>
    </w:p>
    <w:p w:rsidR="00C0093E" w:rsidRPr="005E718D" w:rsidRDefault="00C0093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0093E" w:rsidRPr="005E718D" w:rsidRDefault="00D96A6D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11 Maj 1995, Komisioni i Fierit i njohu ankuesit dhe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gimtar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drejtat mbi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guar,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toke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rmasat 55,200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, prej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s u rikthyen 8,186 m</w:t>
      </w:r>
      <w:r w:rsidR="00A21EE0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. Gjithashtu, u vendos qe Komisioni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merrte vendim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 xml:space="preserve"> lidhje 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e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kompensimin 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rfaqes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mbetur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moment tjet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r.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29 Janar 1999, Gjykata e Rrethit F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ier amendoi vendimin e Komision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s 11 Maj 1995 dhe i riktheu ankuesit dhe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gimta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rfaqe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>rmasat 9,107 m</w:t>
      </w:r>
      <w:r w:rsidR="00A21EE0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A21EE0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A21EE0" w:rsidRDefault="00A21EE0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rcaktuar, ankuesi 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paraqiti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akt civil duke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rkuar lirimin e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s, e cila ishte 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nga pal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treta. Pal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t e treta 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paraqitën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r-veprim duke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rkuar anullimin e </w:t>
      </w:r>
      <w:r w:rsidR="006D400C" w:rsidRPr="005E718D">
        <w:rPr>
          <w:rFonts w:ascii="Times New Roman" w:hAnsi="Times New Roman"/>
          <w:sz w:val="24"/>
          <w:szCs w:val="24"/>
          <w:lang w:val="sq-AL"/>
        </w:rPr>
        <w:t>vendimit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 xml:space="preserve"> Komsionit të datës</w:t>
      </w:r>
      <w:r w:rsidR="006D400C" w:rsidRPr="005E718D">
        <w:rPr>
          <w:rFonts w:ascii="Times New Roman" w:hAnsi="Times New Roman"/>
          <w:sz w:val="24"/>
          <w:szCs w:val="24"/>
          <w:lang w:val="sq-AL"/>
        </w:rPr>
        <w:t xml:space="preserve"> 11 Maj 1995.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00C" w:rsidRPr="005E718D">
        <w:rPr>
          <w:rFonts w:ascii="Times New Roman" w:hAnsi="Times New Roman"/>
          <w:sz w:val="24"/>
          <w:szCs w:val="24"/>
          <w:lang w:val="sq-AL"/>
        </w:rPr>
        <w:t xml:space="preserve"> 27 Shtator 2001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, Gjykata e L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>art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fund amendoi vendimin e Komisionit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lidhje me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>n e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ankuesit, e cila korrespondon me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>rfaqe prej 930 m</w:t>
      </w:r>
      <w:r w:rsidR="00162892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>.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se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>rfaqja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>s ishte e 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>, Gjykata e Lart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vendosi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ankuesi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kompensohej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62892" w:rsidRPr="005E718D">
        <w:rPr>
          <w:rFonts w:ascii="Times New Roman" w:hAnsi="Times New Roman"/>
          <w:sz w:val="24"/>
          <w:szCs w:val="24"/>
          <w:lang w:val="sq-AL"/>
        </w:rPr>
        <w:t xml:space="preserve">nyrat e parashikuara me ligj. </w:t>
      </w:r>
    </w:p>
    <w:p w:rsidR="00473B2C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Pr="005E718D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62892" w:rsidRPr="005E718D" w:rsidRDefault="00162892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11 Prill 2011, Gjykata e Rre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thit i dha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n ankuesit dhe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gimtar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apelonin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jasht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s</w:t>
      </w:r>
      <w:r w:rsidR="00221BFC"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r vendimit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Komisionit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s 11 Maj 1995,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lidhje me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n e mbetur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s me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rfaqe prej 47,014 m</w:t>
      </w:r>
      <w:r w:rsidR="002B6921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(shiko paragrafin 10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r). Pal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t nuk paraqit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n informacion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lidhje me ecurin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>tyre procedurave. Duket se procedurat kan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B6921" w:rsidRPr="005E718D">
        <w:rPr>
          <w:rFonts w:ascii="Times New Roman" w:hAnsi="Times New Roman"/>
          <w:sz w:val="24"/>
          <w:szCs w:val="24"/>
          <w:lang w:val="sq-AL"/>
        </w:rPr>
        <w:t xml:space="preserve"> mbetur pezull. </w:t>
      </w:r>
    </w:p>
    <w:p w:rsidR="002B6921" w:rsidRPr="005E718D" w:rsidRDefault="002B6921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Deri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paguar ansj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ankuesit me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prej 930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</w:t>
      </w:r>
    </w:p>
    <w:p w:rsidR="002B6921" w:rsidRPr="005E718D" w:rsidRDefault="002B6921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2B6921" w:rsidRPr="005E718D" w:rsidRDefault="002B6921" w:rsidP="00565FD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B. Ankimi nr. 24468/10: Gjikolli dhe Molla</w:t>
      </w:r>
    </w:p>
    <w:p w:rsidR="002B6921" w:rsidRPr="005E718D" w:rsidRDefault="002B6921" w:rsidP="00565FD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2B6921" w:rsidRPr="005E718D" w:rsidRDefault="002B6921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19 Janar 2000, Komisioni i Tiran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s, midis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tjerave, i njohu ankuesit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drejtat e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guar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toke prej 10,600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rfaqja ishte e 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ankuesit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kompensoheshin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nga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nyrat e parashikuara me ligj. </w:t>
      </w:r>
    </w:p>
    <w:p w:rsidR="002B6921" w:rsidRPr="005E718D" w:rsidRDefault="002B6921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14 Prill 2008, ankuesit 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rkuan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rfaqet e paz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na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rmasa prej 3,142 m</w:t>
      </w:r>
      <w:r w:rsidR="006D4966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,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 xml:space="preserve"> pozicionuara brenda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s me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rfaqe prej 10,600 m</w:t>
      </w:r>
      <w:r w:rsidR="006D4966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, t’i kthehen atyre.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 xml:space="preserve"> 3 Dhjetor 2008, Komisioni i Tiran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s e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rshtoi ankimin e tyre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 xml:space="preserve"> se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rfaqja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s ishte e 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6D4966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6D4966" w:rsidRPr="005E718D" w:rsidRDefault="006D4966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Deri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paguar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rfaqen e </w:t>
      </w:r>
      <w:r w:rsidR="00565FDE" w:rsidRPr="005E718D">
        <w:rPr>
          <w:rFonts w:ascii="Times New Roman" w:hAnsi="Times New Roman"/>
          <w:sz w:val="24"/>
          <w:szCs w:val="24"/>
          <w:lang w:val="sq-AL"/>
        </w:rPr>
        <w:t>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65FDE" w:rsidRPr="005E718D">
        <w:rPr>
          <w:rFonts w:ascii="Times New Roman" w:hAnsi="Times New Roman"/>
          <w:sz w:val="24"/>
          <w:szCs w:val="24"/>
          <w:lang w:val="sq-AL"/>
        </w:rPr>
        <w:t>s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65FDE" w:rsidRPr="005E718D">
        <w:rPr>
          <w:rFonts w:ascii="Times New Roman" w:hAnsi="Times New Roman"/>
          <w:sz w:val="24"/>
          <w:szCs w:val="24"/>
          <w:lang w:val="sq-AL"/>
        </w:rPr>
        <w:t>rmasat prej 10,600 m</w:t>
      </w:r>
      <w:r w:rsidR="00565FDE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565FDE" w:rsidRPr="005E718D">
        <w:rPr>
          <w:rFonts w:ascii="Times New Roman" w:hAnsi="Times New Roman"/>
          <w:sz w:val="24"/>
          <w:szCs w:val="24"/>
          <w:lang w:val="sq-AL"/>
        </w:rPr>
        <w:t>.</w:t>
      </w:r>
    </w:p>
    <w:p w:rsidR="00565FDE" w:rsidRPr="005E718D" w:rsidRDefault="00565FD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65FDE" w:rsidRPr="005E718D" w:rsidRDefault="00565FDE" w:rsidP="00565FD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C. Ankimi nr. 36228/10: Hasa</w:t>
      </w:r>
    </w:p>
    <w:p w:rsidR="00565FDE" w:rsidRPr="005E718D" w:rsidRDefault="00565FDE" w:rsidP="00565FD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565FDE" w:rsidRPr="005E718D" w:rsidRDefault="00565FDE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15 Janar 2008, Komisioni i Elbasanit i njohu ankuesit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mbi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guar,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dy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tokash,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total me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prej 16,500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tokat ishin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na, ankuesi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kompensohej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nyrat e parashikuara me ligj. </w:t>
      </w:r>
    </w:p>
    <w:p w:rsidR="00565FDE" w:rsidRPr="005E718D" w:rsidRDefault="00565FDE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Deri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paguar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kompensim. </w:t>
      </w:r>
    </w:p>
    <w:p w:rsidR="00565FDE" w:rsidRDefault="00565FDE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 xml:space="preserve"> 19 Gusht 2014, z. Erol Hasa,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shtetas maqedonas, shprehu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ndjekur procedurat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babait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tij (shiko paragrafin 3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r). Ai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zoi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rkthyer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anglisht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 xml:space="preserve"> dok</w:t>
      </w:r>
      <w:r w:rsidRPr="005E718D">
        <w:rPr>
          <w:rFonts w:ascii="Times New Roman" w:hAnsi="Times New Roman"/>
          <w:sz w:val="24"/>
          <w:szCs w:val="24"/>
          <w:lang w:val="sq-AL"/>
        </w:rPr>
        <w:t>ument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noterizuar, i cili e njihte 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vetmin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gimtar me testament mbi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pozicionuar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Elbasan. Dokumenti origjinal,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kopje 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cilit nuk u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zua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, duket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shuar nga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noter i ish Republik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Jugosllave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Maqedonis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. Ai dokument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njohur nga autoritetet shqiptare sipas ligjit shqiptar. </w:t>
      </w:r>
    </w:p>
    <w:p w:rsidR="00473B2C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Pr="00473B2C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565FDE" w:rsidRPr="005E718D" w:rsidRDefault="00565FDE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65FDE" w:rsidRPr="005E718D" w:rsidRDefault="00565FDE" w:rsidP="00565FD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D. Ankimi nr. 39492/10: Galanxhi dhe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t</w:t>
      </w:r>
    </w:p>
    <w:p w:rsidR="00565FDE" w:rsidRPr="005E718D" w:rsidRDefault="00565FDE" w:rsidP="00565FDE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B9155A" w:rsidRPr="005E718D" w:rsidRDefault="0088200F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>25 Tetor 1995, Komisioni i G</w:t>
      </w:r>
      <w:r w:rsidRPr="005E718D">
        <w:rPr>
          <w:rFonts w:ascii="Times New Roman" w:hAnsi="Times New Roman"/>
          <w:sz w:val="24"/>
          <w:szCs w:val="24"/>
          <w:lang w:val="sq-AL"/>
        </w:rPr>
        <w:t>jirokast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i njohu ankuesve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drejtat 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mbi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n e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guar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r n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>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>rfaqe toke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masat 4,527 m</w:t>
      </w:r>
      <w:r w:rsidR="00B9155A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, nga e cila u kthye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 xml:space="preserve"> 920 m</w:t>
      </w:r>
      <w:r w:rsidR="00B9155A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.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 xml:space="preserve"> se pjesa e mbetur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s me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rfaqe 3,607 m</w:t>
      </w:r>
      <w:r w:rsidR="00B9155A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 xml:space="preserve"> ishte e 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>, ankuesit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 xml:space="preserve"> kompensoheshin me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55A" w:rsidRPr="005E718D">
        <w:rPr>
          <w:rFonts w:ascii="Times New Roman" w:hAnsi="Times New Roman"/>
          <w:sz w:val="24"/>
          <w:szCs w:val="24"/>
          <w:lang w:val="sq-AL"/>
        </w:rPr>
        <w:t xml:space="preserve">nyrat e parashikuara me ligj. </w:t>
      </w:r>
    </w:p>
    <w:p w:rsidR="00B9155A" w:rsidRPr="005E718D" w:rsidRDefault="00B9155A" w:rsidP="00565FD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Deri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sot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paguar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kompensim. </w:t>
      </w:r>
    </w:p>
    <w:p w:rsidR="00B9155A" w:rsidRPr="005E718D" w:rsidRDefault="00B9155A" w:rsidP="00B9155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155A" w:rsidRPr="005E718D" w:rsidRDefault="00B9155A" w:rsidP="00B9155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E. Ankimi nr. 39495/10: Frash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ri dhe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t </w:t>
      </w:r>
    </w:p>
    <w:p w:rsidR="00B9155A" w:rsidRPr="005E718D" w:rsidRDefault="00B9155A" w:rsidP="00B9155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565FDE" w:rsidRPr="005E718D" w:rsidRDefault="00B9155A" w:rsidP="00B9155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23 Shtator 1996, Komisioni i Tiran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s, midis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 xml:space="preserve"> tjerave, i njohu ank</w:t>
      </w:r>
      <w:r w:rsidRPr="005E718D">
        <w:rPr>
          <w:rFonts w:ascii="Times New Roman" w:hAnsi="Times New Roman"/>
          <w:sz w:val="24"/>
          <w:szCs w:val="24"/>
          <w:lang w:val="sq-AL"/>
        </w:rPr>
        <w:t>uesve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mbi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toke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rmasat 208,696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, nga e cila u kthyen 7,452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pjesa e mbetur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s, me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201,244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ishte e 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ankuesit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kompensoheshin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nyrat e parashikuara me ligj. </w:t>
      </w:r>
    </w:p>
    <w:p w:rsidR="00B9155A" w:rsidRPr="005E718D" w:rsidRDefault="00B9155A" w:rsidP="00B9155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Deri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sot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paguar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kompensim. </w:t>
      </w:r>
    </w:p>
    <w:p w:rsidR="00B9155A" w:rsidRPr="005E718D" w:rsidRDefault="00B9155A" w:rsidP="00B9155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155A" w:rsidRPr="005E718D" w:rsidRDefault="00B9155A" w:rsidP="00B9155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F. Ankimi nr. 40751/10: Merlika dhe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t</w:t>
      </w:r>
    </w:p>
    <w:p w:rsidR="00B9155A" w:rsidRPr="005E718D" w:rsidRDefault="00B9155A" w:rsidP="00B9155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B9155A" w:rsidRPr="005E718D" w:rsidRDefault="00B9155A" w:rsidP="00B9155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22 Tetor 1994, Komisioni i Tiran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i njohu ankuesve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drejtat mbi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guar mbi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toke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rmasat prej 1,730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rfaqja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ishte e 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ankuesit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kompensoheshin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nga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nyrat e parashikuara me ligj.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22 Dhejtor 2007, Agjensia vendosi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akordonte kompensim financiar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ankuesit,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1363" w:rsidRPr="005E718D">
        <w:rPr>
          <w:rFonts w:ascii="Times New Roman" w:hAnsi="Times New Roman"/>
          <w:sz w:val="24"/>
          <w:szCs w:val="24"/>
          <w:lang w:val="sq-AL"/>
        </w:rPr>
        <w:t>r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200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</w:t>
      </w:r>
    </w:p>
    <w:p w:rsidR="00B9155A" w:rsidRPr="005E718D" w:rsidRDefault="00B9155A" w:rsidP="00B9155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 Deri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paguar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mbetur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rmasa 1,530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</w:t>
      </w:r>
    </w:p>
    <w:p w:rsidR="00B9155A" w:rsidRPr="005E718D" w:rsidRDefault="00B9155A" w:rsidP="00B9155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155A" w:rsidRPr="005E718D" w:rsidRDefault="00B9155A" w:rsidP="00B9155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G. Ankimi nr. 48522/10: Dhimertika dhe Nika</w:t>
      </w:r>
    </w:p>
    <w:p w:rsidR="00B9155A" w:rsidRPr="005E718D" w:rsidRDefault="00B9155A" w:rsidP="00B9155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4326E" w:rsidRPr="005E718D" w:rsidRDefault="0064326E" w:rsidP="00B9155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24 Tetor 1995, Komisioni i Sarand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i njohu ankuesve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drejtat mbi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guar, mbi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toke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rmasat 69,186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pozicionuar brenda vij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verdh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qytetit, nga e cila 5,000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u kthyen dhe 5,000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u kompensuan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natyr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.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 tjet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toke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rmasat 59,184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ishte e 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ankuesit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kompensoheshin me bono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 xml:space="preserve"> shtetërore</w:t>
      </w:r>
      <w:r w:rsidRPr="005E718D">
        <w:rPr>
          <w:rFonts w:ascii="Times New Roman" w:hAnsi="Times New Roman"/>
          <w:sz w:val="24"/>
          <w:szCs w:val="24"/>
          <w:lang w:val="sq-AL"/>
        </w:rPr>
        <w:t>, sipas Aktit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sore. </w:t>
      </w:r>
    </w:p>
    <w:p w:rsidR="0064326E" w:rsidRPr="005E718D" w:rsidRDefault="0064326E" w:rsidP="00B9155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Deri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sot,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paguar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kompensim. </w:t>
      </w:r>
    </w:p>
    <w:p w:rsidR="0064326E" w:rsidRDefault="0064326E" w:rsidP="006432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6432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6432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6432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Pr="00473B2C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64326E" w:rsidRPr="005E718D" w:rsidRDefault="0064326E" w:rsidP="0064326E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LIGJI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VENDAS</w:t>
      </w:r>
    </w:p>
    <w:p w:rsidR="0064326E" w:rsidRPr="005E718D" w:rsidRDefault="0064326E" w:rsidP="0064326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96786" w:rsidRPr="005E718D" w:rsidRDefault="0064326E" w:rsidP="0064326E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Ligji dhe praktika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se vendase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rshkruhen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detaje,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inter alia, 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vendimin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Ramadhi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(nr. 38222/02, 13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ntor 2007);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</w:t>
      </w:r>
      <w:r w:rsidR="00996786" w:rsidRPr="005E718D">
        <w:rPr>
          <w:rFonts w:ascii="Times New Roman" w:hAnsi="Times New Roman"/>
          <w:sz w:val="24"/>
          <w:szCs w:val="24"/>
          <w:lang w:val="sq-AL"/>
        </w:rPr>
        <w:t>nr. 604/07, 43628/07, 46684/07 dhe 34770/09, §§ 23-53, 31 Korrik 2012</w:t>
      </w:r>
      <w:r w:rsidRPr="005E718D">
        <w:rPr>
          <w:rFonts w:ascii="Times New Roman" w:hAnsi="Times New Roman"/>
          <w:sz w:val="24"/>
          <w:szCs w:val="24"/>
          <w:lang w:val="sq-AL"/>
        </w:rPr>
        <w:t>)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 xml:space="preserve"> dhe i</w:t>
      </w:r>
      <w:r w:rsidR="00996786" w:rsidRPr="005E718D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96786" w:rsidRPr="005E718D">
        <w:rPr>
          <w:rFonts w:ascii="Times New Roman" w:hAnsi="Times New Roman"/>
          <w:sz w:val="24"/>
          <w:szCs w:val="24"/>
          <w:lang w:val="sq-AL"/>
        </w:rPr>
        <w:t>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96786" w:rsidRPr="005E718D">
        <w:rPr>
          <w:rFonts w:ascii="Times New Roman" w:hAnsi="Times New Roman"/>
          <w:sz w:val="24"/>
          <w:szCs w:val="24"/>
          <w:lang w:val="sq-AL"/>
        </w:rPr>
        <w:t xml:space="preserve"> fundit, </w:t>
      </w:r>
      <w:r w:rsidR="00996786"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96786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96786"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96786"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96786"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96786" w:rsidRPr="005E718D">
        <w:rPr>
          <w:rFonts w:ascii="Times New Roman" w:hAnsi="Times New Roman"/>
          <w:sz w:val="24"/>
          <w:szCs w:val="24"/>
          <w:lang w:val="sq-AL"/>
        </w:rPr>
        <w:t xml:space="preserve"> [Komiteti] (nr. 25038/08, 64376/09, 64399/09, 347/10, 1376/10, 4036/10, 12889/10, 20240/10, 29442/10, 29617/10, 33154/11 dhe 2032/12, §§ 33-43, 10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96786" w:rsidRPr="005E718D">
        <w:rPr>
          <w:rFonts w:ascii="Times New Roman" w:hAnsi="Times New Roman"/>
          <w:sz w:val="24"/>
          <w:szCs w:val="24"/>
          <w:lang w:val="sq-AL"/>
        </w:rPr>
        <w:t xml:space="preserve">ntor 2015). </w:t>
      </w:r>
    </w:p>
    <w:p w:rsidR="00996786" w:rsidRPr="005E718D" w:rsidRDefault="00996786" w:rsidP="0099678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96786" w:rsidRPr="005E718D" w:rsidRDefault="00996786" w:rsidP="00996786">
      <w:pPr>
        <w:pStyle w:val="NoSpacing"/>
        <w:numPr>
          <w:ilvl w:val="0"/>
          <w:numId w:val="2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MATERIALET 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SHILLIT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EUROP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</w:t>
      </w:r>
    </w:p>
    <w:p w:rsidR="00996786" w:rsidRPr="005E718D" w:rsidRDefault="00996786" w:rsidP="00996786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9155A" w:rsidRPr="005E718D" w:rsidRDefault="0064326E" w:rsidP="0099678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 xml:space="preserve"> ven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dimet e saj 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>G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>jykata iu referua materialeve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 kan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 lidhje me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>shtjen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 si 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r, § 44; 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Metalla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 [Komiteti] (nr. 30264/08, 42120/08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>, 54403/08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 dhe 54411/08, §§ 15-17, 16 Korrik 2015); 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Siliqi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>[Komiteti] (nr. 37295/05 dhe 42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>228/05, §§ 12-13, 10 Mars 2015);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 dhe 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Karagjozi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200" w:rsidRPr="005E718D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[Komiteti] (nr. 25408/06, 37419/06, 49121/06, 1504/07, 19772/07, 46685/07, 49411/07, 27242/08, 61912/08 dhe 15075/09, §§ 36-38, 8 Prill 2014). </w:t>
      </w: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LIGJI </w:t>
      </w: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EA7200" w:rsidP="00EA720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BASHKIMI I ANKIMEVE</w:t>
      </w: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EA7200" w:rsidP="00EA72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gjitha ankimet ngren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>shtje, Gjykata vendos se ato duhen bashkuar sipas Rregullit 42 §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Rregullores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EA7200" w:rsidP="00EA7200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SHKELJET E PRETENDUARA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NENEVE 6 § 1 DHE 13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PROTOKOLLIT NR. 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MOSZBATIMIN E VENDIMEVE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</w:p>
    <w:p w:rsidR="00EA7200" w:rsidRPr="005E718D" w:rsidRDefault="00EA7200" w:rsidP="00EA720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EA7200" w:rsidP="00EA720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Ankuesit pretendonin se ka pasur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Neneve 6 § 1 dhe 13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moszbatimin e vendimeve vendase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cilat i akordonin atyre kompensim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rikthimit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pronave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tyre. </w:t>
      </w:r>
    </w:p>
    <w:p w:rsidR="00724FD5" w:rsidRPr="005E718D" w:rsidRDefault="00EA7200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6 § 1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9265A" w:rsidRPr="005E718D">
        <w:rPr>
          <w:rFonts w:ascii="Times New Roman" w:hAnsi="Times New Roman"/>
          <w:sz w:val="24"/>
          <w:szCs w:val="24"/>
          <w:lang w:val="sq-AL"/>
        </w:rPr>
        <w:t>s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r sa ka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me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shtjen, parashikon si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724FD5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Pr="005E718D" w:rsidRDefault="00473B2C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“</w:t>
      </w:r>
      <w:r w:rsidRPr="005E718D">
        <w:rPr>
          <w:rFonts w:ascii="Times New Roman" w:hAnsi="Times New Roman"/>
          <w:sz w:val="20"/>
          <w:szCs w:val="20"/>
          <w:lang w:val="sq-AL"/>
        </w:rPr>
        <w:t>N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rcaktimin e t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drejtave civile dhe detyrimeve ... 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ç</w:t>
      </w:r>
      <w:r w:rsidRPr="005E718D">
        <w:rPr>
          <w:rFonts w:ascii="Times New Roman" w:hAnsi="Times New Roman"/>
          <w:sz w:val="20"/>
          <w:szCs w:val="20"/>
          <w:lang w:val="sq-AL"/>
        </w:rPr>
        <w:t>donjeri ka t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n p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nj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seanc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... d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gjimore... nga [nj</w:t>
      </w:r>
      <w:r w:rsidR="00F872F5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] ... tribunal...</w:t>
      </w:r>
      <w:r w:rsidRPr="005E718D">
        <w:rPr>
          <w:rFonts w:ascii="Times New Roman" w:hAnsi="Times New Roman"/>
          <w:sz w:val="24"/>
          <w:szCs w:val="24"/>
          <w:lang w:val="sq-AL"/>
        </w:rPr>
        <w:t>”</w:t>
      </w:r>
    </w:p>
    <w:p w:rsidR="00724FD5" w:rsidRPr="005E718D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724FD5" w:rsidP="00EA7200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13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parashikon si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: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847368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75BE5">
        <w:rPr>
          <w:rFonts w:ascii="Times New Roman" w:hAnsi="Times New Roman"/>
          <w:sz w:val="20"/>
          <w:szCs w:val="20"/>
          <w:lang w:val="sq-AL"/>
        </w:rPr>
        <w:t>“Çdonjëri të drejtat dhe liritë e të cilit, siç parashikohen në Konventë, janë thyer, do të përfitojë një kompensim efektiv përpara një autoriteti kombëtar, pavarësisht faktit se thyerja mund të jetë bërë nga persona me një pozicion zyrtar.”</w:t>
      </w:r>
    </w:p>
    <w:p w:rsidR="00847368" w:rsidRPr="005E718D" w:rsidRDefault="00847368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1 i Protokollit Nr. 1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parashikon si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posht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234ED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“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Çdo person fizik ose juridik ka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n e g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zimit paqësor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pasuris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s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tij. Askush nuk mund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privohet nga prona e tij,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rveç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se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r arsye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 interesit publik d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he 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 xml:space="preserve">për 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kushtet e parashikuara nga ligji dhe nga parimet e përgjithshme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s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s nd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>rkomb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D234ED" w:rsidRPr="005E718D">
        <w:rPr>
          <w:rFonts w:ascii="Times New Roman" w:hAnsi="Times New Roman"/>
          <w:sz w:val="20"/>
          <w:szCs w:val="20"/>
          <w:lang w:val="sq-AL"/>
        </w:rPr>
        <w:t xml:space="preserve">tare. </w:t>
      </w:r>
    </w:p>
    <w:p w:rsidR="00D234ED" w:rsidRPr="005E718D" w:rsidRDefault="00D234ED" w:rsidP="00724FD5">
      <w:pPr>
        <w:pStyle w:val="NoSpacing"/>
        <w:spacing w:line="276" w:lineRule="auto"/>
        <w:jc w:val="both"/>
        <w:rPr>
          <w:rFonts w:ascii="Times New Roman" w:hAnsi="Times New Roman"/>
          <w:sz w:val="20"/>
          <w:szCs w:val="20"/>
          <w:lang w:val="sq-AL"/>
        </w:rPr>
      </w:pPr>
    </w:p>
    <w:p w:rsidR="00724FD5" w:rsidRPr="005E718D" w:rsidRDefault="00D234ED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0"/>
          <w:szCs w:val="20"/>
          <w:lang w:val="sq-AL"/>
        </w:rPr>
        <w:t>Megjithat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, dispozitat e mëparshme nuk c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nojn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drejt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ën e një Shteti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zbatuar ligje, q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 ai i çmo</w:t>
      </w:r>
      <w:r w:rsidRPr="005E718D">
        <w:rPr>
          <w:rFonts w:ascii="Times New Roman" w:hAnsi="Times New Roman"/>
          <w:sz w:val="20"/>
          <w:szCs w:val="20"/>
          <w:lang w:val="sq-AL"/>
        </w:rPr>
        <w:t>n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 nevojshm</w:t>
      </w:r>
      <w:r w:rsidRPr="005E718D">
        <w:rPr>
          <w:rFonts w:ascii="Times New Roman" w:hAnsi="Times New Roman"/>
          <w:sz w:val="20"/>
          <w:szCs w:val="20"/>
          <w:lang w:val="sq-AL"/>
        </w:rPr>
        <w:t>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rregulluar përdorimin e pasurive n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përputhje 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me int</w:t>
      </w:r>
      <w:r w:rsidRPr="005E718D">
        <w:rPr>
          <w:rFonts w:ascii="Times New Roman" w:hAnsi="Times New Roman"/>
          <w:sz w:val="20"/>
          <w:szCs w:val="20"/>
          <w:lang w:val="sq-AL"/>
        </w:rPr>
        <w:t>eresin 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rgjithsh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m ose p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>r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siguruar pagimin e taksave ose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kontributeve ose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gjobave t</w:t>
      </w:r>
      <w:r w:rsidR="00115B71" w:rsidRPr="005E718D">
        <w:rPr>
          <w:rFonts w:ascii="Times New Roman" w:hAnsi="Times New Roman"/>
          <w:sz w:val="20"/>
          <w:szCs w:val="20"/>
          <w:lang w:val="sq-AL"/>
        </w:rPr>
        <w:t>ë</w:t>
      </w:r>
      <w:r w:rsidRPr="005E718D">
        <w:rPr>
          <w:rFonts w:ascii="Times New Roman" w:hAnsi="Times New Roman"/>
          <w:sz w:val="20"/>
          <w:szCs w:val="20"/>
          <w:lang w:val="sq-AL"/>
        </w:rPr>
        <w:t xml:space="preserve"> tjera.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>”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724FD5" w:rsidRPr="005E718D" w:rsidRDefault="00724FD5" w:rsidP="00724FD5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PRANUESHM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RIA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724FD5" w:rsidRPr="005E718D" w:rsidRDefault="00724FD5" w:rsidP="00724FD5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Paraqitja e nj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ankimi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parakohsh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</w:t>
      </w:r>
    </w:p>
    <w:p w:rsidR="00724FD5" w:rsidRPr="005E718D" w:rsidRDefault="00724FD5" w:rsidP="00724FD5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695F92" w:rsidRPr="005E718D" w:rsidRDefault="00724FD5" w:rsidP="00724FD5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sa i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rket ankimit nr. 5207/10, Qeveria parashtroi se ankuesi kishte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rkuar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rishikohej vendim</w:t>
      </w:r>
      <w:r w:rsidR="00115B71" w:rsidRPr="005E718D">
        <w:rPr>
          <w:rFonts w:ascii="Times New Roman" w:hAnsi="Times New Roman"/>
          <w:sz w:val="24"/>
          <w:szCs w:val="24"/>
          <w:lang w:val="sq-AL"/>
        </w:rPr>
        <w:t>i i Komisionit dhe se procedurat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administrative kishin mbetur pezull.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15B71" w:rsidRPr="005E718D">
        <w:rPr>
          <w:rFonts w:ascii="Times New Roman" w:hAnsi="Times New Roman"/>
          <w:sz w:val="24"/>
          <w:szCs w:val="24"/>
          <w:lang w:val="sq-AL"/>
        </w:rPr>
        <w:t>, ata diskutuan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zbatimin e procedur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-p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rcaktuar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95F92" w:rsidRPr="005E718D">
        <w:rPr>
          <w:rFonts w:ascii="Times New Roman" w:hAnsi="Times New Roman"/>
          <w:sz w:val="24"/>
          <w:szCs w:val="24"/>
          <w:lang w:val="sq-AL"/>
        </w:rPr>
        <w:t xml:space="preserve">vendimeve. </w:t>
      </w:r>
    </w:p>
    <w:p w:rsidR="00695F92" w:rsidRPr="005E718D" w:rsidRDefault="00695F92" w:rsidP="00695F9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ren se ankuesi shfaqi pak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naq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15B71" w:rsidRPr="005E718D">
        <w:rPr>
          <w:rFonts w:ascii="Times New Roman" w:hAnsi="Times New Roman"/>
          <w:sz w:val="24"/>
          <w:szCs w:val="24"/>
          <w:lang w:val="sq-AL"/>
        </w:rPr>
        <w:t>r mos</w:t>
      </w:r>
      <w:r w:rsidRPr="005E718D">
        <w:rPr>
          <w:rFonts w:ascii="Times New Roman" w:hAnsi="Times New Roman"/>
          <w:sz w:val="24"/>
          <w:szCs w:val="24"/>
          <w:lang w:val="sq-AL"/>
        </w:rPr>
        <w:t>zbatimin e vendimit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pages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 e kompensimit </w:t>
      </w:r>
      <w:r w:rsidR="00115B71" w:rsidRPr="005E718D">
        <w:rPr>
          <w:rFonts w:ascii="Times New Roman" w:hAnsi="Times New Roman"/>
          <w:sz w:val="24"/>
          <w:szCs w:val="24"/>
          <w:lang w:val="sq-AL"/>
        </w:rPr>
        <w:t>për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930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 Procedurat e mbetura pezull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rpara autoriteteve administrative kan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mbetur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me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rfaqen prej 47,104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, e cila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objekt i ankimit aktual (shiko paragrafin 12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r).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arsye, Gjykata e </w:t>
      </w:r>
      <w:r w:rsidR="00115B71" w:rsidRPr="005E718D">
        <w:rPr>
          <w:rFonts w:ascii="Times New Roman" w:hAnsi="Times New Roman"/>
          <w:sz w:val="24"/>
          <w:szCs w:val="24"/>
          <w:lang w:val="sq-AL"/>
        </w:rPr>
        <w:t>rrëzon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rshtim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Qeveris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dhe gjykon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>shtja e ngritur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objekt i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rcaktuar. </w:t>
      </w:r>
    </w:p>
    <w:p w:rsidR="00695F92" w:rsidRPr="005E718D" w:rsidRDefault="00695F92" w:rsidP="00695F9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200" w:rsidRPr="005E718D" w:rsidRDefault="00695F92" w:rsidP="00695F92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Pajtueshm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ria patione personae</w:t>
      </w:r>
      <w:r w:rsidR="00724FD5" w:rsidRPr="005E718D">
        <w:rPr>
          <w:rFonts w:ascii="Times New Roman" w:hAnsi="Times New Roman"/>
          <w:sz w:val="24"/>
          <w:szCs w:val="24"/>
          <w:lang w:val="sq-AL"/>
        </w:rPr>
        <w:t xml:space="preserve">  </w:t>
      </w:r>
      <w:r w:rsidR="00EA7200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A742C1" w:rsidRDefault="00121D80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73B2C" w:rsidRDefault="00473B2C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t>VENDIMI RISTA DHE TË TJERËT KUNDËR SHQIPËRISË</w:t>
      </w:r>
    </w:p>
    <w:p w:rsidR="00473B2C" w:rsidRPr="005E718D" w:rsidRDefault="00473B2C" w:rsidP="00565FDE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95F92" w:rsidRPr="005E718D" w:rsidRDefault="00695F92" w:rsidP="00695F92">
      <w:pPr>
        <w:pStyle w:val="NoSpacing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lidhje me ankimin nr. 36228/10</w:t>
      </w:r>
    </w:p>
    <w:p w:rsidR="00695F92" w:rsidRPr="005E718D" w:rsidRDefault="00695F92" w:rsidP="00695F92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695F92" w:rsidRPr="005E718D" w:rsidRDefault="00695F92" w:rsidP="00695F92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19 Gusht 2014, z. Erol Hasa shprehu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ndjekur procedimet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babait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tij, i cili vdiq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23 Maj 2014. Ai paraqiti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dokument noterial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anglisht, kopja origjinale 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cilit nuk u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zua,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njihte 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vetmin pasardh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s. Ai nuk 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paraqiti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dokument i cili e njihte 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si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gimtar, sipas ligjit shqiptar.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to rrethana, Gjykata shprehet se z. Erol Hasa nuk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pretendoj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dal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rpara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s ligj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risht.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arsye, ky ankim duhet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rshtuar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>rputhje me Nenin 35 §§ 3 (a) dhe 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0693F"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80693F" w:rsidRPr="005E718D" w:rsidRDefault="0080693F" w:rsidP="0080693F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0693F" w:rsidRPr="005E718D" w:rsidRDefault="0080693F" w:rsidP="0080693F">
      <w:pPr>
        <w:pStyle w:val="NoSpacing"/>
        <w:numPr>
          <w:ilvl w:val="0"/>
          <w:numId w:val="29"/>
        </w:num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lidhje me ankimin nr. 40751/10</w:t>
      </w:r>
    </w:p>
    <w:p w:rsidR="0080693F" w:rsidRPr="005E718D" w:rsidRDefault="0080693F" w:rsidP="0080693F">
      <w:pPr>
        <w:pStyle w:val="NoSpacing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B94936" w:rsidRPr="005E718D" w:rsidRDefault="0080693F" w:rsidP="00B9493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Formulari i ankimit u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zua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ankuesve, por ai u firmos nga z. G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zim Kaciu dhe z. Edmir Merlika,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vepronin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emrin etyre.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25 Tetor 2010,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ankuesve iu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rkua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zonin prokurat e firmosura rregullisht, ku autorizohej z. G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zim Kaciu dhe z. Edmir Merlika. Si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rgjigje 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saj, ata 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zbatuan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rkes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7531" w:rsidRPr="005E718D">
        <w:rPr>
          <w:rFonts w:ascii="Times New Roman" w:hAnsi="Times New Roman"/>
          <w:sz w:val="24"/>
          <w:szCs w:val="24"/>
          <w:lang w:val="sq-AL"/>
        </w:rPr>
        <w:t>n. Megjit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h</w:t>
      </w:r>
      <w:r w:rsidR="00EC7531" w:rsidRPr="005E718D">
        <w:rPr>
          <w:rFonts w:ascii="Times New Roman" w:hAnsi="Times New Roman"/>
          <w:sz w:val="24"/>
          <w:szCs w:val="24"/>
          <w:lang w:val="sq-AL"/>
        </w:rPr>
        <w:t>a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, znj. Shpresa Merlika, e cila isht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ra nga ankuesit, nuk e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zoi prokur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n.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prokur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e dat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s 26 Tetor 2007 autorizonte z. G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zim Kaciu dhe z. Edmir Merlika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rfaq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sonte znj. Shpresa Merlika vet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m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rpara Komisionit.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to rrethana, nuk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gjykohet se znj. Shpresa Merlika i ka 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ush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zime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detajuara dhe specifike z. G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zim Kaciut ose Edmir Merlik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vepruar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emrin e saj.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shtu, ajo nuk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pretendoj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se ka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zuar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dhe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viktim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sipas interpretimit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Nenit 34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s (shiko 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Post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r Holland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 xml:space="preserve">s, 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(vend.), ankimi nr. 2727/08, 20 Janar 2009; 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K.M.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(vend.), nr. 46086/07, 29 Prill 2010; 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Şükrü Çetin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r Turqis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(vend.), nr. 10449/08, 13 Shtator 2011, dhe 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Renata CYTACKA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i/>
          <w:sz w:val="24"/>
          <w:szCs w:val="24"/>
          <w:lang w:val="sq-AL"/>
        </w:rPr>
        <w:t>r Lituanis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 xml:space="preserve"> (vend.), </w:t>
      </w:r>
      <w:r w:rsidR="00F92846" w:rsidRPr="005E718D">
        <w:rPr>
          <w:rFonts w:ascii="Times New Roman" w:hAnsi="Times New Roman"/>
          <w:sz w:val="24"/>
          <w:szCs w:val="24"/>
          <w:lang w:val="sq-AL"/>
        </w:rPr>
        <w:t>53788/08, 10 Korrik 2012</w:t>
      </w:r>
      <w:r w:rsidR="00B94936" w:rsidRPr="005E718D">
        <w:rPr>
          <w:rFonts w:ascii="Times New Roman" w:hAnsi="Times New Roman"/>
          <w:sz w:val="24"/>
          <w:szCs w:val="24"/>
          <w:lang w:val="sq-AL"/>
        </w:rPr>
        <w:t>)</w:t>
      </w:r>
      <w:r w:rsidR="00E91FC4" w:rsidRPr="005E718D">
        <w:rPr>
          <w:rFonts w:ascii="Times New Roman" w:hAnsi="Times New Roman"/>
          <w:sz w:val="24"/>
          <w:szCs w:val="24"/>
          <w:lang w:val="sq-AL"/>
        </w:rPr>
        <w:t>, k</w:t>
      </w:r>
      <w:r w:rsidR="00E91FC4" w:rsidRPr="005E718D">
        <w:rPr>
          <w:rFonts w:ascii="Sylfaen" w:hAnsi="Sylfaen"/>
          <w:sz w:val="24"/>
          <w:szCs w:val="24"/>
          <w:lang w:val="sq-AL"/>
        </w:rPr>
        <w:t>ështu</w:t>
      </w:r>
      <w:r w:rsidR="00F92846" w:rsidRPr="005E718D">
        <w:rPr>
          <w:rFonts w:ascii="Times New Roman" w:hAnsi="Times New Roman"/>
          <w:sz w:val="24"/>
          <w:szCs w:val="24"/>
          <w:lang w:val="sq-AL"/>
        </w:rPr>
        <w:t xml:space="preserve"> kjo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92846" w:rsidRPr="005E718D">
        <w:rPr>
          <w:rFonts w:ascii="Times New Roman" w:hAnsi="Times New Roman"/>
          <w:sz w:val="24"/>
          <w:szCs w:val="24"/>
          <w:lang w:val="sq-AL"/>
        </w:rPr>
        <w:t xml:space="preserve"> e ankimit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92846" w:rsidRPr="005E718D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92846" w:rsidRPr="005E718D">
        <w:rPr>
          <w:rFonts w:ascii="Times New Roman" w:hAnsi="Times New Roman"/>
          <w:sz w:val="24"/>
          <w:szCs w:val="24"/>
          <w:lang w:val="sq-AL"/>
        </w:rPr>
        <w:t>rshtohet sipas Nenit 35 §§ 3 (a) dhe 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92846"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92846"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F92846" w:rsidRPr="005E718D" w:rsidRDefault="00BA3340" w:rsidP="00B94936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26 Gusht 2014, z. Edmir Merlika, i cili ishte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ri nga ankuesit, pranoi se ai nuk kisht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ligjore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ndiqte procedurat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rpara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s. Ai nuk ishte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ri nga trash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gimtar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ligjor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pronarit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parsh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m, por babai i tij, z. Kujtim Merlika, po.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to rrethana, Gjykata pranon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parashtrim dhe gjykon se kjo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ankimit duhet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rshtuar sipas Nenit 35 §§ 3 (a) dhe 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BA3340" w:rsidRDefault="00BA3340" w:rsidP="00BA334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BA334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BA334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BA334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Pr="005E718D" w:rsidRDefault="00473B2C" w:rsidP="00BA3340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A3340" w:rsidRPr="005E718D" w:rsidRDefault="00BA3340" w:rsidP="00BA3340">
      <w:pPr>
        <w:pStyle w:val="NoSpacing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lidhje me ankimin nr. 48522/10</w:t>
      </w:r>
    </w:p>
    <w:p w:rsidR="00BA3340" w:rsidRPr="005E718D" w:rsidRDefault="00BA3340" w:rsidP="00BA3340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BA3340" w:rsidRPr="005E718D" w:rsidRDefault="00BA3340" w:rsidP="00BA334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Z. Vasil Dhimerlika nuk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zoi formularin e autoritetit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simin e tij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procedimet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rpara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981514" w:rsidRPr="005E718D" w:rsidRDefault="00981514" w:rsidP="00BA3340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ren se z. Vasil Dhimertika nuk e paraqiti prokur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n, dhe as nuk e firmosi formularin e aplikimit.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to rrethana, nuk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</w:t>
      </w:r>
      <w:r w:rsidR="00E91FC4" w:rsidRPr="005E718D">
        <w:rPr>
          <w:rFonts w:ascii="Times New Roman" w:hAnsi="Times New Roman"/>
          <w:sz w:val="24"/>
          <w:szCs w:val="24"/>
          <w:lang w:val="sq-AL"/>
        </w:rPr>
        <w:t>ykohet se z. Vasil Dhimerlika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i ka 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avokatit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tij udh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zime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detajuara dhe specifike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vepruar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emrin e tij.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shtu, ai nuk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pretendoj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ka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zuar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ankim dhe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viktim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sipas interpretimit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34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(shiko gjithashtu paragrafin 35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r) dhe kjo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ankimit duhet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rshtuar sipas Nenit 35 §§ 3 (a) dhe 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981514" w:rsidRPr="005E718D" w:rsidRDefault="00981514" w:rsidP="00981514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981514" w:rsidRPr="005E718D" w:rsidRDefault="00981514" w:rsidP="00981514">
      <w:pPr>
        <w:pStyle w:val="NoSpacing"/>
        <w:numPr>
          <w:ilvl w:val="0"/>
          <w:numId w:val="28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lidhje me pjes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n e mbetur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ankimeve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ankuesve</w:t>
      </w:r>
    </w:p>
    <w:p w:rsidR="00981514" w:rsidRPr="005E718D" w:rsidRDefault="00981514" w:rsidP="00981514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981514" w:rsidRPr="005E718D" w:rsidRDefault="00981514" w:rsidP="0098151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Qeveria nuk ngriti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rshtim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pozit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ligjore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mbetur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ankuesve dhe me pranueshm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rin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mbetur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ankesave. </w:t>
      </w:r>
    </w:p>
    <w:p w:rsidR="00D77C08" w:rsidRPr="005E718D" w:rsidRDefault="00981514" w:rsidP="00981514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Gjykata 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>thekson se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>to ankesa nuk jan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pabazuara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fakte sipas interpretimit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>s.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tej ajo thekson, se ato nuk jan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papranueshme sipas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argumenti tjet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>r.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>shtu, ato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deklarohen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77C08" w:rsidRPr="005E718D">
        <w:rPr>
          <w:rFonts w:ascii="Times New Roman" w:hAnsi="Times New Roman"/>
          <w:sz w:val="24"/>
          <w:szCs w:val="24"/>
          <w:lang w:val="sq-AL"/>
        </w:rPr>
        <w:t xml:space="preserve"> pranueshme. </w:t>
      </w:r>
    </w:p>
    <w:p w:rsidR="00D77C08" w:rsidRPr="005E718D" w:rsidRDefault="00D77C08" w:rsidP="00D77C08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77C08" w:rsidRPr="005E718D" w:rsidRDefault="00D77C08" w:rsidP="00D77C08">
      <w:pPr>
        <w:pStyle w:val="NoSpacing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CIL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SIT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</w:p>
    <w:p w:rsidR="00D77C08" w:rsidRPr="005E718D" w:rsidRDefault="00D77C08" w:rsidP="00D77C08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77C08" w:rsidRPr="005E718D" w:rsidRDefault="00D77C08" w:rsidP="00D77C0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rve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rshtimit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ngritur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ankimin nr. 5207/10, i cili u shqyrtua dhe u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rshtua nga Gjykata (shiko paragraf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32-33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r), Qeveria nuk debatoi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cil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ankesave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ankuesve.</w:t>
      </w:r>
    </w:p>
    <w:p w:rsidR="00BC6470" w:rsidRPr="005E718D" w:rsidRDefault="00BC6470" w:rsidP="00D77C0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rezultatet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>shtjet e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parshme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cilat Qeveria nuk paraqiti argumenta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cilat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garantonin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91FC4" w:rsidRPr="005E718D">
        <w:rPr>
          <w:rFonts w:ascii="Times New Roman" w:hAnsi="Times New Roman"/>
          <w:sz w:val="24"/>
          <w:szCs w:val="24"/>
          <w:lang w:val="sq-AL"/>
        </w:rPr>
        <w:t xml:space="preserve"> shmangi</w:t>
      </w:r>
      <w:r w:rsidRPr="005E718D">
        <w:rPr>
          <w:rFonts w:ascii="Times New Roman" w:hAnsi="Times New Roman"/>
          <w:sz w:val="24"/>
          <w:szCs w:val="24"/>
          <w:lang w:val="sq-AL"/>
        </w:rPr>
        <w:t>e prej tyre (shiko, midis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ve,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r, §§ 93-97 dhe referencat cituar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vijim; dhe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fundmi,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§§ 49-51;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Metalla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§§ 29-31;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Siliqi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r, §§ 19), Gjykata konstaton se autoritetet vendase,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kaq shum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vite, nuk zbatuan vendimet vendase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dhe rezulton se nuk paguan k</w:t>
      </w:r>
      <w:r w:rsidR="00E91FC4" w:rsidRPr="005E718D">
        <w:rPr>
          <w:rFonts w:ascii="Times New Roman" w:hAnsi="Times New Roman"/>
          <w:sz w:val="24"/>
          <w:szCs w:val="24"/>
          <w:lang w:val="sq-AL"/>
        </w:rPr>
        <w:t>ompensimin e akorduar dhe shkelën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drejtat e ankuesve sipas Nenit 6 § 1 dhe sipas Nenit 1t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473B2C" w:rsidRDefault="00BC6470" w:rsidP="00D77C0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Gjithashtu, Gjykata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rfundon se 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nuk </w:t>
      </w:r>
      <w:r w:rsidRPr="005E718D">
        <w:rPr>
          <w:rFonts w:ascii="Times New Roman" w:hAnsi="Times New Roman"/>
          <w:sz w:val="24"/>
          <w:szCs w:val="24"/>
          <w:lang w:val="sq-AL"/>
        </w:rPr>
        <w:t>kishte, dhe vazhdon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mos </w:t>
      </w:r>
      <w:r w:rsidRPr="005E718D">
        <w:rPr>
          <w:rFonts w:ascii="Times New Roman" w:hAnsi="Times New Roman"/>
          <w:sz w:val="24"/>
          <w:szCs w:val="24"/>
          <w:lang w:val="sq-AL"/>
        </w:rPr>
        <w:t>ket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shp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rblime efikase vendase,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cilat mund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sonin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rregullim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91FC4" w:rsidRPr="005E718D">
        <w:rPr>
          <w:rFonts w:ascii="Times New Roman" w:hAnsi="Times New Roman"/>
          <w:sz w:val="24"/>
          <w:szCs w:val="24"/>
          <w:lang w:val="sq-AL"/>
        </w:rPr>
        <w:t>rsh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tatsh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m 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mjaftuesh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m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r moszbatimin e tejzgjatur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vendimeve vendase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C142C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73B2C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142C" w:rsidRPr="00473B2C" w:rsidRDefault="00AC14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473B2C">
        <w:rPr>
          <w:rFonts w:ascii="Times New Roman" w:hAnsi="Times New Roman"/>
          <w:sz w:val="24"/>
          <w:szCs w:val="24"/>
          <w:lang w:val="sq-AL"/>
        </w:rPr>
        <w:t>prer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,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cilat akordonin kompensim. K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shtu, ka nj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 shkelje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Nenit 13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s (shiko </w:t>
      </w:r>
      <w:r w:rsidRPr="00473B2C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473B2C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473B2C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i/>
          <w:sz w:val="24"/>
          <w:szCs w:val="24"/>
          <w:lang w:val="sq-AL"/>
        </w:rPr>
        <w:t>t</w:t>
      </w:r>
      <w:r w:rsidRPr="00473B2C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r, §§ 72-84 dhe referencat e cituara n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:rsidR="00AC142C" w:rsidRPr="005E718D" w:rsidRDefault="00AC142C" w:rsidP="00AC142C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142C" w:rsidRPr="005E718D" w:rsidRDefault="00AC142C" w:rsidP="00AC142C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SHKELJE E PRETENDUAR E NENIT 6 § 1 E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ZGJATJEN E PROCEDIMEVE</w:t>
      </w:r>
    </w:p>
    <w:p w:rsidR="00AC142C" w:rsidRPr="005E718D" w:rsidRDefault="00AC142C" w:rsidP="00AC14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C142C" w:rsidRPr="005E718D" w:rsidRDefault="00AC142C" w:rsidP="00AC142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Ankuesit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ankimet nr. 24468/10, 39492/10, 39495/10 dhe 48522/10 u ankuan sipas Nenit 6 §1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zgjatjen e procedurave si rezultat i moszbatimit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Komisionit. </w:t>
      </w:r>
    </w:p>
    <w:p w:rsidR="00AC142C" w:rsidRPr="005E718D" w:rsidRDefault="00AC142C" w:rsidP="00AC142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ren se kjo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pabazuar sipas interpretimit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35 § 3 (a)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s.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tej ajo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ren se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papranueshme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argument tjet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dhe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arsye e deklaron 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pranuesh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m. </w:t>
      </w:r>
    </w:p>
    <w:p w:rsidR="00792693" w:rsidRPr="005E718D" w:rsidRDefault="004E3DF6" w:rsidP="00AC142C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argumenton se sipas gjetjeve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paragraf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42-43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>shtja e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zgjatjes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procedurave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s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iderohet se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rfshir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shtjen e mosp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rfshirjes (shiko,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r shembull, 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Kutić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r Kroacis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, nr. 48778/99, § 34, GJEDNJ 2002-II, dhe 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Popova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>r Rusis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nr. 23697/02, § 44, 21 Dhjetor 2006).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arsye, gjykata mendon se nuk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e nevojshme ta shqyrtoj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ve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>ant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92693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792693" w:rsidRPr="005E718D" w:rsidRDefault="00792693" w:rsidP="0079269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792693">
      <w:pPr>
        <w:pStyle w:val="NoSpacing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ZBATIMI I NENIT 41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</w:t>
      </w:r>
    </w:p>
    <w:p w:rsidR="00820D03" w:rsidRPr="005E718D" w:rsidRDefault="00820D03" w:rsidP="00820D03">
      <w:pPr>
        <w:pStyle w:val="NoSpacing"/>
        <w:spacing w:line="276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Neni 41 i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 parashikon: 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“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Nëse Gjykata konstaton se ka pasur një shkelje të Konvent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s ose 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Protokolleve n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, dhe n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se ligji i brendshëm i Pal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>s s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Lart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ë</w:t>
      </w:r>
      <w:r w:rsidR="00E91FC4" w:rsidRPr="005E718D">
        <w:rPr>
          <w:rFonts w:ascii="Times New Roman" w:hAnsi="Times New Roman"/>
          <w:sz w:val="20"/>
          <w:szCs w:val="20"/>
          <w:lang w:val="sq-AL"/>
        </w:rPr>
        <w:t xml:space="preserve"> Kontraktuese </w:t>
      </w:r>
      <w:r w:rsidR="003B7926" w:rsidRPr="005E718D">
        <w:rPr>
          <w:rFonts w:ascii="Times New Roman" w:hAnsi="Times New Roman"/>
          <w:sz w:val="20"/>
          <w:szCs w:val="20"/>
          <w:lang w:val="sq-AL"/>
        </w:rPr>
        <w:t>në fjalë lejon që të bëhet vetëm kompensim i pjesshëm, nëse është e nevojshme, Gjykata duhet të ofrojë kompensim të drejtë për palën e dëmtuar.</w:t>
      </w:r>
      <w:r w:rsidRPr="005E718D">
        <w:rPr>
          <w:rFonts w:ascii="Times New Roman" w:hAnsi="Times New Roman"/>
          <w:sz w:val="24"/>
          <w:szCs w:val="24"/>
          <w:lang w:val="sq-AL"/>
        </w:rPr>
        <w:t>”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D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MI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Parashtrimet e pal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ve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Ankuesit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V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rejtjet e 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rgjithshme</w:t>
      </w:r>
    </w:p>
    <w:p w:rsidR="00820D03" w:rsidRPr="005E718D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820D03" w:rsidRPr="005E718D" w:rsidRDefault="00820D03" w:rsidP="00820D03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Ankuesit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jtat parashtrime si ato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rmbledhura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§§ 57-58. </w:t>
      </w:r>
    </w:p>
    <w:p w:rsidR="00820D03" w:rsidRDefault="00820D03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Pr="005E718D" w:rsidRDefault="00473B2C" w:rsidP="00820D0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11AFA" w:rsidRPr="005E718D" w:rsidRDefault="00820D03" w:rsidP="00820D03">
      <w:pPr>
        <w:pStyle w:val="NoSpacing"/>
        <w:numPr>
          <w:ilvl w:val="0"/>
          <w:numId w:val="33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K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rkesa specifike n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lidhje me secilin aplikim</w:t>
      </w:r>
    </w:p>
    <w:p w:rsidR="00C11AFA" w:rsidRPr="005E718D" w:rsidRDefault="00C11AFA" w:rsidP="00C11AF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C11AFA" w:rsidRPr="005E718D" w:rsidRDefault="00C11AFA" w:rsidP="00C11AFA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Ankuesit pat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rkesa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min monetar dhe jo monetar, 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paraqitur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tabel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3B7926" w:rsidRPr="005E718D">
        <w:rPr>
          <w:rFonts w:ascii="Times New Roman" w:hAnsi="Times New Roman"/>
          <w:sz w:val="24"/>
          <w:szCs w:val="24"/>
          <w:lang w:val="sq-AL"/>
        </w:rPr>
        <w:t xml:space="preserve"> Shto</w:t>
      </w:r>
      <w:r w:rsidRPr="005E718D">
        <w:rPr>
          <w:rFonts w:ascii="Times New Roman" w:hAnsi="Times New Roman"/>
          <w:sz w:val="24"/>
          <w:szCs w:val="24"/>
          <w:lang w:val="sq-AL"/>
        </w:rPr>
        <w:t>jc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 2. </w:t>
      </w:r>
    </w:p>
    <w:p w:rsidR="00820157" w:rsidRPr="005E718D" w:rsidRDefault="00C11AFA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nr. 5207/10, ankuesi paraqiti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rkesat e tij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kompensim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rfundimit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afatit kohor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rcaktuar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llim (shiko gjithashtu paragrafin 9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820157" w:rsidRPr="005E718D" w:rsidRDefault="00C11AFA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nr. 24468/10, ankuesit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rkuan 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Gjykata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rdornin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mimin e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3B7926" w:rsidRPr="005E718D">
        <w:rPr>
          <w:rFonts w:ascii="Times New Roman" w:hAnsi="Times New Roman"/>
          <w:sz w:val="24"/>
          <w:szCs w:val="24"/>
          <w:lang w:val="sq-AL"/>
        </w:rPr>
        <w:t>s prej 30,376 lek shqip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3B7926" w:rsidRPr="005E718D">
        <w:rPr>
          <w:rFonts w:ascii="Times New Roman" w:hAnsi="Times New Roman"/>
          <w:sz w:val="24"/>
          <w:szCs w:val="24"/>
          <w:lang w:val="sq-AL"/>
        </w:rPr>
        <w:t>ar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(T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GJITHA)/m</w:t>
      </w:r>
      <w:r w:rsidR="00B749CA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, 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tregohet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vitin 2013,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vend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mimit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s prej 27,104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="00B749CA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, 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tregohet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hartat e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s </w:t>
      </w:r>
      <w:r w:rsidR="003B7926" w:rsidRPr="005E718D">
        <w:rPr>
          <w:rFonts w:ascii="Times New Roman" w:hAnsi="Times New Roman"/>
          <w:sz w:val="24"/>
          <w:szCs w:val="24"/>
          <w:lang w:val="sq-AL"/>
        </w:rPr>
        <w:t>të vitit 2008. Ata parashtruan se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zot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ronin tre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 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rtat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s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rmas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>n 10,600 m</w:t>
      </w:r>
      <w:r w:rsidR="00B749CA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B749CA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820157" w:rsidRPr="005E718D" w:rsidRDefault="00B749CA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ankimin nr. 40751/10, ankuesit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rkuan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 aplikohet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mimi i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 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>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 paraqitet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 vitit 2008</w:t>
      </w:r>
      <w:r w:rsidR="003B7926" w:rsidRPr="005E718D">
        <w:rPr>
          <w:rFonts w:ascii="Times New Roman" w:hAnsi="Times New Roman"/>
          <w:sz w:val="24"/>
          <w:szCs w:val="24"/>
          <w:lang w:val="sq-AL"/>
        </w:rPr>
        <w:t>, i cili është 120,000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="0093517D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>. Ata pretendonin se zot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>ronin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3517D" w:rsidRPr="005E718D">
        <w:rPr>
          <w:rFonts w:ascii="Times New Roman" w:hAnsi="Times New Roman"/>
          <w:sz w:val="24"/>
          <w:szCs w:val="24"/>
          <w:lang w:val="sq-AL"/>
        </w:rPr>
        <w:t xml:space="preserve">n. </w:t>
      </w:r>
    </w:p>
    <w:p w:rsidR="00EC3F27" w:rsidRPr="005E718D" w:rsidRDefault="0093517D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ankimet nr. 39492/10, 39495/10 dhe 48522/10, ankuesit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rkuan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rdorte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mimin e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prej 7,000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3B7926" w:rsidRPr="005E718D">
        <w:rPr>
          <w:rFonts w:ascii="Times New Roman" w:hAnsi="Times New Roman"/>
          <w:sz w:val="24"/>
          <w:szCs w:val="24"/>
          <w:lang w:val="sq-AL"/>
        </w:rPr>
        <w:t>20,473 TË GJITHA/m</w:t>
      </w:r>
      <w:r w:rsidR="003B7926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3B7926" w:rsidRPr="005E718D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5E718D">
        <w:rPr>
          <w:rFonts w:ascii="Times New Roman" w:hAnsi="Times New Roman"/>
          <w:sz w:val="24"/>
          <w:szCs w:val="24"/>
          <w:lang w:val="sq-AL"/>
        </w:rPr>
        <w:t>17,427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, respektivisht, 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tregohet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vitit 2008,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vend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mimit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s prej 6,730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="00EC3F27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, 9,274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GJITHA/ m</w:t>
      </w:r>
      <w:r w:rsidR="00EC3F27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12,193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="00EC3F27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, respektivisht, 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tregohet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vitit 2013.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lidhje me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n nr. 39495/10, ankuesit debatuan se zot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ronin shtat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tetat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s.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lidhje me </w:t>
      </w:r>
      <w:r w:rsidR="00820157" w:rsidRPr="005E718D">
        <w:rPr>
          <w:rFonts w:ascii="Times New Roman" w:hAnsi="Times New Roman"/>
          <w:sz w:val="24"/>
          <w:szCs w:val="24"/>
          <w:lang w:val="sq-AL"/>
        </w:rPr>
        <w:t xml:space="preserve">ankimet 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nr. 39492/10 dhe 48522/10, ata debatuan se zot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>ronin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gjit</w:t>
      </w:r>
      <w:r w:rsidR="00820157" w:rsidRPr="005E718D">
        <w:rPr>
          <w:rFonts w:ascii="Times New Roman" w:hAnsi="Times New Roman"/>
          <w:sz w:val="24"/>
          <w:szCs w:val="24"/>
          <w:lang w:val="sq-AL"/>
        </w:rPr>
        <w:t>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C3F27" w:rsidRPr="005E718D">
        <w:rPr>
          <w:rFonts w:ascii="Times New Roman" w:hAnsi="Times New Roman"/>
          <w:sz w:val="24"/>
          <w:szCs w:val="24"/>
          <w:lang w:val="sq-AL"/>
        </w:rPr>
        <w:t xml:space="preserve">n. </w:t>
      </w:r>
    </w:p>
    <w:p w:rsidR="00EC3F27" w:rsidRPr="005E718D" w:rsidRDefault="00EC3F27" w:rsidP="00EC3F2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C3F27" w:rsidRPr="005E718D" w:rsidRDefault="00EC3F27" w:rsidP="00EC3F27">
      <w:pPr>
        <w:pStyle w:val="NoSpacing"/>
        <w:numPr>
          <w:ilvl w:val="0"/>
          <w:numId w:val="32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Qeveria </w:t>
      </w:r>
    </w:p>
    <w:p w:rsidR="00EC3F27" w:rsidRPr="005E718D" w:rsidRDefault="00EC3F27" w:rsidP="00EC3F27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EC3F27" w:rsidRPr="005E718D" w:rsidRDefault="00EC3F27" w:rsidP="00EC3F27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V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rejtje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rgjithshme</w:t>
      </w:r>
    </w:p>
    <w:p w:rsidR="00820157" w:rsidRPr="005E718D" w:rsidRDefault="00820157" w:rsidP="0082015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C3F27" w:rsidRPr="005E718D" w:rsidRDefault="00EC3F27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Qeveria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jtat parashtrime si ato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rmbledhura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 Gjykate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§§ 69-71. </w:t>
      </w:r>
    </w:p>
    <w:p w:rsidR="00EC3F27" w:rsidRPr="005E718D" w:rsidRDefault="00EC3F27" w:rsidP="00EC3F2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C3F27" w:rsidRPr="005E718D" w:rsidRDefault="00EC3F27" w:rsidP="00EC3F27">
      <w:pPr>
        <w:pStyle w:val="NoSpacing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Komente specifike n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lidhje me secilin ankes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</w:p>
    <w:p w:rsidR="00EC3F27" w:rsidRPr="005E718D" w:rsidRDefault="00EC3F27" w:rsidP="00EC3F27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4A4A3C" w:rsidRPr="005E718D" w:rsidRDefault="00EC3F27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ankimet nr. 5207/10 dhe 40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>751/10, Qeveria nuk paarqiti komente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>rkesat e ankuesve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>r kompensim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 xml:space="preserve"> brenda afatit kohor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>r 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>llim (shiko gjithashtu paragrafin 8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4A4A3C" w:rsidRPr="005E718D">
        <w:rPr>
          <w:rFonts w:ascii="Times New Roman" w:hAnsi="Times New Roman"/>
          <w:sz w:val="24"/>
          <w:szCs w:val="24"/>
          <w:lang w:val="sq-AL"/>
        </w:rPr>
        <w:t xml:space="preserve">r). </w:t>
      </w:r>
    </w:p>
    <w:p w:rsidR="00473B2C" w:rsidRDefault="004A4A3C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ankimet nr 24468/10, duke pasur paarsysh faktin se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konfiskimit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rfaqja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ishte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sore, Qeveria propozoi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zbatohej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mimi i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bu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>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>sore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 hartave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 v</w:t>
      </w:r>
      <w:r w:rsidRPr="005E718D">
        <w:rPr>
          <w:rFonts w:ascii="Times New Roman" w:hAnsi="Times New Roman"/>
          <w:sz w:val="24"/>
          <w:szCs w:val="24"/>
          <w:lang w:val="sq-AL"/>
        </w:rPr>
        <w:t>l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>e</w:t>
      </w:r>
      <w:r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473B2C" w:rsidRPr="005E718D" w:rsidRDefault="00473B2C" w:rsidP="00473B2C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FF1979" w:rsidRPr="005E718D" w:rsidRDefault="004A4A3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vitit 2014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,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mim i cili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 230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="00FF1979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>. Qeveria konfirmoi se ankuesve iu njihej tre e 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>rta 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1979"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A742C1" w:rsidRPr="005E718D" w:rsidRDefault="008E6660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ankimin nr. 39492/10, Qeveria argumentoi se ankuesit duhej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kompensoheshin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baz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hartave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vitit 2014, sipas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cilave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mimi i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ishte 4,865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GJITHA/m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820157" w:rsidRPr="005E718D">
        <w:rPr>
          <w:rFonts w:ascii="Times New Roman" w:hAnsi="Times New Roman"/>
          <w:sz w:val="24"/>
          <w:szCs w:val="24"/>
          <w:lang w:val="sq-AL"/>
        </w:rPr>
        <w:t>. Qeveria konfirmoi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ankuesve iu jepej e drejta mbi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gjith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n. </w:t>
      </w:r>
    </w:p>
    <w:p w:rsidR="00C76ED5" w:rsidRPr="005E718D" w:rsidRDefault="002D538F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ankimin nr. 39495/10, Qeveria parashtroi se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konfiskimit toka ishte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sore,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aplikohet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mimi i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sore.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rfaqja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e ankuesve prej 201,244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ishte e pozicionuar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820157" w:rsidRPr="005E718D">
        <w:rPr>
          <w:rFonts w:ascii="Times New Roman" w:hAnsi="Times New Roman"/>
          <w:sz w:val="24"/>
          <w:szCs w:val="24"/>
          <w:lang w:val="sq-AL"/>
        </w:rPr>
        <w:t>dy zona kadastrale t</w:t>
      </w:r>
      <w:r w:rsidR="007363A3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20157" w:rsidRPr="005E718D">
        <w:rPr>
          <w:rFonts w:ascii="Times New Roman" w:hAnsi="Times New Roman"/>
          <w:sz w:val="24"/>
          <w:szCs w:val="24"/>
          <w:lang w:val="sq-AL"/>
        </w:rPr>
        <w:t xml:space="preserve"> ndryshme: 88,429 m</w:t>
      </w:r>
      <w:r w:rsidR="00820157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820157" w:rsidRPr="005E718D">
        <w:rPr>
          <w:rFonts w:ascii="Times New Roman" w:hAnsi="Times New Roman"/>
          <w:sz w:val="24"/>
          <w:szCs w:val="24"/>
          <w:lang w:val="sq-AL"/>
        </w:rPr>
        <w:t xml:space="preserve"> ishin t</w:t>
      </w:r>
      <w:r w:rsidR="007363A3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20157" w:rsidRPr="005E718D">
        <w:rPr>
          <w:rFonts w:ascii="Times New Roman" w:hAnsi="Times New Roman"/>
          <w:sz w:val="24"/>
          <w:szCs w:val="24"/>
          <w:lang w:val="sq-AL"/>
        </w:rPr>
        <w:t xml:space="preserve"> pozicionuara n</w:t>
      </w:r>
      <w:r w:rsidR="007363A3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20157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>zon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kadastrale nr. 8320, e cila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hej nga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rtimi,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mimi i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ishte 10,556 E GJITHA/m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 Zona kadastrale nuk paraqiti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mim reference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sore. Megjithat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, ata propozuan se duhet aplikuar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mimi i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sore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zon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kadastrale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af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rt,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mim i cili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230 E GJITHA/m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>. Pjesa e mbetur prej 112,815 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pozicionohej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zon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kadastrale nr</w:t>
      </w:r>
      <w:r w:rsidR="00C76ED5" w:rsidRPr="005E718D">
        <w:rPr>
          <w:rFonts w:ascii="Times New Roman" w:hAnsi="Times New Roman"/>
          <w:sz w:val="24"/>
          <w:szCs w:val="24"/>
          <w:lang w:val="sq-AL"/>
        </w:rPr>
        <w:t xml:space="preserve">. 3992,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C76ED5" w:rsidRPr="005E718D">
        <w:rPr>
          <w:rFonts w:ascii="Times New Roman" w:hAnsi="Times New Roman"/>
          <w:sz w:val="24"/>
          <w:szCs w:val="24"/>
          <w:lang w:val="sq-AL"/>
        </w:rPr>
        <w:t>mimi i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76ED5" w:rsidRPr="005E718D">
        <w:rPr>
          <w:rFonts w:ascii="Times New Roman" w:hAnsi="Times New Roman"/>
          <w:sz w:val="24"/>
          <w:szCs w:val="24"/>
          <w:lang w:val="sq-AL"/>
        </w:rPr>
        <w:t>s i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sore</w:t>
      </w:r>
      <w:r w:rsidR="00C76ED5" w:rsidRPr="005E718D">
        <w:rPr>
          <w:rFonts w:ascii="Times New Roman" w:hAnsi="Times New Roman"/>
          <w:sz w:val="24"/>
          <w:szCs w:val="24"/>
          <w:lang w:val="sq-AL"/>
        </w:rPr>
        <w:t xml:space="preserve"> ishte 230 E GJITHA/m</w:t>
      </w:r>
      <w:r w:rsidR="00C76ED5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C76ED5" w:rsidRPr="005E718D">
        <w:rPr>
          <w:rFonts w:ascii="Times New Roman" w:hAnsi="Times New Roman"/>
          <w:sz w:val="24"/>
          <w:szCs w:val="24"/>
          <w:lang w:val="sq-AL"/>
        </w:rPr>
        <w:t>. Qeveria ra dakort se ankuesve iu njihej shtat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76ED5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76ED5" w:rsidRPr="005E718D">
        <w:rPr>
          <w:rFonts w:ascii="Times New Roman" w:hAnsi="Times New Roman"/>
          <w:sz w:val="24"/>
          <w:szCs w:val="24"/>
          <w:lang w:val="sq-AL"/>
        </w:rPr>
        <w:t xml:space="preserve"> tetat e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C76ED5"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8E6660" w:rsidRPr="005E718D" w:rsidRDefault="00C76ED5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nr. 48522/10, Qeveria parashtroi se Agjensia nuk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lokalizonte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rfaqen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ankuesve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vitit 2014. Gjithashtu, ata nuk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rcaktonin kategorin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s. Qeveria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rkoi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zonte komente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kompensim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ankuesve, pasi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merrte informacion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plot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nga autoritetet. Si alternativ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ne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konfiskimit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rfaqja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kishte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kullot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Qeveria propozoi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rdorej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mimi i referenc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sore i paraqitur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vitit 2014,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mim i cili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55 E GJITHA/m</w:t>
      </w:r>
      <w:r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.  </w:t>
      </w:r>
      <w:r w:rsidR="002D538F" w:rsidRPr="005E718D">
        <w:rPr>
          <w:rFonts w:ascii="Times New Roman" w:hAnsi="Times New Roman"/>
          <w:sz w:val="24"/>
          <w:szCs w:val="24"/>
          <w:lang w:val="sq-AL"/>
        </w:rPr>
        <w:t xml:space="preserve">  </w:t>
      </w:r>
    </w:p>
    <w:p w:rsidR="007363A3" w:rsidRPr="005E718D" w:rsidRDefault="007363A3" w:rsidP="007363A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76ED5" w:rsidRPr="005E718D" w:rsidRDefault="00C76ED5" w:rsidP="00C76ED5">
      <w:pPr>
        <w:pStyle w:val="NoSpacing"/>
        <w:numPr>
          <w:ilvl w:val="0"/>
          <w:numId w:val="3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Vler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simi i Gjykat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</w:t>
      </w:r>
    </w:p>
    <w:p w:rsidR="00C76ED5" w:rsidRPr="005E718D" w:rsidRDefault="00C76ED5" w:rsidP="00C76ED5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6D5434" w:rsidRPr="005E718D" w:rsidRDefault="00E55F6A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shqyrtoi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jtat parashtrime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ra nga pal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vendimin e saj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shtjen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</w:t>
      </w:r>
      <w:r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r, §§ 78-87. Gjykata arriti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rfundimin se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mi monetar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rcaktohet bazuar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hartat e vler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vitit 2008 (shiko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Sharra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r, §</w:t>
      </w:r>
      <w:r w:rsidR="007363A3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90;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§ 125; dhe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Vrioni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t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(kompensim i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), nr. 35720/04 dhe 42832/06, §§ 33-39, 7 Dhjetor 2010). Gjykata nuk gjen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arsye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 t’u </w:t>
      </w:r>
      <w:r w:rsidR="006D5434" w:rsidRPr="005E718D">
        <w:rPr>
          <w:rFonts w:ascii="Times New Roman" w:hAnsi="Times New Roman"/>
          <w:sz w:val="24"/>
          <w:szCs w:val="24"/>
          <w:lang w:val="sq-AL"/>
        </w:rPr>
        <w:t>distancuar nga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7363A3" w:rsidRPr="005E718D">
        <w:rPr>
          <w:rFonts w:ascii="Times New Roman" w:hAnsi="Times New Roman"/>
          <w:sz w:val="24"/>
          <w:szCs w:val="24"/>
          <w:lang w:val="sq-AL"/>
        </w:rPr>
        <w:t>to gjetje</w:t>
      </w:r>
      <w:r w:rsidR="006D5434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6D5434" w:rsidRDefault="006D5434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ankimet nr. 24468/10 dhe 39495/10, Gjykata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ren se autoritetet e kishin njohur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ankuesve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kompensim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rtimit dhe jo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sore ose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kullot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u kontestua nga Qeveria. </w:t>
      </w:r>
    </w:p>
    <w:p w:rsidR="00473B2C" w:rsidRPr="005E718D" w:rsidRDefault="00473B2C" w:rsidP="00473B2C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Pr="005E718D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EA7C72" w:rsidRPr="005E718D" w:rsidRDefault="006D5434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ankimin nr. 48522/10, Gjykata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ren se vendimi i Komisionit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Sarand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</w:t>
      </w:r>
      <w:r w:rsidR="008705D2" w:rsidRPr="005E718D"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705D2" w:rsidRPr="005E718D">
        <w:rPr>
          <w:rFonts w:ascii="Times New Roman" w:hAnsi="Times New Roman"/>
          <w:sz w:val="24"/>
          <w:szCs w:val="24"/>
          <w:lang w:val="sq-AL"/>
        </w:rPr>
        <w:t>rente faktin se toka e ankuesve ishte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705D2" w:rsidRPr="005E718D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705D2" w:rsidRPr="005E718D">
        <w:rPr>
          <w:rFonts w:ascii="Times New Roman" w:hAnsi="Times New Roman"/>
          <w:sz w:val="24"/>
          <w:szCs w:val="24"/>
          <w:lang w:val="sq-AL"/>
        </w:rPr>
        <w:t>rtimi, e pozicionuar midis kufijve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705D2" w:rsidRPr="005E718D">
        <w:rPr>
          <w:rFonts w:ascii="Times New Roman" w:hAnsi="Times New Roman"/>
          <w:sz w:val="24"/>
          <w:szCs w:val="24"/>
          <w:lang w:val="sq-AL"/>
        </w:rPr>
        <w:t xml:space="preserve"> qytetit.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705D2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705D2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705D2" w:rsidRPr="005E718D">
        <w:rPr>
          <w:rFonts w:ascii="Times New Roman" w:hAnsi="Times New Roman"/>
          <w:sz w:val="24"/>
          <w:szCs w:val="24"/>
          <w:lang w:val="sq-AL"/>
        </w:rPr>
        <w:t xml:space="preserve"> arsye, prona e ankuesve 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duhet konsideruar si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rtimi.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r sa ka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me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n e kompensimit, gJykata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ren se Komisioni njohu kompensimin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bono shtet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rore, bazuar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Aktin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s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sore, pa specifikuar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financiare. Megjitaht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, Gjykata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ren se Akti i Pron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s i vitit 2004, i cili shfuqizonte Aktin 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s Bujq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sore nuk parashikon kompensim me 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bonove shtet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rore.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>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 tep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95F9D" w:rsidRPr="005E718D">
        <w:rPr>
          <w:rFonts w:ascii="Times New Roman" w:hAnsi="Times New Roman"/>
          <w:sz w:val="24"/>
          <w:szCs w:val="24"/>
          <w:lang w:val="sq-AL"/>
        </w:rPr>
        <w:t xml:space="preserve">r, 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kompensimi financiar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 e vetmja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 kompensimi e akorduar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 fundmi (shiko </w:t>
      </w:r>
      <w:r w:rsidR="00EA7C72" w:rsidRPr="005E718D">
        <w:rPr>
          <w:rFonts w:ascii="Times New Roman" w:hAnsi="Times New Roman"/>
          <w:i/>
          <w:sz w:val="24"/>
          <w:szCs w:val="24"/>
          <w:lang w:val="sq-AL"/>
        </w:rPr>
        <w:t>Manushaqe Puto dhe t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i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i/>
          <w:sz w:val="24"/>
          <w:szCs w:val="24"/>
          <w:lang w:val="sq-AL"/>
        </w:rPr>
        <w:t xml:space="preserve">t, 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>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>r, §§ 77 dhe 80).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 lidhje me sa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>r, Gjykata arrin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>rfundimin se ankuesve duhet t’iu akordohet kompensim financiar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 lidhje me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>n me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>rfaqe prej 59,184 m</w:t>
      </w:r>
      <w:r w:rsidR="00EA7C72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1C3851" w:rsidRPr="005E718D" w:rsidRDefault="00EA7C72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ankimin nr. 5207/10,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suesi i ankuesit nuk paraqiti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rkesat e tij brenda afatit kohor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rcaktuar (shiko gjithashtu paragrafin 9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r).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Gjykata mendon se nuk ekziston asnj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t’i ofruar ankuesit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shum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(shiko,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fundmi,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Apostu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Rumanis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, </w:t>
      </w:r>
      <w:r w:rsidRPr="005E718D">
        <w:rPr>
          <w:rFonts w:ascii="Times New Roman" w:hAnsi="Times New Roman"/>
          <w:sz w:val="24"/>
          <w:szCs w:val="24"/>
          <w:lang w:val="sq-AL"/>
        </w:rPr>
        <w:t>nr. 22765/12, § 136, 3 Shkurt 2015). Megjitaht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Gjykata mendon se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aq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sa vendimi i Komisionit mbetet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fuqi, detyrimi kryesor i Shtetit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rgjegj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ta zbatuar 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nuk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diskutohet.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shtu, ankuesi ka ende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zuar zbatimin e atij vendimi. Gjykata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rit se forma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 e mir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kompensuar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shkeljen e Nenit 6,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siguroj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ankuesi,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 aq sa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mundur,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pozicionin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kishte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F0CE1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F0CE1" w:rsidRPr="005E718D">
        <w:rPr>
          <w:rFonts w:ascii="Times New Roman" w:hAnsi="Times New Roman"/>
          <w:sz w:val="24"/>
          <w:szCs w:val="24"/>
          <w:lang w:val="sq-AL"/>
        </w:rPr>
        <w:t>se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F0CE1" w:rsidRPr="005E718D">
        <w:rPr>
          <w:rFonts w:ascii="Times New Roman" w:hAnsi="Times New Roman"/>
          <w:sz w:val="24"/>
          <w:szCs w:val="24"/>
          <w:lang w:val="sq-AL"/>
        </w:rPr>
        <w:t>rkesat e Nenit 6 nuk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F0CE1" w:rsidRPr="005E718D">
        <w:rPr>
          <w:rFonts w:ascii="Times New Roman" w:hAnsi="Times New Roman"/>
          <w:sz w:val="24"/>
          <w:szCs w:val="24"/>
          <w:lang w:val="sq-AL"/>
        </w:rPr>
        <w:t xml:space="preserve"> ishin shp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F0CE1" w:rsidRPr="005E718D">
        <w:rPr>
          <w:rFonts w:ascii="Times New Roman" w:hAnsi="Times New Roman"/>
          <w:sz w:val="24"/>
          <w:szCs w:val="24"/>
          <w:lang w:val="sq-AL"/>
        </w:rPr>
        <w:t>rfillur (shiko, midis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F0CE1" w:rsidRPr="005E718D">
        <w:rPr>
          <w:rFonts w:ascii="Times New Roman" w:hAnsi="Times New Roman"/>
          <w:sz w:val="24"/>
          <w:szCs w:val="24"/>
          <w:lang w:val="sq-AL"/>
        </w:rPr>
        <w:t xml:space="preserve"> tjer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2F0CE1" w:rsidRPr="005E718D">
        <w:rPr>
          <w:rFonts w:ascii="Times New Roman" w:hAnsi="Times New Roman"/>
          <w:sz w:val="24"/>
          <w:szCs w:val="24"/>
          <w:lang w:val="sq-AL"/>
        </w:rPr>
        <w:t xml:space="preserve">ve, </w:t>
      </w:r>
      <w:r w:rsidR="001C3851" w:rsidRPr="005E718D">
        <w:rPr>
          <w:rFonts w:ascii="Times New Roman" w:hAnsi="Times New Roman"/>
          <w:i/>
          <w:sz w:val="24"/>
          <w:szCs w:val="24"/>
          <w:lang w:val="sq-AL"/>
        </w:rPr>
        <w:t>S.C. Prodcomexim SRL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i/>
          <w:sz w:val="24"/>
          <w:szCs w:val="24"/>
          <w:lang w:val="sq-AL"/>
        </w:rPr>
        <w:t>r Rumanis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i/>
          <w:sz w:val="24"/>
          <w:szCs w:val="24"/>
          <w:lang w:val="sq-AL"/>
        </w:rPr>
        <w:t xml:space="preserve"> (nr.2), 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>nr. 31760/06, § 52, 6 Korrik 2010</w:t>
      </w:r>
      <w:r w:rsidR="002F0CE1" w:rsidRPr="005E718D">
        <w:rPr>
          <w:rFonts w:ascii="Times New Roman" w:hAnsi="Times New Roman"/>
          <w:sz w:val="24"/>
          <w:szCs w:val="24"/>
          <w:lang w:val="sq-AL"/>
        </w:rPr>
        <w:t>)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>. Duke pasur parasysh shkeljen e konstatuar, Gjykata arrin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>rfundimin se ky parim ushtrohet edhe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>shtjen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fjal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>.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arsye, ajo gjykon se Qeveria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siguroj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>, me 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mjeteve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duhura, zbatimin e vendimit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1C3851" w:rsidRPr="005E718D">
        <w:rPr>
          <w:rFonts w:ascii="Times New Roman" w:hAnsi="Times New Roman"/>
          <w:sz w:val="24"/>
          <w:szCs w:val="24"/>
          <w:lang w:val="sq-AL"/>
        </w:rPr>
        <w:t xml:space="preserve">s 27 Shtator 2001. </w:t>
      </w:r>
    </w:p>
    <w:p w:rsidR="005D3536" w:rsidRPr="005E718D" w:rsidRDefault="001C3851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ankimet nr. 40751/10 dhe 48522/10,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sa ka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me gjetjet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paragraf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35-38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r, Gjykata mendon se ankuesve duhet t’i akordohet 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>kompensim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>r shtat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 xml:space="preserve"> tetat 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>rfaqeve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 xml:space="preserve"> tok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>s 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>rmasa 1,530 m</w:t>
      </w:r>
      <w:r w:rsidR="005D3536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 xml:space="preserve"> dhe 59,184 m</w:t>
      </w:r>
      <w:r w:rsidR="005D3536" w:rsidRPr="005E718D">
        <w:rPr>
          <w:rFonts w:ascii="Times New Roman" w:hAnsi="Times New Roman"/>
          <w:sz w:val="24"/>
          <w:szCs w:val="24"/>
          <w:vertAlign w:val="superscript"/>
          <w:lang w:val="sq-AL"/>
        </w:rPr>
        <w:t>2</w:t>
      </w:r>
      <w:r w:rsidR="005D3536" w:rsidRPr="005E718D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BE666A" w:rsidRDefault="005D3536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Duke pasur parasysh materialin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posedim, Gjykata e gjykon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arsyeshme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BE666A" w:rsidRPr="005E718D">
        <w:rPr>
          <w:rFonts w:ascii="Times New Roman" w:hAnsi="Times New Roman"/>
          <w:sz w:val="24"/>
          <w:szCs w:val="24"/>
          <w:lang w:val="sq-AL"/>
        </w:rPr>
        <w:t>akordoj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E666A" w:rsidRPr="005E718D">
        <w:rPr>
          <w:rFonts w:ascii="Times New Roman" w:hAnsi="Times New Roman"/>
          <w:sz w:val="24"/>
          <w:szCs w:val="24"/>
          <w:lang w:val="sq-AL"/>
        </w:rPr>
        <w:t xml:space="preserve"> kompensimet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E666A" w:rsidRPr="005E718D">
        <w:rPr>
          <w:rFonts w:ascii="Times New Roman" w:hAnsi="Times New Roman"/>
          <w:sz w:val="24"/>
          <w:szCs w:val="24"/>
          <w:lang w:val="sq-AL"/>
        </w:rPr>
        <w:t>r 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E666A" w:rsidRPr="005E718D">
        <w:rPr>
          <w:rFonts w:ascii="Times New Roman" w:hAnsi="Times New Roman"/>
          <w:sz w:val="24"/>
          <w:szCs w:val="24"/>
          <w:lang w:val="sq-AL"/>
        </w:rPr>
        <w:t>min monetar dhe jo monetar 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BE666A" w:rsidRPr="005E718D">
        <w:rPr>
          <w:rFonts w:ascii="Times New Roman" w:hAnsi="Times New Roman"/>
          <w:sz w:val="24"/>
          <w:szCs w:val="24"/>
          <w:lang w:val="sq-AL"/>
        </w:rPr>
        <w:t xml:space="preserve"> paraqitet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E666A" w:rsidRPr="005E718D">
        <w:rPr>
          <w:rFonts w:ascii="Times New Roman" w:hAnsi="Times New Roman"/>
          <w:sz w:val="24"/>
          <w:szCs w:val="24"/>
          <w:lang w:val="sq-AL"/>
        </w:rPr>
        <w:t xml:space="preserve"> tabel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E666A" w:rsidRPr="005E718D">
        <w:rPr>
          <w:rFonts w:ascii="Times New Roman" w:hAnsi="Times New Roman"/>
          <w:sz w:val="24"/>
          <w:szCs w:val="24"/>
          <w:lang w:val="sq-AL"/>
        </w:rPr>
        <w:t>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E666A" w:rsidRPr="005E718D">
        <w:rPr>
          <w:rFonts w:ascii="Times New Roman" w:hAnsi="Times New Roman"/>
          <w:sz w:val="24"/>
          <w:szCs w:val="24"/>
          <w:lang w:val="sq-AL"/>
        </w:rPr>
        <w:t xml:space="preserve"> Shtojc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BE666A" w:rsidRPr="005E718D">
        <w:rPr>
          <w:rFonts w:ascii="Times New Roman" w:hAnsi="Times New Roman"/>
          <w:sz w:val="24"/>
          <w:szCs w:val="24"/>
          <w:lang w:val="sq-AL"/>
        </w:rPr>
        <w:t xml:space="preserve">n Nr. 3. </w:t>
      </w:r>
    </w:p>
    <w:p w:rsidR="00473B2C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473B2C" w:rsidRPr="00473B2C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BE666A" w:rsidRPr="005E718D" w:rsidRDefault="00BE666A" w:rsidP="00BE666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BE666A" w:rsidRPr="005E718D" w:rsidRDefault="00BE666A" w:rsidP="00BE666A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Kostot dhe shpenzimet</w:t>
      </w:r>
    </w:p>
    <w:p w:rsidR="00BE666A" w:rsidRPr="005E718D" w:rsidRDefault="00BE666A" w:rsidP="00BE666A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511B2B" w:rsidRPr="005E718D" w:rsidRDefault="00511B2B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Ankuesit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rkesa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kostot dhe shpenzimet, 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paraqitet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tabel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Shtojc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 Nr.2. </w:t>
      </w:r>
    </w:p>
    <w:p w:rsidR="00FF615D" w:rsidRPr="005E718D" w:rsidRDefault="00511B2B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ankimet nr. 24468/10, 39492/10, 39495/10 dhe 48522/10,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cilat citohet 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Gjyli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5E718D">
        <w:rPr>
          <w:rFonts w:ascii="Times New Roman" w:hAnsi="Times New Roman"/>
          <w:sz w:val="24"/>
          <w:szCs w:val="24"/>
          <w:lang w:val="sq-AL"/>
        </w:rPr>
        <w:t>(nr. 32907/07, § 72, 29 Shtator 2009), sipas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 xml:space="preserve"> cilës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kostot dhe shpenzimet 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duhet jen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paguara faktikisht dhe domosdoshm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risht 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jen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 xml:space="preserve"> arsyeshme, Qeveria ia 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la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shtjen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mir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besim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vendosur shum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n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akord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>o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het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F615D" w:rsidRPr="005E718D">
        <w:rPr>
          <w:rFonts w:ascii="Times New Roman" w:hAnsi="Times New Roman"/>
          <w:sz w:val="24"/>
          <w:szCs w:val="24"/>
          <w:lang w:val="sq-AL"/>
        </w:rPr>
        <w:t xml:space="preserve"> rast. </w:t>
      </w:r>
    </w:p>
    <w:p w:rsidR="009F407D" w:rsidRPr="005E718D" w:rsidRDefault="00FF615D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Sipas vendimeve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s, “nj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ankues ka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rimbursohet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 kostot dhe shpenzimet vet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m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 aq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sa tregohet se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to jan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rtet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dhe sepse kan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nevojshme, dhe se jan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arsyeshme</w:t>
      </w:r>
      <w:r w:rsidRPr="005E718D">
        <w:rPr>
          <w:rFonts w:ascii="Times New Roman" w:hAnsi="Times New Roman"/>
          <w:sz w:val="24"/>
          <w:szCs w:val="24"/>
          <w:lang w:val="sq-AL"/>
        </w:rPr>
        <w:t>”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(shiko </w:t>
      </w:r>
      <w:r w:rsidR="009F407D" w:rsidRPr="005E718D">
        <w:rPr>
          <w:rFonts w:ascii="Times New Roman" w:hAnsi="Times New Roman"/>
          <w:i/>
          <w:sz w:val="24"/>
          <w:szCs w:val="24"/>
          <w:lang w:val="sq-AL"/>
        </w:rPr>
        <w:t>Gjyli kund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i/>
          <w:sz w:val="24"/>
          <w:szCs w:val="24"/>
          <w:lang w:val="sq-AL"/>
        </w:rPr>
        <w:t>r Shqip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i/>
          <w:sz w:val="24"/>
          <w:szCs w:val="24"/>
          <w:lang w:val="sq-AL"/>
        </w:rPr>
        <w:t>ris</w:t>
      </w:r>
      <w:r w:rsidR="00F872F5" w:rsidRPr="005E718D">
        <w:rPr>
          <w:rFonts w:ascii="Times New Roman" w:hAnsi="Times New Roman"/>
          <w:i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r, § 72).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ndv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shtrim, Rregulli 60 §§ 2 dhe 3 i Rregullores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s parashikon se ankuesit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bashk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lidhin me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rkesat e tyre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 kompensim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do dokument mb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shtet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s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lidhur me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shtjen”.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se kjo gj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nuk realizohet, Gjykata “mund t’i kund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rshtoj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rkesat plot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>sisht ose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9F407D" w:rsidRPr="005E718D">
        <w:rPr>
          <w:rFonts w:ascii="Times New Roman" w:hAnsi="Times New Roman"/>
          <w:sz w:val="24"/>
          <w:szCs w:val="24"/>
          <w:lang w:val="sq-AL"/>
        </w:rPr>
        <w:t xml:space="preserve">risht”. </w:t>
      </w:r>
    </w:p>
    <w:p w:rsidR="005C50E2" w:rsidRPr="005E718D" w:rsidRDefault="009F407D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ankimin nr. 5207/10, Gjykata nuk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>akordoj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 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>r kostot dhe shpenzimet,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 xml:space="preserve"> se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>rkesat jan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 xml:space="preserve"> dor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>zuar jasht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 xml:space="preserve"> afat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>i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>t (shiko,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 xml:space="preserve"> fundmi, </w:t>
      </w:r>
      <w:r w:rsidR="005C50E2" w:rsidRPr="005E718D">
        <w:rPr>
          <w:rFonts w:ascii="Times New Roman" w:hAnsi="Times New Roman"/>
          <w:i/>
          <w:sz w:val="24"/>
          <w:szCs w:val="24"/>
          <w:lang w:val="sq-AL"/>
        </w:rPr>
        <w:t>Apostu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>, cituar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5C50E2" w:rsidRPr="005E718D">
        <w:rPr>
          <w:rFonts w:ascii="Times New Roman" w:hAnsi="Times New Roman"/>
          <w:sz w:val="24"/>
          <w:szCs w:val="24"/>
          <w:lang w:val="sq-AL"/>
        </w:rPr>
        <w:t xml:space="preserve">r, § 136). </w:t>
      </w:r>
    </w:p>
    <w:p w:rsidR="005C50E2" w:rsidRPr="005E718D" w:rsidRDefault="005C50E2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ankimin nr. 40751/10, Gjykata nuk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akordoj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kostot dhe shpenzimet, duke qen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ankuesi nuk ka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ndonj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specifike. </w:t>
      </w:r>
    </w:p>
    <w:p w:rsidR="005C50E2" w:rsidRPr="005E718D" w:rsidRDefault="005C50E2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gjetjet e saj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paragraf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42-43, natyra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rit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se e ankesave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ngritura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ankimet e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rme, parashtrimet e ngjashme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ra nga Gjykata,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rfaq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simi i ankuesve nga i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jti avokat dhe pik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pamja e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se shumica e kostove dhe e shpenzimeve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rkuara nuk ishin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justifikueshme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kuant, Gjykata e gjykon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arsyeshme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akordoj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kompensime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kostot dhe shpenzimet, si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paraqitet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tabel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Shtojc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 Nr. 3. </w:t>
      </w:r>
    </w:p>
    <w:p w:rsidR="005C50E2" w:rsidRPr="005E718D" w:rsidRDefault="005C50E2" w:rsidP="005C50E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5C50E2" w:rsidRPr="005E718D" w:rsidRDefault="005C50E2" w:rsidP="005C50E2">
      <w:pPr>
        <w:pStyle w:val="NoSpacing"/>
        <w:numPr>
          <w:ilvl w:val="0"/>
          <w:numId w:val="30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INTERESI I PAPAGUAR </w:t>
      </w:r>
    </w:p>
    <w:p w:rsidR="005C50E2" w:rsidRPr="005E718D" w:rsidRDefault="005C50E2" w:rsidP="005C50E2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AF5E75" w:rsidRPr="005E718D" w:rsidRDefault="005C50E2" w:rsidP="00820157">
      <w:pPr>
        <w:pStyle w:val="NoSpacing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Gjykata e konsideron si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rshtatshme 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norma e interesit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papaguar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bazohet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>n marx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hinale huadh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s Qendrore Europiane,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 cil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>s duhet t’i shtohen tre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F5E75" w:rsidRPr="005E718D">
        <w:rPr>
          <w:rFonts w:ascii="Times New Roman" w:hAnsi="Times New Roman"/>
          <w:sz w:val="24"/>
          <w:szCs w:val="24"/>
          <w:lang w:val="sq-AL"/>
        </w:rPr>
        <w:t xml:space="preserve">rqind. </w:t>
      </w: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TO ARSYE, GJYKATA,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NYR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UNANIME, </w:t>
      </w: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F5E75" w:rsidRDefault="00AF5E75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Vendos </w:t>
      </w:r>
      <w:r w:rsidRPr="005E718D">
        <w:rPr>
          <w:rFonts w:ascii="Times New Roman" w:hAnsi="Times New Roman"/>
          <w:sz w:val="24"/>
          <w:szCs w:val="24"/>
          <w:lang w:val="sq-AL"/>
        </w:rPr>
        <w:t>t’i bashkoj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gjitha ankimet; </w:t>
      </w:r>
    </w:p>
    <w:p w:rsidR="00473B2C" w:rsidRPr="005E718D" w:rsidRDefault="00473B2C" w:rsidP="00473B2C">
      <w:pPr>
        <w:pStyle w:val="NoSpacing"/>
        <w:spacing w:line="276" w:lineRule="auto"/>
        <w:ind w:left="720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473B2C" w:rsidRPr="005E718D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A5183" w:rsidRPr="005E718D" w:rsidRDefault="00DA5183" w:rsidP="00DA5183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F5E75" w:rsidRPr="005E718D" w:rsidRDefault="00AF5E75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E deklaron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ankimin nr. 36228/10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papranuesh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m; </w:t>
      </w:r>
    </w:p>
    <w:p w:rsidR="00DA5183" w:rsidRPr="005E718D" w:rsidRDefault="00DA5183" w:rsidP="00DA518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AF5E75" w:rsidRPr="005E718D" w:rsidRDefault="00AF5E75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I deklaron </w:t>
      </w:r>
      <w:r w:rsidRPr="005E718D">
        <w:rPr>
          <w:rFonts w:ascii="Times New Roman" w:hAnsi="Times New Roman"/>
          <w:sz w:val="24"/>
          <w:szCs w:val="24"/>
          <w:lang w:val="sq-AL"/>
        </w:rPr>
        <w:t>ankimet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Nenet 6 § 1 dhe 13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lidhje me moszbatimin e vendimeve vendase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dhe koh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zgjatjen e procedurave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pranueshme dhe pjes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e mbetur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ankimeve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papranueshme; </w:t>
      </w:r>
    </w:p>
    <w:p w:rsidR="00AF5E75" w:rsidRPr="005E718D" w:rsidRDefault="00AF5E75" w:rsidP="00AF5E75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</w:p>
    <w:p w:rsidR="00AE2181" w:rsidRPr="005E718D" w:rsidRDefault="00AF5E75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 xml:space="preserve">Gjykon </w:t>
      </w:r>
      <w:r w:rsidRPr="005E718D">
        <w:rPr>
          <w:rFonts w:ascii="Times New Roman" w:hAnsi="Times New Roman"/>
          <w:sz w:val="24"/>
          <w:szCs w:val="24"/>
          <w:lang w:val="sq-AL"/>
        </w:rPr>
        <w:t>se znj. Shpresa Merlika, z. Edmir Merlika dhe z. Vasil Dhimertika nuk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pretendojn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jen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“viktima”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kuptim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34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s </w:t>
      </w:r>
      <w:r w:rsidR="00AE2181"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E2181" w:rsidRPr="005E718D">
        <w:rPr>
          <w:rFonts w:ascii="Times New Roman" w:hAnsi="Times New Roman"/>
          <w:sz w:val="24"/>
          <w:szCs w:val="24"/>
          <w:lang w:val="sq-AL"/>
        </w:rPr>
        <w:t>r shkelje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E2181" w:rsidRPr="005E718D">
        <w:rPr>
          <w:rFonts w:ascii="Times New Roman" w:hAnsi="Times New Roman"/>
          <w:sz w:val="24"/>
          <w:szCs w:val="24"/>
          <w:lang w:val="sq-AL"/>
        </w:rPr>
        <w:t xml:space="preserve"> Neneve 6 § 1 dhe 13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E2181"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E2181" w:rsidRPr="005E718D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E2181" w:rsidRPr="005E718D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E2181" w:rsidRPr="005E718D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E2181"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AE2181" w:rsidRPr="005E718D">
        <w:rPr>
          <w:rFonts w:ascii="Times New Roman" w:hAnsi="Times New Roman"/>
          <w:sz w:val="24"/>
          <w:szCs w:val="24"/>
          <w:lang w:val="sq-AL"/>
        </w:rPr>
        <w:t xml:space="preserve">s; </w:t>
      </w:r>
    </w:p>
    <w:p w:rsidR="00AE2181" w:rsidRPr="005E718D" w:rsidRDefault="00AE2181" w:rsidP="00AE2181">
      <w:pPr>
        <w:pStyle w:val="ListParagraph"/>
        <w:rPr>
          <w:rFonts w:ascii="Times New Roman" w:hAnsi="Times New Roman"/>
          <w:i/>
          <w:sz w:val="24"/>
          <w:szCs w:val="24"/>
          <w:lang w:val="sq-AL"/>
        </w:rPr>
      </w:pPr>
    </w:p>
    <w:p w:rsidR="00AE2181" w:rsidRPr="005E718D" w:rsidRDefault="00AE2181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Gjykon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se ka pasur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shkelje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Neneve 6 § 1 dhe 13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si edhe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Nenit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Protokollit Nr. 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sa ka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me moszbatimin e vendimeve vendase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prer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:rsidR="00AE2181" w:rsidRPr="005E718D" w:rsidRDefault="00AE2181" w:rsidP="00AE2181">
      <w:pPr>
        <w:pStyle w:val="ListParagraph"/>
        <w:rPr>
          <w:rFonts w:ascii="Times New Roman" w:hAnsi="Times New Roman"/>
          <w:sz w:val="24"/>
          <w:szCs w:val="24"/>
          <w:lang w:val="sq-AL"/>
        </w:rPr>
      </w:pPr>
    </w:p>
    <w:p w:rsidR="00AE2181" w:rsidRPr="00473B2C" w:rsidRDefault="00AE2181" w:rsidP="00AE2181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473B2C">
        <w:rPr>
          <w:rFonts w:ascii="Times New Roman" w:hAnsi="Times New Roman"/>
          <w:i/>
          <w:sz w:val="24"/>
          <w:szCs w:val="24"/>
          <w:lang w:val="sq-AL"/>
        </w:rPr>
        <w:t xml:space="preserve">Gjykon 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se nuk 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sht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e nevojshme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shqyrtohet ankesa sipas kuptimit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Nenit 6 § 1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Konvent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s n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lidhje me koh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zgjatjen e procedurave; </w:t>
      </w:r>
    </w:p>
    <w:p w:rsidR="00AE2181" w:rsidRPr="005E718D" w:rsidRDefault="00AE2181" w:rsidP="00AF5E75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i/>
          <w:sz w:val="24"/>
          <w:szCs w:val="24"/>
          <w:lang w:val="sq-AL"/>
        </w:rPr>
        <w:t>Gjykon</w:t>
      </w:r>
    </w:p>
    <w:p w:rsidR="00AE2181" w:rsidRPr="005E718D" w:rsidRDefault="00AE2181" w:rsidP="00AE2181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Se Shteti i paditur duhet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siguroj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, me an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mjeteve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duhura, zbatimin e vendimit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Lart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27 Shtator 2001, i 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favor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ankuesit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ankes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 nr. 5207/10, brenda tre muajve; </w:t>
      </w:r>
    </w:p>
    <w:p w:rsidR="00F119BF" w:rsidRPr="005E718D" w:rsidRDefault="00AE2181" w:rsidP="00AE2181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Se Shteti i paditur duhet t’i paguaj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bashku ankuesit,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ankimet nr. 24468/10, 39492/10, 39495/10, 40751/10 dhe 48522/10 brenda tre muajve, shumat 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rmendura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paragraf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t 65 dhe 71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vendimit dhe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pasqyruara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tabel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Shtojc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n 3, plus 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ç</w:t>
      </w:r>
      <w:r w:rsidRPr="005E718D">
        <w:rPr>
          <w:rFonts w:ascii="Times New Roman" w:hAnsi="Times New Roman"/>
          <w:sz w:val="24"/>
          <w:szCs w:val="24"/>
          <w:lang w:val="sq-AL"/>
        </w:rPr>
        <w:t>do taks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q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mund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e tarifueshme</w:t>
      </w:r>
      <w:r w:rsidR="00F119BF" w:rsidRPr="005E718D">
        <w:rPr>
          <w:rFonts w:ascii="Times New Roman" w:hAnsi="Times New Roman"/>
          <w:sz w:val="24"/>
          <w:szCs w:val="24"/>
          <w:lang w:val="sq-AL"/>
        </w:rPr>
        <w:t>,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119BF" w:rsidRPr="005E718D">
        <w:rPr>
          <w:rFonts w:ascii="Times New Roman" w:hAnsi="Times New Roman"/>
          <w:sz w:val="24"/>
          <w:szCs w:val="24"/>
          <w:lang w:val="sq-AL"/>
        </w:rPr>
        <w:t>r t’u shk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119BF" w:rsidRPr="005E718D">
        <w:rPr>
          <w:rFonts w:ascii="Times New Roman" w:hAnsi="Times New Roman"/>
          <w:sz w:val="24"/>
          <w:szCs w:val="24"/>
          <w:lang w:val="sq-AL"/>
        </w:rPr>
        <w:t>mbyer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119BF" w:rsidRPr="005E718D">
        <w:rPr>
          <w:rFonts w:ascii="Times New Roman" w:hAnsi="Times New Roman"/>
          <w:sz w:val="24"/>
          <w:szCs w:val="24"/>
          <w:lang w:val="sq-AL"/>
        </w:rPr>
        <w:t xml:space="preserve"> monedh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119BF" w:rsidRPr="005E718D">
        <w:rPr>
          <w:rFonts w:ascii="Times New Roman" w:hAnsi="Times New Roman"/>
          <w:sz w:val="24"/>
          <w:szCs w:val="24"/>
          <w:lang w:val="sq-AL"/>
        </w:rPr>
        <w:t>n vendase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119BF" w:rsidRPr="005E718D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119BF" w:rsidRPr="005E718D">
        <w:rPr>
          <w:rFonts w:ascii="Times New Roman" w:hAnsi="Times New Roman"/>
          <w:sz w:val="24"/>
          <w:szCs w:val="24"/>
          <w:lang w:val="sq-AL"/>
        </w:rPr>
        <w:t>n e zbatueshme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119BF" w:rsidRPr="005E718D">
        <w:rPr>
          <w:rFonts w:ascii="Times New Roman" w:hAnsi="Times New Roman"/>
          <w:sz w:val="24"/>
          <w:szCs w:val="24"/>
          <w:lang w:val="sq-AL"/>
        </w:rPr>
        <w:t xml:space="preserve"> dat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F119BF" w:rsidRPr="005E718D">
        <w:rPr>
          <w:rFonts w:ascii="Times New Roman" w:hAnsi="Times New Roman"/>
          <w:sz w:val="24"/>
          <w:szCs w:val="24"/>
          <w:lang w:val="sq-AL"/>
        </w:rPr>
        <w:t xml:space="preserve">n e shlyerjes; </w:t>
      </w:r>
    </w:p>
    <w:p w:rsidR="00F119BF" w:rsidRPr="005E718D" w:rsidRDefault="00F119BF" w:rsidP="00AE2181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Se 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 xml:space="preserve">që nga përfundimi i </w:t>
      </w:r>
      <w:r w:rsidRPr="005E718D">
        <w:rPr>
          <w:rFonts w:ascii="Times New Roman" w:hAnsi="Times New Roman"/>
          <w:sz w:val="24"/>
          <w:szCs w:val="24"/>
          <w:lang w:val="sq-AL"/>
        </w:rPr>
        <w:t>tre muajve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rmendur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 deri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>momentin e shlyerjes, interesi i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thjesht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do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jet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i paguesh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m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shumat e sip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rmendura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nj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norm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barabart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me norm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 huadh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se marxhinale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Bank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Qendrore Europiane gjat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periudh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 mospagimit plus tre 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rqind; </w:t>
      </w:r>
    </w:p>
    <w:p w:rsidR="00883FCB" w:rsidRPr="00473B2C" w:rsidRDefault="00883FCB" w:rsidP="00A93BBF">
      <w:pPr>
        <w:pStyle w:val="NoSpacing"/>
        <w:numPr>
          <w:ilvl w:val="0"/>
          <w:numId w:val="35"/>
        </w:numPr>
        <w:spacing w:line="276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473B2C">
        <w:rPr>
          <w:rFonts w:ascii="Times New Roman" w:hAnsi="Times New Roman"/>
          <w:i/>
          <w:sz w:val="24"/>
          <w:szCs w:val="24"/>
          <w:lang w:val="sq-AL"/>
        </w:rPr>
        <w:t>Rr</w:t>
      </w:r>
      <w:r w:rsidR="00F872F5" w:rsidRPr="00473B2C">
        <w:rPr>
          <w:rFonts w:ascii="Times New Roman" w:hAnsi="Times New Roman"/>
          <w:i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i/>
          <w:sz w:val="24"/>
          <w:szCs w:val="24"/>
          <w:lang w:val="sq-AL"/>
        </w:rPr>
        <w:t xml:space="preserve">zon </w:t>
      </w:r>
      <w:r w:rsidRPr="00473B2C">
        <w:rPr>
          <w:rFonts w:ascii="Times New Roman" w:hAnsi="Times New Roman"/>
          <w:sz w:val="24"/>
          <w:szCs w:val="24"/>
          <w:lang w:val="sq-AL"/>
        </w:rPr>
        <w:t>pjes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n e mbetur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k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rkes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s s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ankuesve p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>r kompensim 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 drejt</w:t>
      </w:r>
      <w:r w:rsidR="00F872F5" w:rsidRPr="00473B2C">
        <w:rPr>
          <w:rFonts w:ascii="Times New Roman" w:hAnsi="Times New Roman"/>
          <w:sz w:val="24"/>
          <w:szCs w:val="24"/>
          <w:lang w:val="sq-AL"/>
        </w:rPr>
        <w:t>ë</w:t>
      </w:r>
      <w:r w:rsidRPr="00473B2C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:rsidR="00473B2C" w:rsidRDefault="00DA5183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P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>rgatitur n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anglisht dhe njoftuar me shkrim m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17 Mars 2016, sipas Rregullit 77 §§ 2 dhe 3 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Rregullores s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 Gjykat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="00883FCB" w:rsidRPr="005E718D">
        <w:rPr>
          <w:rFonts w:ascii="Times New Roman" w:hAnsi="Times New Roman"/>
          <w:sz w:val="24"/>
          <w:szCs w:val="24"/>
          <w:lang w:val="sq-AL"/>
        </w:rPr>
        <w:t xml:space="preserve">s. </w:t>
      </w:r>
    </w:p>
    <w:p w:rsidR="00473B2C" w:rsidRPr="00473B2C" w:rsidRDefault="00473B2C" w:rsidP="00473B2C">
      <w:pPr>
        <w:pStyle w:val="NoSpacing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C9214E" w:rsidRPr="005E718D" w:rsidRDefault="00883FCB" w:rsidP="00883FCB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 xml:space="preserve">André </w:t>
      </w:r>
      <w:r w:rsidR="00DA5183" w:rsidRPr="005E718D">
        <w:rPr>
          <w:rFonts w:ascii="Times New Roman" w:hAnsi="Times New Roman"/>
          <w:sz w:val="24"/>
          <w:szCs w:val="24"/>
          <w:lang w:val="sq-AL"/>
        </w:rPr>
        <w:t>W</w:t>
      </w:r>
      <w:r w:rsidRPr="005E718D">
        <w:rPr>
          <w:rFonts w:ascii="Times New Roman" w:hAnsi="Times New Roman"/>
          <w:sz w:val="24"/>
          <w:szCs w:val="24"/>
          <w:lang w:val="sq-AL"/>
        </w:rPr>
        <w:t xml:space="preserve">ampach </w:t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  <w:t>Kristina Pardalos</w:t>
      </w:r>
      <w:r w:rsidR="00EA7C72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6D5434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55F6A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C66202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43D1A" w:rsidRPr="005E718D">
        <w:rPr>
          <w:rFonts w:ascii="Times New Roman" w:hAnsi="Times New Roman"/>
          <w:sz w:val="24"/>
          <w:szCs w:val="24"/>
          <w:lang w:val="sq-AL"/>
        </w:rPr>
        <w:t xml:space="preserve"> </w:t>
      </w:r>
    </w:p>
    <w:p w:rsidR="00D96A6D" w:rsidRPr="005E718D" w:rsidRDefault="00883FCB" w:rsidP="00565FDE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5E718D">
        <w:rPr>
          <w:rFonts w:ascii="Times New Roman" w:hAnsi="Times New Roman"/>
          <w:sz w:val="24"/>
          <w:szCs w:val="24"/>
          <w:lang w:val="sq-AL"/>
        </w:rPr>
        <w:t>Z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vend</w:t>
      </w:r>
      <w:r w:rsidR="00F872F5" w:rsidRPr="005E718D">
        <w:rPr>
          <w:rFonts w:ascii="Times New Roman" w:hAnsi="Times New Roman"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sz w:val="24"/>
          <w:szCs w:val="24"/>
          <w:lang w:val="sq-AL"/>
        </w:rPr>
        <w:t>s regjistrar</w:t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</w:r>
      <w:r w:rsidRPr="005E718D">
        <w:rPr>
          <w:rFonts w:ascii="Times New Roman" w:hAnsi="Times New Roman"/>
          <w:sz w:val="24"/>
          <w:szCs w:val="24"/>
          <w:lang w:val="sq-AL"/>
        </w:rPr>
        <w:tab/>
        <w:t xml:space="preserve">    Presidente</w:t>
      </w: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883FCB" w:rsidRPr="005E718D" w:rsidRDefault="00883FCB" w:rsidP="00883FC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SHTOJCA 1 – LISTA E ANKUESVE </w:t>
      </w:r>
    </w:p>
    <w:p w:rsidR="00883FCB" w:rsidRPr="005E718D" w:rsidRDefault="00883FCB" w:rsidP="00883FCB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1035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2070"/>
        <w:gridCol w:w="2160"/>
        <w:gridCol w:w="1620"/>
        <w:gridCol w:w="1980"/>
      </w:tblGrid>
      <w:tr w:rsidR="0008773D" w:rsidRPr="005E718D" w:rsidTr="00BC3F0A">
        <w:tc>
          <w:tcPr>
            <w:tcW w:w="630" w:type="dxa"/>
          </w:tcPr>
          <w:p w:rsidR="00883FCB" w:rsidRPr="005E718D" w:rsidRDefault="00883FCB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Nr.</w:t>
            </w:r>
          </w:p>
        </w:tc>
        <w:tc>
          <w:tcPr>
            <w:tcW w:w="1890" w:type="dxa"/>
          </w:tcPr>
          <w:p w:rsidR="00883FCB" w:rsidRPr="005E718D" w:rsidRDefault="00883FCB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Emri dhe numri i </w:t>
            </w:r>
            <w:r w:rsidR="00F872F5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çë</w:t>
            </w: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shtjes</w:t>
            </w:r>
          </w:p>
        </w:tc>
        <w:tc>
          <w:tcPr>
            <w:tcW w:w="2070" w:type="dxa"/>
          </w:tcPr>
          <w:p w:rsidR="00883FCB" w:rsidRPr="005E718D" w:rsidRDefault="00883FCB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Emri i ankuesit (viti i lindjes)</w:t>
            </w:r>
          </w:p>
        </w:tc>
        <w:tc>
          <w:tcPr>
            <w:tcW w:w="2160" w:type="dxa"/>
          </w:tcPr>
          <w:p w:rsidR="00883FCB" w:rsidRPr="005E718D" w:rsidRDefault="00883FCB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Shteti ku banojn</w:t>
            </w:r>
            <w:r w:rsidR="00F872F5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ë</w:t>
            </w:r>
          </w:p>
        </w:tc>
        <w:tc>
          <w:tcPr>
            <w:tcW w:w="1620" w:type="dxa"/>
          </w:tcPr>
          <w:p w:rsidR="00883FCB" w:rsidRPr="005E718D" w:rsidRDefault="00883FCB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P</w:t>
            </w:r>
            <w:r w:rsidR="00F872F5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ë</w:t>
            </w:r>
            <w:r w:rsidR="0008773D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rfaq</w:t>
            </w:r>
            <w:r w:rsidR="00F872F5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ë</w:t>
            </w:r>
            <w:r w:rsidR="0008773D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sua</w:t>
            </w: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r nga</w:t>
            </w:r>
          </w:p>
        </w:tc>
        <w:tc>
          <w:tcPr>
            <w:tcW w:w="1980" w:type="dxa"/>
          </w:tcPr>
          <w:p w:rsidR="00883FCB" w:rsidRPr="005E718D" w:rsidRDefault="00883FCB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Data </w:t>
            </w:r>
            <w:r w:rsidR="0008773D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e prezantimit</w:t>
            </w:r>
          </w:p>
        </w:tc>
      </w:tr>
      <w:tr w:rsidR="0008773D" w:rsidRPr="005E718D" w:rsidTr="00BC3F0A">
        <w:tc>
          <w:tcPr>
            <w:tcW w:w="630" w:type="dxa"/>
          </w:tcPr>
          <w:p w:rsidR="00883FCB" w:rsidRPr="005E718D" w:rsidRDefault="0008773D" w:rsidP="00BC3F0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1890" w:type="dxa"/>
          </w:tcPr>
          <w:p w:rsidR="00883FCB" w:rsidRPr="005E718D" w:rsidRDefault="0008773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Rista,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nr. 5207/10</w:t>
            </w:r>
          </w:p>
        </w:tc>
        <w:tc>
          <w:tcPr>
            <w:tcW w:w="2070" w:type="dxa"/>
          </w:tcPr>
          <w:p w:rsidR="00883FCB" w:rsidRPr="005E718D" w:rsidRDefault="0008773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Kozma Rista</w:t>
            </w:r>
          </w:p>
        </w:tc>
        <w:tc>
          <w:tcPr>
            <w:tcW w:w="2160" w:type="dxa"/>
          </w:tcPr>
          <w:p w:rsidR="00883FCB" w:rsidRPr="005E718D" w:rsidRDefault="0008773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</w:tc>
        <w:tc>
          <w:tcPr>
            <w:tcW w:w="1620" w:type="dxa"/>
          </w:tcPr>
          <w:p w:rsidR="00883FCB" w:rsidRPr="005E718D" w:rsidRDefault="0008773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J. 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rtiri, avokat </w:t>
            </w:r>
          </w:p>
        </w:tc>
        <w:tc>
          <w:tcPr>
            <w:tcW w:w="1980" w:type="dxa"/>
          </w:tcPr>
          <w:p w:rsidR="00883FCB" w:rsidRPr="005E718D" w:rsidRDefault="0008773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12 Janar 2010</w:t>
            </w:r>
          </w:p>
        </w:tc>
      </w:tr>
      <w:tr w:rsidR="0008773D" w:rsidRPr="005E718D" w:rsidTr="00BC3F0A">
        <w:tc>
          <w:tcPr>
            <w:tcW w:w="630" w:type="dxa"/>
          </w:tcPr>
          <w:p w:rsidR="00883FCB" w:rsidRPr="005E718D" w:rsidRDefault="0008773D" w:rsidP="00BC3F0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1890" w:type="dxa"/>
          </w:tcPr>
          <w:p w:rsidR="00883FCB" w:rsidRPr="005E718D" w:rsidRDefault="0008773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Gjikolli dhe Molla,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nr. 24468/10</w:t>
            </w:r>
          </w:p>
        </w:tc>
        <w:tc>
          <w:tcPr>
            <w:tcW w:w="2070" w:type="dxa"/>
          </w:tcPr>
          <w:p w:rsidR="00F825F0" w:rsidRPr="005E718D" w:rsidRDefault="0008773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Kurtesh Gjikolli (1925) i 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vend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suar nga trasgh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gimtar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t e tij </w:t>
            </w:r>
            <w:r w:rsidR="00F825F0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Pakize Zajmi me mbiem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F825F0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F825F0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rie Gjikolli, Rajmonda Karapici me mbiem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F825F0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F825F0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rie Gjikolli, Adnnan Gjikolli.</w:t>
            </w: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Nuri Gjikolloi (Xhikaj) (1930) 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vend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suar nga trash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gimtar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t e tij Ganimete Xhikaj, Dhurata Xhikaj, 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roarim Xhikaj, Pamela Xhikaj, Velson Xhikaj. </w:t>
            </w: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Hysnije Xhikolli (1932) 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vend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suar nga trash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gimtar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t e saj Muharrem Xhikolli (1954), Burhan Xhikolli (1957), Edmila Molla me mbiemr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rie Xhikolli (1959)</w:t>
            </w: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Muharrem Xhikolli (1954)</w:t>
            </w: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Burhan Xhikolli (1957), </w:t>
            </w:r>
          </w:p>
          <w:p w:rsidR="00883FCB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Edmila Molla me mbiemr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rie Xhikolli (1959) </w:t>
            </w:r>
          </w:p>
        </w:tc>
        <w:tc>
          <w:tcPr>
            <w:tcW w:w="2160" w:type="dxa"/>
          </w:tcPr>
          <w:p w:rsidR="00883FCB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5E718D" w:rsidRPr="005E718D" w:rsidRDefault="005E718D" w:rsidP="005E718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Shqipëri </w:t>
            </w: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Itali</w:t>
            </w:r>
          </w:p>
        </w:tc>
        <w:tc>
          <w:tcPr>
            <w:tcW w:w="1620" w:type="dxa"/>
          </w:tcPr>
          <w:p w:rsidR="00883FCB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S. Puto, avokat</w:t>
            </w:r>
          </w:p>
        </w:tc>
        <w:tc>
          <w:tcPr>
            <w:tcW w:w="1980" w:type="dxa"/>
          </w:tcPr>
          <w:p w:rsidR="00883FCB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16 Prill 2010</w:t>
            </w:r>
          </w:p>
        </w:tc>
      </w:tr>
      <w:tr w:rsidR="0008773D" w:rsidRPr="005E718D" w:rsidTr="00BC3F0A">
        <w:tc>
          <w:tcPr>
            <w:tcW w:w="630" w:type="dxa"/>
          </w:tcPr>
          <w:p w:rsidR="00883FCB" w:rsidRPr="005E718D" w:rsidRDefault="0008773D" w:rsidP="00BC3F0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1890" w:type="dxa"/>
          </w:tcPr>
          <w:p w:rsidR="00883FCB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Hasa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, nr. 36228/10</w:t>
            </w:r>
          </w:p>
        </w:tc>
        <w:tc>
          <w:tcPr>
            <w:tcW w:w="2070" w:type="dxa"/>
          </w:tcPr>
          <w:p w:rsidR="00883FCB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Sherafedin Hasa (1944) 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vend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suar nga djali i tij Erol Hasa</w:t>
            </w:r>
          </w:p>
        </w:tc>
        <w:tc>
          <w:tcPr>
            <w:tcW w:w="2160" w:type="dxa"/>
          </w:tcPr>
          <w:p w:rsidR="00883FCB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Ish Republika Jugosllave e Maqedonis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1620" w:type="dxa"/>
          </w:tcPr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K.J.Jovanova, </w:t>
            </w:r>
          </w:p>
          <w:p w:rsidR="00F825F0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avokat</w:t>
            </w:r>
          </w:p>
        </w:tc>
        <w:tc>
          <w:tcPr>
            <w:tcW w:w="1980" w:type="dxa"/>
          </w:tcPr>
          <w:p w:rsidR="00883FCB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18 Qershor 2010</w:t>
            </w:r>
          </w:p>
        </w:tc>
      </w:tr>
      <w:tr w:rsidR="0008773D" w:rsidRPr="005E718D" w:rsidTr="00BC3F0A">
        <w:tc>
          <w:tcPr>
            <w:tcW w:w="630" w:type="dxa"/>
          </w:tcPr>
          <w:p w:rsidR="00883FCB" w:rsidRPr="005E718D" w:rsidRDefault="0008773D" w:rsidP="00BC3F0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1890" w:type="dxa"/>
          </w:tcPr>
          <w:p w:rsidR="00883FCB" w:rsidRPr="005E718D" w:rsidRDefault="00F825F0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Galanxhi dhe t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tjer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t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, nr. </w:t>
            </w:r>
            <w:r w:rsidR="00E81399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39492/10</w:t>
            </w:r>
          </w:p>
        </w:tc>
        <w:tc>
          <w:tcPr>
            <w:tcW w:w="2070" w:type="dxa"/>
          </w:tcPr>
          <w:p w:rsidR="00883FCB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Nexhip Galanxhi (1932)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Ylli Galanxhi (1949)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Rozalt Galanxhi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(1971)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Fredi Lara (1957)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Florentina Galanxhi (1947)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Esmeralda Trolai (1981)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Lirika Asllani Lara (1946)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Haxhire Zhegu Galanxhi (1938)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Rexhina Lara (1981)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Ariana Lara (1958)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Livia Lara (1990)</w:t>
            </w:r>
          </w:p>
        </w:tc>
        <w:tc>
          <w:tcPr>
            <w:tcW w:w="2160" w:type="dxa"/>
          </w:tcPr>
          <w:p w:rsidR="00883FCB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</w:tc>
        <w:tc>
          <w:tcPr>
            <w:tcW w:w="1620" w:type="dxa"/>
          </w:tcPr>
          <w:p w:rsidR="00883FCB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S. Puto dhe A. Prifti me mbiem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rie Memi, avokat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</w:p>
        </w:tc>
        <w:tc>
          <w:tcPr>
            <w:tcW w:w="1980" w:type="dxa"/>
          </w:tcPr>
          <w:p w:rsidR="00883FCB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9 Korrik 2010</w:t>
            </w:r>
          </w:p>
        </w:tc>
      </w:tr>
      <w:tr w:rsidR="0008773D" w:rsidRPr="005E718D" w:rsidTr="00BC3F0A">
        <w:tc>
          <w:tcPr>
            <w:tcW w:w="630" w:type="dxa"/>
          </w:tcPr>
          <w:p w:rsidR="00883FCB" w:rsidRPr="005E718D" w:rsidRDefault="0008773D" w:rsidP="00BC3F0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1890" w:type="dxa"/>
          </w:tcPr>
          <w:p w:rsidR="00883FCB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Frash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ri dhe t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tjer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t¸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nr. 39495/10</w:t>
            </w:r>
          </w:p>
        </w:tc>
        <w:tc>
          <w:tcPr>
            <w:tcW w:w="2070" w:type="dxa"/>
          </w:tcPr>
          <w:p w:rsidR="00883FCB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Orhan Jegenmi (1936)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Kapllan Jegeni (1937)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Nermin Bubani (1939) 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vend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suar nga trash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gimtar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t e saj Loredan Bubani (1939), Elvana Bubani me mbiem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rie (1961), Gjergj Bubani (1966),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Suat Jegeni (1942)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Naide Shkodra me mbiem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rie Frash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 (1029)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Fiqirete Frash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 (1930)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Hajri Frash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 (1951)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Hysref Frash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 (1956)</w:t>
            </w:r>
          </w:p>
          <w:p w:rsidR="00E81399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Ilona Ziso (1962)</w:t>
            </w:r>
            <w:r w:rsidR="00E81399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160" w:type="dxa"/>
          </w:tcPr>
          <w:p w:rsidR="00883FCB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E81399" w:rsidRPr="005E718D" w:rsidRDefault="00E81399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</w:tc>
        <w:tc>
          <w:tcPr>
            <w:tcW w:w="1620" w:type="dxa"/>
          </w:tcPr>
          <w:p w:rsidR="00883FC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S. Puto, avokat</w:t>
            </w:r>
          </w:p>
        </w:tc>
        <w:tc>
          <w:tcPr>
            <w:tcW w:w="1980" w:type="dxa"/>
          </w:tcPr>
          <w:p w:rsidR="00883FC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9 Korrik 2010</w:t>
            </w:r>
          </w:p>
        </w:tc>
      </w:tr>
      <w:tr w:rsidR="0008773D" w:rsidRPr="005E718D" w:rsidTr="00BC3F0A">
        <w:tc>
          <w:tcPr>
            <w:tcW w:w="630" w:type="dxa"/>
          </w:tcPr>
          <w:p w:rsidR="00883FCB" w:rsidRPr="005E718D" w:rsidRDefault="0008773D" w:rsidP="00BC3F0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1890" w:type="dxa"/>
          </w:tcPr>
          <w:p w:rsidR="00883FC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Merlika dhe t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tjer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t,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nr. 40751/10</w:t>
            </w:r>
          </w:p>
        </w:tc>
        <w:tc>
          <w:tcPr>
            <w:tcW w:w="2070" w:type="dxa"/>
          </w:tcPr>
          <w:p w:rsidR="00883FC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Edrmir Merlika (1974)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G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zim Ka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ç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iu (1956)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Sajrije Kuta me mbiem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rie Merlika (1934)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Lumnije Karami me mbiem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rie Merlika (1937)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Luljeta Ndreu me mbiem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rie Ka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ç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iu (1960)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Liljana Ka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ç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iu (1963)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Shyqyri Merlika (1935)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Kujtim Merlika (1941)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Ilir Alija (Merlika) (1941)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Ardjan Merlika (1960)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Hysen Kasmi (1946)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Afrim Ka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ç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iu (1958)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Shpresa Merlika (1945)</w:t>
            </w:r>
          </w:p>
        </w:tc>
        <w:tc>
          <w:tcPr>
            <w:tcW w:w="2160" w:type="dxa"/>
          </w:tcPr>
          <w:p w:rsidR="00883FC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2211B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883FC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lastRenderedPageBreak/>
              <w:t>S. Dodbiba, avokat</w:t>
            </w:r>
          </w:p>
        </w:tc>
        <w:tc>
          <w:tcPr>
            <w:tcW w:w="1980" w:type="dxa"/>
          </w:tcPr>
          <w:p w:rsidR="00883FCB" w:rsidRPr="005E718D" w:rsidRDefault="002211BB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10 Qershor 2010</w:t>
            </w:r>
          </w:p>
        </w:tc>
      </w:tr>
      <w:tr w:rsidR="0008773D" w:rsidRPr="005E718D" w:rsidTr="00BC3F0A">
        <w:tc>
          <w:tcPr>
            <w:tcW w:w="630" w:type="dxa"/>
          </w:tcPr>
          <w:p w:rsidR="00883FCB" w:rsidRPr="005E718D" w:rsidRDefault="0008773D" w:rsidP="00BC3F0A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1890" w:type="dxa"/>
          </w:tcPr>
          <w:p w:rsidR="00883FCB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Dhimertika dhe Nika,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nr. 48522/10</w:t>
            </w:r>
          </w:p>
        </w:tc>
        <w:tc>
          <w:tcPr>
            <w:tcW w:w="2070" w:type="dxa"/>
          </w:tcPr>
          <w:p w:rsidR="00883FCB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Arjan Dhimertika (1961)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Konde Dhimertika (1941)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Engjell Dhimertika (1963)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Jeta Dhimertika (1973)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Evjeni Dhimertika (1938)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Vasil Dhimertika (1958)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Leonora Nika me mbiem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vajz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erie Dhimertika (1962)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G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zim Dhimertika (1972)</w:t>
            </w:r>
          </w:p>
        </w:tc>
        <w:tc>
          <w:tcPr>
            <w:tcW w:w="2160" w:type="dxa"/>
          </w:tcPr>
          <w:p w:rsidR="00883FCB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Greqi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Greqi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Greqi</w:t>
            </w:r>
          </w:p>
          <w:p w:rsidR="005E718D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Shqip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ri 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Gjermani</w:t>
            </w:r>
          </w:p>
          <w:p w:rsidR="00D40784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</w:p>
        </w:tc>
        <w:tc>
          <w:tcPr>
            <w:tcW w:w="1620" w:type="dxa"/>
          </w:tcPr>
          <w:p w:rsidR="00883FCB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S. Puto, avokat</w:t>
            </w:r>
          </w:p>
        </w:tc>
        <w:tc>
          <w:tcPr>
            <w:tcW w:w="1980" w:type="dxa"/>
          </w:tcPr>
          <w:p w:rsidR="00883FCB" w:rsidRPr="005E718D" w:rsidRDefault="00D40784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30 Korrik 2010</w:t>
            </w:r>
          </w:p>
        </w:tc>
      </w:tr>
    </w:tbl>
    <w:p w:rsidR="00883FCB" w:rsidRPr="005E718D" w:rsidRDefault="00883FCB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5E718D" w:rsidRPr="005E718D" w:rsidRDefault="005E718D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D40784" w:rsidRPr="005E718D" w:rsidRDefault="00D40784" w:rsidP="00883FCB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:rsidR="00D40784" w:rsidRPr="005E718D" w:rsidRDefault="00D40784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SHTOJCA 2 – K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RKESAT E ANKUESVE P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R KOMPENSIM 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DREJT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</w:p>
    <w:p w:rsidR="00D40784" w:rsidRPr="005E718D" w:rsidRDefault="00D40784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SI EDHE P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R KOSTOT DHE SHPENZIMET</w:t>
      </w:r>
    </w:p>
    <w:p w:rsidR="00D40784" w:rsidRPr="005E718D" w:rsidRDefault="00D40784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1620"/>
        <w:gridCol w:w="2700"/>
        <w:gridCol w:w="2206"/>
        <w:gridCol w:w="2114"/>
      </w:tblGrid>
      <w:tr w:rsidR="00D40784" w:rsidRPr="005E718D" w:rsidTr="00BC3F0A">
        <w:tc>
          <w:tcPr>
            <w:tcW w:w="558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Nr. </w:t>
            </w:r>
          </w:p>
        </w:tc>
        <w:tc>
          <w:tcPr>
            <w:tcW w:w="1620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Emri dhe numri i ankimit </w:t>
            </w:r>
          </w:p>
        </w:tc>
        <w:tc>
          <w:tcPr>
            <w:tcW w:w="2700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D</w:t>
            </w:r>
            <w:r w:rsidR="00F872F5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mi monetar </w:t>
            </w:r>
          </w:p>
        </w:tc>
        <w:tc>
          <w:tcPr>
            <w:tcW w:w="2206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D</w:t>
            </w:r>
            <w:r w:rsidR="00F872F5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mi jo monetar </w:t>
            </w:r>
          </w:p>
        </w:tc>
        <w:tc>
          <w:tcPr>
            <w:tcW w:w="2114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Kosto dhe shpenzime</w:t>
            </w:r>
          </w:p>
        </w:tc>
      </w:tr>
      <w:tr w:rsidR="00D40784" w:rsidRPr="005E718D" w:rsidTr="00BC3F0A">
        <w:tc>
          <w:tcPr>
            <w:tcW w:w="558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1620" w:type="dxa"/>
          </w:tcPr>
          <w:p w:rsidR="00D40784" w:rsidRPr="005E718D" w:rsidRDefault="00E90E48" w:rsidP="00BC3F0A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Rista,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nr. 5207/10</w:t>
            </w:r>
          </w:p>
        </w:tc>
        <w:tc>
          <w:tcPr>
            <w:tcW w:w="2700" w:type="dxa"/>
          </w:tcPr>
          <w:p w:rsidR="00D40784" w:rsidRPr="005E718D" w:rsidRDefault="00E90E4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EUR79,050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lidhje me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 e pron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 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sip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rfaqes 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tok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 me 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rmase 930 m</w:t>
            </w:r>
            <w:r w:rsidRPr="005E718D">
              <w:rPr>
                <w:rFonts w:ascii="Times New Roman" w:hAnsi="Times New Roman"/>
                <w:sz w:val="20"/>
                <w:szCs w:val="20"/>
                <w:vertAlign w:val="superscript"/>
                <w:lang w:val="sq-AL"/>
              </w:rPr>
              <w:t>2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bazuar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hartat e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simit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vitit 2008 (dor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zuar jasht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afatit)</w:t>
            </w:r>
          </w:p>
        </w:tc>
        <w:tc>
          <w:tcPr>
            <w:tcW w:w="2206" w:type="dxa"/>
          </w:tcPr>
          <w:p w:rsidR="00D40784" w:rsidRPr="005E718D" w:rsidRDefault="00E90E4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3,000 (dor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zuar jasht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afatit kohor)</w:t>
            </w:r>
          </w:p>
        </w:tc>
        <w:tc>
          <w:tcPr>
            <w:tcW w:w="2114" w:type="dxa"/>
          </w:tcPr>
          <w:p w:rsidR="00D40784" w:rsidRPr="005E718D" w:rsidRDefault="00E90E4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1,000 (dor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zuar jasht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afatit)</w:t>
            </w:r>
          </w:p>
        </w:tc>
      </w:tr>
      <w:tr w:rsidR="00D40784" w:rsidRPr="005E718D" w:rsidTr="00BC3F0A">
        <w:tc>
          <w:tcPr>
            <w:tcW w:w="558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1620" w:type="dxa"/>
          </w:tcPr>
          <w:p w:rsidR="00D40784" w:rsidRPr="005E718D" w:rsidRDefault="00E90E4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Gjikolli dhe Molla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, nr. 24468/10</w:t>
            </w:r>
          </w:p>
        </w:tc>
        <w:tc>
          <w:tcPr>
            <w:tcW w:w="2700" w:type="dxa"/>
          </w:tcPr>
          <w:p w:rsidR="00D40784" w:rsidRPr="005E718D" w:rsidRDefault="00E90E4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1,724,922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lidhje me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 e pron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 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sip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rfaqes 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tok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 me 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rmas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10,600  m</w:t>
            </w:r>
            <w:r w:rsidRPr="005E718D">
              <w:rPr>
                <w:rFonts w:ascii="Times New Roman" w:hAnsi="Times New Roman"/>
                <w:sz w:val="20"/>
                <w:szCs w:val="20"/>
                <w:vertAlign w:val="superscript"/>
                <w:lang w:val="sq-AL"/>
              </w:rPr>
              <w:t>2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pjes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 e ankuesit sipas hartave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simit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vitit 2013</w:t>
            </w:r>
          </w:p>
        </w:tc>
        <w:tc>
          <w:tcPr>
            <w:tcW w:w="2206" w:type="dxa"/>
          </w:tcPr>
          <w:p w:rsidR="00D40784" w:rsidRPr="005E718D" w:rsidRDefault="00E90E4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180,000</w:t>
            </w:r>
          </w:p>
        </w:tc>
        <w:tc>
          <w:tcPr>
            <w:tcW w:w="2114" w:type="dxa"/>
          </w:tcPr>
          <w:p w:rsidR="00D40784" w:rsidRPr="005E718D" w:rsidRDefault="00E90E4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1,000 (faturat jan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zuar)</w:t>
            </w:r>
          </w:p>
        </w:tc>
      </w:tr>
      <w:tr w:rsidR="00D40784" w:rsidRPr="005E718D" w:rsidTr="00BC3F0A">
        <w:tc>
          <w:tcPr>
            <w:tcW w:w="558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1620" w:type="dxa"/>
          </w:tcPr>
          <w:p w:rsidR="00D40784" w:rsidRPr="005E718D" w:rsidRDefault="00E90E48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Galanxhi dhe t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tjer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t,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nr. 39492/10</w:t>
            </w:r>
          </w:p>
        </w:tc>
        <w:tc>
          <w:tcPr>
            <w:tcW w:w="2700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180,350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lidhje me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 e sip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rfaqes 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tok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 me 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rmasa 3,607 m</w:t>
            </w:r>
            <w:r w:rsidRPr="005E718D">
              <w:rPr>
                <w:rFonts w:ascii="Times New Roman" w:hAnsi="Times New Roman"/>
                <w:sz w:val="20"/>
                <w:szCs w:val="20"/>
                <w:vertAlign w:val="superscript"/>
                <w:lang w:val="sq-AL"/>
              </w:rPr>
              <w:t>2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bazuar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hartat e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simit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vitit 2008. </w:t>
            </w:r>
          </w:p>
        </w:tc>
        <w:tc>
          <w:tcPr>
            <w:tcW w:w="2206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180,000</w:t>
            </w:r>
          </w:p>
        </w:tc>
        <w:tc>
          <w:tcPr>
            <w:tcW w:w="2114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1,000 (jan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zuar faturat)</w:t>
            </w:r>
          </w:p>
        </w:tc>
      </w:tr>
      <w:tr w:rsidR="00D40784" w:rsidRPr="005E718D" w:rsidTr="00BC3F0A">
        <w:tc>
          <w:tcPr>
            <w:tcW w:w="558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1620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Frash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ri dhe t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tjer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t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, nr. 39495/10</w:t>
            </w:r>
          </w:p>
        </w:tc>
        <w:tc>
          <w:tcPr>
            <w:tcW w:w="2700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25,270,354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lidhje me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 e sip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rfaqes 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tok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 me 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rmasa 201,244 m</w:t>
            </w:r>
            <w:r w:rsidRPr="005E718D">
              <w:rPr>
                <w:rFonts w:ascii="Times New Roman" w:hAnsi="Times New Roman"/>
                <w:sz w:val="20"/>
                <w:szCs w:val="20"/>
                <w:vertAlign w:val="superscript"/>
                <w:lang w:val="sq-AL"/>
              </w:rPr>
              <w:t>2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 pjes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 e ankuesve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baz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hartave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simit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vitit 2008</w:t>
            </w:r>
          </w:p>
        </w:tc>
        <w:tc>
          <w:tcPr>
            <w:tcW w:w="2206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135,000</w:t>
            </w:r>
          </w:p>
        </w:tc>
        <w:tc>
          <w:tcPr>
            <w:tcW w:w="2114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1,000 (jan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zuar faturat )</w:t>
            </w:r>
          </w:p>
        </w:tc>
      </w:tr>
      <w:tr w:rsidR="00D40784" w:rsidRPr="005E718D" w:rsidTr="00BC3F0A">
        <w:tc>
          <w:tcPr>
            <w:tcW w:w="558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1620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Merlika dhe t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tjer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t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, nr. 40751/10</w:t>
            </w:r>
          </w:p>
        </w:tc>
        <w:tc>
          <w:tcPr>
            <w:tcW w:w="2700" w:type="dxa"/>
          </w:tcPr>
          <w:p w:rsidR="00D40784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1,3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70,000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lidhje me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 e tok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 me sip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rfaqe prej 1,530 m</w:t>
            </w:r>
            <w:r w:rsidR="00AA7C93" w:rsidRPr="005E718D">
              <w:rPr>
                <w:rFonts w:ascii="Times New Roman" w:hAnsi="Times New Roman"/>
                <w:sz w:val="20"/>
                <w:szCs w:val="20"/>
                <w:vertAlign w:val="superscript"/>
                <w:lang w:val="sq-AL"/>
              </w:rPr>
              <w:t>2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sipas hartave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simit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vitit 2008.</w:t>
            </w:r>
          </w:p>
        </w:tc>
        <w:tc>
          <w:tcPr>
            <w:tcW w:w="2206" w:type="dxa"/>
          </w:tcPr>
          <w:p w:rsidR="00D40784" w:rsidRPr="005E718D" w:rsidRDefault="005E718D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5</w:t>
            </w:r>
            <w:r w:rsidR="00AA7C93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0,000</w:t>
            </w:r>
          </w:p>
        </w:tc>
        <w:tc>
          <w:tcPr>
            <w:tcW w:w="2114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Asnj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(nuk 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zuar asnj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rkes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specifike)</w:t>
            </w:r>
          </w:p>
        </w:tc>
      </w:tr>
      <w:tr w:rsidR="00D40784" w:rsidRPr="005E718D" w:rsidTr="00BC3F0A">
        <w:tc>
          <w:tcPr>
            <w:tcW w:w="558" w:type="dxa"/>
          </w:tcPr>
          <w:p w:rsidR="00D40784" w:rsidRPr="005E718D" w:rsidRDefault="00D40784" w:rsidP="00BC3F0A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1620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Dhimertika dhe Nika,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nr. 48522/10</w:t>
            </w:r>
          </w:p>
        </w:tc>
        <w:tc>
          <w:tcPr>
            <w:tcW w:w="2700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7,367,140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lidhje me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 e tok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 me sip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rfaqe 59,184 m</w:t>
            </w:r>
            <w:r w:rsidRPr="005E718D">
              <w:rPr>
                <w:rFonts w:ascii="Times New Roman" w:hAnsi="Times New Roman"/>
                <w:sz w:val="20"/>
                <w:szCs w:val="20"/>
                <w:vertAlign w:val="superscript"/>
                <w:lang w:val="sq-AL"/>
              </w:rPr>
              <w:t>2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bazuar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hartat e vler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simit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vitit 2008</w:t>
            </w:r>
          </w:p>
        </w:tc>
        <w:tc>
          <w:tcPr>
            <w:tcW w:w="2206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120,000</w:t>
            </w:r>
          </w:p>
        </w:tc>
        <w:tc>
          <w:tcPr>
            <w:tcW w:w="2114" w:type="dxa"/>
          </w:tcPr>
          <w:p w:rsidR="00D40784" w:rsidRPr="005E718D" w:rsidRDefault="00AA7C93" w:rsidP="00BC3F0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1,000 (jan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zuar faturat)</w:t>
            </w:r>
          </w:p>
        </w:tc>
      </w:tr>
    </w:tbl>
    <w:p w:rsidR="00D40784" w:rsidRPr="005E718D" w:rsidRDefault="00D40784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473B2C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</w:p>
    <w:p w:rsidR="00473B2C" w:rsidRPr="005E718D" w:rsidRDefault="00473B2C" w:rsidP="00473B2C">
      <w:pPr>
        <w:pStyle w:val="NoSpacing"/>
        <w:spacing w:line="276" w:lineRule="auto"/>
        <w:jc w:val="center"/>
        <w:rPr>
          <w:rFonts w:ascii="Times New Roman" w:hAnsi="Times New Roman"/>
          <w:sz w:val="18"/>
          <w:szCs w:val="18"/>
          <w:lang w:val="sq-AL"/>
        </w:rPr>
      </w:pPr>
      <w:r w:rsidRPr="005E718D">
        <w:rPr>
          <w:rFonts w:ascii="Times New Roman" w:hAnsi="Times New Roman"/>
          <w:sz w:val="18"/>
          <w:szCs w:val="18"/>
          <w:lang w:val="sq-AL"/>
        </w:rPr>
        <w:lastRenderedPageBreak/>
        <w:t>VENDIMI RISTA DHE TË TJERËT KUNDËR SHQIPËRISË</w:t>
      </w: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5E718D">
        <w:rPr>
          <w:rFonts w:ascii="Times New Roman" w:hAnsi="Times New Roman"/>
          <w:b/>
          <w:sz w:val="24"/>
          <w:szCs w:val="24"/>
          <w:lang w:val="sq-AL"/>
        </w:rPr>
        <w:t>SHTOJCA 3 – VENDIMI I GJYKAT</w:t>
      </w:r>
      <w:r w:rsidR="00F872F5" w:rsidRPr="005E718D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5E718D">
        <w:rPr>
          <w:rFonts w:ascii="Times New Roman" w:hAnsi="Times New Roman"/>
          <w:b/>
          <w:sz w:val="24"/>
          <w:szCs w:val="24"/>
          <w:lang w:val="sq-AL"/>
        </w:rPr>
        <w:t>S</w:t>
      </w:r>
    </w:p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2160"/>
        <w:gridCol w:w="3780"/>
        <w:gridCol w:w="2340"/>
      </w:tblGrid>
      <w:tr w:rsidR="00AA7C93" w:rsidRPr="005E718D" w:rsidTr="00AC54AA">
        <w:tc>
          <w:tcPr>
            <w:tcW w:w="558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Nr. </w:t>
            </w:r>
          </w:p>
        </w:tc>
        <w:tc>
          <w:tcPr>
            <w:tcW w:w="2160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Emri dhe numri i ankimit </w:t>
            </w:r>
          </w:p>
        </w:tc>
        <w:tc>
          <w:tcPr>
            <w:tcW w:w="3780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D</w:t>
            </w:r>
            <w:r w:rsidR="00F872F5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mi monetar dhe d</w:t>
            </w:r>
            <w:r w:rsidR="00F872F5"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 xml:space="preserve">mi jo monetar </w:t>
            </w:r>
          </w:p>
        </w:tc>
        <w:tc>
          <w:tcPr>
            <w:tcW w:w="2340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Kosto dhe shpenzime</w:t>
            </w:r>
          </w:p>
        </w:tc>
      </w:tr>
      <w:tr w:rsidR="00AA7C93" w:rsidRPr="005E718D" w:rsidTr="00AC54AA">
        <w:tc>
          <w:tcPr>
            <w:tcW w:w="558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160" w:type="dxa"/>
          </w:tcPr>
          <w:p w:rsidR="00AA7C93" w:rsidRPr="005E718D" w:rsidRDefault="00AA7C93" w:rsidP="00A26DB1">
            <w:pPr>
              <w:pStyle w:val="NoSpacing"/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Rista,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nr. 5207/10</w:t>
            </w:r>
          </w:p>
        </w:tc>
        <w:tc>
          <w:tcPr>
            <w:tcW w:w="3780" w:type="dxa"/>
          </w:tcPr>
          <w:p w:rsidR="00AA7C93" w:rsidRPr="005E718D" w:rsidRDefault="00AC54AA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Asnj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(k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rkesat u 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zuan jasht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afatit)</w:t>
            </w:r>
          </w:p>
        </w:tc>
        <w:tc>
          <w:tcPr>
            <w:tcW w:w="2340" w:type="dxa"/>
          </w:tcPr>
          <w:p w:rsidR="00AA7C93" w:rsidRPr="005E718D" w:rsidRDefault="00AC54AA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Asnj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(k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rkesat u 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zuan jasht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afatit)</w:t>
            </w:r>
          </w:p>
        </w:tc>
      </w:tr>
      <w:tr w:rsidR="00AA7C93" w:rsidRPr="005E718D" w:rsidTr="00AC54AA">
        <w:tc>
          <w:tcPr>
            <w:tcW w:w="558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160" w:type="dxa"/>
          </w:tcPr>
          <w:p w:rsidR="00AA7C93" w:rsidRPr="005E718D" w:rsidRDefault="00AA7C93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Gjikolli dhe Molla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, nr. 24468/10</w:t>
            </w:r>
          </w:p>
        </w:tc>
        <w:tc>
          <w:tcPr>
            <w:tcW w:w="3780" w:type="dxa"/>
          </w:tcPr>
          <w:p w:rsidR="00AA7C93" w:rsidRPr="005E718D" w:rsidRDefault="00AA7C93" w:rsidP="00AC54A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1,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562,100 (nj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milion e pes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 e gjasht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e dy mij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e 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qind)</w:t>
            </w:r>
          </w:p>
        </w:tc>
        <w:tc>
          <w:tcPr>
            <w:tcW w:w="2340" w:type="dxa"/>
          </w:tcPr>
          <w:p w:rsidR="00AA7C93" w:rsidRPr="005E718D" w:rsidRDefault="00AA7C93" w:rsidP="00AC54A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EUR 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850 (tet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 e pes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)</w:t>
            </w:r>
          </w:p>
        </w:tc>
      </w:tr>
      <w:tr w:rsidR="00AA7C93" w:rsidRPr="005E718D" w:rsidTr="00AC54AA">
        <w:tc>
          <w:tcPr>
            <w:tcW w:w="558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160" w:type="dxa"/>
          </w:tcPr>
          <w:p w:rsidR="00AA7C93" w:rsidRPr="005E718D" w:rsidRDefault="00AA7C93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Galanxhi dhe t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tjer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t,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nr. 39492/10</w:t>
            </w:r>
          </w:p>
        </w:tc>
        <w:tc>
          <w:tcPr>
            <w:tcW w:w="3780" w:type="dxa"/>
          </w:tcPr>
          <w:p w:rsidR="00AA7C93" w:rsidRPr="005E718D" w:rsidRDefault="00AA7C93" w:rsidP="00AC54A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EUR 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216,600 (dyqind e gjasht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mb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mij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e gjasht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qind)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</w:t>
            </w:r>
          </w:p>
        </w:tc>
        <w:tc>
          <w:tcPr>
            <w:tcW w:w="2340" w:type="dxa"/>
          </w:tcPr>
          <w:p w:rsidR="00AA7C93" w:rsidRPr="005E718D" w:rsidRDefault="00AC54AA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850 (tet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 e pes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)</w:t>
            </w:r>
          </w:p>
        </w:tc>
      </w:tr>
      <w:tr w:rsidR="00AA7C93" w:rsidRPr="005E718D" w:rsidTr="00AC54AA">
        <w:tc>
          <w:tcPr>
            <w:tcW w:w="558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160" w:type="dxa"/>
          </w:tcPr>
          <w:p w:rsidR="00AA7C93" w:rsidRPr="005E718D" w:rsidRDefault="00AA7C93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Frash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ri dhe t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tjer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t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, nr. 39495/10</w:t>
            </w:r>
          </w:p>
        </w:tc>
        <w:tc>
          <w:tcPr>
            <w:tcW w:w="3780" w:type="dxa"/>
          </w:tcPr>
          <w:p w:rsidR="00AA7C93" w:rsidRPr="005E718D" w:rsidRDefault="00AA7C93" w:rsidP="00AC54A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EUR 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3,330,500 (tre milion e treqind e tridhjet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mij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e pes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qind)</w:t>
            </w:r>
          </w:p>
        </w:tc>
        <w:tc>
          <w:tcPr>
            <w:tcW w:w="2340" w:type="dxa"/>
          </w:tcPr>
          <w:p w:rsidR="00AA7C93" w:rsidRPr="005E718D" w:rsidRDefault="00AC54AA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850 (tet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 e pes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)</w:t>
            </w:r>
          </w:p>
        </w:tc>
      </w:tr>
      <w:tr w:rsidR="00AA7C93" w:rsidRPr="005E718D" w:rsidTr="00AC54AA">
        <w:tc>
          <w:tcPr>
            <w:tcW w:w="558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160" w:type="dxa"/>
          </w:tcPr>
          <w:p w:rsidR="00AA7C93" w:rsidRPr="005E718D" w:rsidRDefault="00AA7C93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Merlika dhe t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 tjer</w:t>
            </w:r>
            <w:r w:rsidR="00F872F5"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>t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, nr. 40751/10</w:t>
            </w:r>
          </w:p>
        </w:tc>
        <w:tc>
          <w:tcPr>
            <w:tcW w:w="3780" w:type="dxa"/>
          </w:tcPr>
          <w:p w:rsidR="00AA7C93" w:rsidRPr="005E718D" w:rsidRDefault="00AA7C93" w:rsidP="00AC54A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1,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171,800 (nj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milion e 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 e shat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e 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mij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e tet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qind) 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bashku 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mb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ankuesit.</w:t>
            </w:r>
          </w:p>
        </w:tc>
        <w:tc>
          <w:tcPr>
            <w:tcW w:w="2340" w:type="dxa"/>
          </w:tcPr>
          <w:p w:rsidR="00AA7C93" w:rsidRPr="005E718D" w:rsidRDefault="00AA7C93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Asnj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(nuk 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dor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zuar asnj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k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rkes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specifike)</w:t>
            </w:r>
          </w:p>
        </w:tc>
      </w:tr>
      <w:tr w:rsidR="00AA7C93" w:rsidRPr="005E718D" w:rsidTr="00AC54AA">
        <w:tc>
          <w:tcPr>
            <w:tcW w:w="558" w:type="dxa"/>
          </w:tcPr>
          <w:p w:rsidR="00AA7C93" w:rsidRPr="005E718D" w:rsidRDefault="00AA7C93" w:rsidP="00A26DB1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160" w:type="dxa"/>
          </w:tcPr>
          <w:p w:rsidR="00AA7C93" w:rsidRPr="005E718D" w:rsidRDefault="00AA7C93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i/>
                <w:sz w:val="20"/>
                <w:szCs w:val="20"/>
                <w:lang w:val="sq-AL"/>
              </w:rPr>
              <w:t xml:space="preserve">Dhimertika dhe Nika, 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nr. 48522/10</w:t>
            </w:r>
          </w:p>
        </w:tc>
        <w:tc>
          <w:tcPr>
            <w:tcW w:w="3780" w:type="dxa"/>
          </w:tcPr>
          <w:p w:rsidR="00AA7C93" w:rsidRPr="005E718D" w:rsidRDefault="00AA7C93" w:rsidP="00AC54AA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EUR 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4,416,900 (kat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milion e kat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rqind e gjasht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mb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mij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e n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nt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qind) 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bashku p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r 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shtat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="00AC54AA" w:rsidRPr="005E718D">
              <w:rPr>
                <w:rFonts w:ascii="Times New Roman" w:hAnsi="Times New Roman"/>
                <w:sz w:val="20"/>
                <w:szCs w:val="20"/>
                <w:lang w:val="sq-AL"/>
              </w:rPr>
              <w:t xml:space="preserve"> ankuesit</w:t>
            </w:r>
          </w:p>
        </w:tc>
        <w:tc>
          <w:tcPr>
            <w:tcW w:w="2340" w:type="dxa"/>
          </w:tcPr>
          <w:p w:rsidR="00AA7C93" w:rsidRPr="005E718D" w:rsidRDefault="00AC54AA" w:rsidP="00A26DB1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val="sq-AL"/>
              </w:rPr>
            </w:pP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EUR 850 (tet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qind e pes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dhjet</w:t>
            </w:r>
            <w:r w:rsidR="00F872F5" w:rsidRPr="005E718D">
              <w:rPr>
                <w:rFonts w:ascii="Times New Roman" w:hAnsi="Times New Roman"/>
                <w:sz w:val="20"/>
                <w:szCs w:val="20"/>
                <w:lang w:val="sq-AL"/>
              </w:rPr>
              <w:t>ë</w:t>
            </w:r>
            <w:r w:rsidRPr="005E718D">
              <w:rPr>
                <w:rFonts w:ascii="Times New Roman" w:hAnsi="Times New Roman"/>
                <w:sz w:val="20"/>
                <w:szCs w:val="20"/>
                <w:lang w:val="sq-AL"/>
              </w:rPr>
              <w:t>)</w:t>
            </w:r>
          </w:p>
        </w:tc>
      </w:tr>
    </w:tbl>
    <w:p w:rsidR="00AA7C93" w:rsidRPr="005E718D" w:rsidRDefault="00AA7C93" w:rsidP="00D40784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  <w:lang w:val="sq-AL"/>
        </w:rPr>
      </w:pPr>
    </w:p>
    <w:sectPr w:rsidR="00AA7C93" w:rsidRPr="005E718D" w:rsidSect="00943D1A">
      <w:headerReference w:type="default" r:id="rId7"/>
      <w:footerReference w:type="default" r:id="rId8"/>
      <w:pgSz w:w="12240" w:h="15840"/>
      <w:pgMar w:top="99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D97" w:rsidRDefault="00B20D97">
      <w:pPr>
        <w:spacing w:after="0" w:line="240" w:lineRule="auto"/>
      </w:pPr>
      <w:r>
        <w:separator/>
      </w:r>
    </w:p>
  </w:endnote>
  <w:endnote w:type="continuationSeparator" w:id="0">
    <w:p w:rsidR="00B20D97" w:rsidRDefault="00B2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F5" w:rsidRDefault="00F872F5">
    <w:pPr>
      <w:pStyle w:val="Footer"/>
      <w:jc w:val="center"/>
      <w:rPr>
        <w:b/>
        <w:i/>
        <w:color w:val="000080"/>
        <w:sz w:val="22"/>
      </w:rPr>
    </w:pPr>
  </w:p>
  <w:p w:rsidR="00F872F5" w:rsidRPr="00275BE5" w:rsidRDefault="00F872F5">
    <w:pPr>
      <w:pStyle w:val="Footer"/>
      <w:pBdr>
        <w:top w:val="single" w:sz="4" w:space="1" w:color="auto"/>
      </w:pBdr>
      <w:jc w:val="center"/>
      <w:rPr>
        <w:b/>
        <w:i/>
        <w:color w:val="000080"/>
        <w:sz w:val="22"/>
      </w:rPr>
    </w:pPr>
    <w:r w:rsidRPr="00275BE5">
      <w:rPr>
        <w:b/>
        <w:i/>
        <w:color w:val="000080"/>
        <w:sz w:val="22"/>
      </w:rPr>
      <w:t>Shërbimi i Përkthimit Zyrtar, Ministria e Drejtësisë, Republika e Shqipërisë</w:t>
    </w:r>
  </w:p>
  <w:p w:rsidR="00F872F5" w:rsidRPr="00275BE5" w:rsidRDefault="00F872F5">
    <w:pPr>
      <w:pStyle w:val="Footer"/>
      <w:jc w:val="center"/>
      <w:rPr>
        <w:b/>
        <w:i/>
        <w:color w:val="000080"/>
        <w:sz w:val="22"/>
        <w:lang w:val="it-IT"/>
      </w:rPr>
    </w:pPr>
    <w:r w:rsidRPr="00275BE5">
      <w:rPr>
        <w:b/>
        <w:i/>
        <w:color w:val="000080"/>
        <w:sz w:val="22"/>
        <w:lang w:val="it-IT"/>
      </w:rPr>
      <w:t>Service des Traductions Officielles du Ministére de la Justice de la République d’Albanie</w:t>
    </w:r>
  </w:p>
  <w:p w:rsidR="00F872F5" w:rsidRDefault="00F872F5">
    <w:pPr>
      <w:pStyle w:val="Footer"/>
      <w:jc w:val="center"/>
      <w:rPr>
        <w:b/>
        <w:i/>
        <w:color w:val="000080"/>
        <w:sz w:val="22"/>
      </w:rPr>
    </w:pPr>
    <w:smartTag w:uri="urn:schemas-microsoft-com:office:smarttags" w:element="place">
      <w:smartTag w:uri="urn:schemas-microsoft-com:office:smarttags" w:element="PlaceType">
        <w:r>
          <w:rPr>
            <w:b/>
            <w:i/>
            <w:color w:val="000080"/>
            <w:sz w:val="22"/>
          </w:rPr>
          <w:t>Republic</w:t>
        </w:r>
      </w:smartTag>
      <w:r>
        <w:rPr>
          <w:b/>
          <w:i/>
          <w:color w:val="000080"/>
          <w:sz w:val="22"/>
        </w:rPr>
        <w:t xml:space="preserve"> of </w:t>
      </w:r>
      <w:smartTag w:uri="urn:schemas-microsoft-com:office:smarttags" w:element="PlaceName">
        <w:r>
          <w:rPr>
            <w:b/>
            <w:i/>
            <w:color w:val="000080"/>
            <w:sz w:val="22"/>
          </w:rPr>
          <w:t>Albania</w:t>
        </w:r>
      </w:smartTag>
    </w:smartTag>
    <w:r>
      <w:rPr>
        <w:b/>
        <w:i/>
        <w:color w:val="000080"/>
        <w:sz w:val="22"/>
      </w:rPr>
      <w:t>, Ministry of Justice, Official Translations 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D97" w:rsidRDefault="00B20D97">
      <w:pPr>
        <w:spacing w:after="0" w:line="240" w:lineRule="auto"/>
      </w:pPr>
      <w:r>
        <w:separator/>
      </w:r>
    </w:p>
  </w:footnote>
  <w:footnote w:type="continuationSeparator" w:id="0">
    <w:p w:rsidR="00B20D97" w:rsidRDefault="00B2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2F5" w:rsidRDefault="00F872F5">
    <w:pPr>
      <w:pStyle w:val="Header"/>
      <w:pBdr>
        <w:bottom w:val="single" w:sz="4" w:space="1" w:color="auto"/>
      </w:pBdr>
      <w:rPr>
        <w:b/>
        <w:color w:val="000080"/>
        <w:sz w:val="18"/>
      </w:rPr>
    </w:pPr>
    <w:r>
      <w:rPr>
        <w:b/>
        <w:color w:val="000080"/>
        <w:sz w:val="18"/>
      </w:rPr>
      <w:t>PERKTHIM ZYRTAR                       TRADUCTION OFFICIELLE</w:t>
    </w:r>
    <w:r>
      <w:rPr>
        <w:b/>
        <w:color w:val="000080"/>
        <w:sz w:val="18"/>
      </w:rPr>
      <w:tab/>
      <w:t xml:space="preserve">     OFFICIAL TRANSLATION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51D"/>
    <w:multiLevelType w:val="hybridMultilevel"/>
    <w:tmpl w:val="9E64F980"/>
    <w:lvl w:ilvl="0" w:tplc="667E5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B2232"/>
    <w:multiLevelType w:val="hybridMultilevel"/>
    <w:tmpl w:val="FBE41BB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7617A"/>
    <w:multiLevelType w:val="hybridMultilevel"/>
    <w:tmpl w:val="3C5275F4"/>
    <w:lvl w:ilvl="0" w:tplc="41BE7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F5584"/>
    <w:multiLevelType w:val="hybridMultilevel"/>
    <w:tmpl w:val="07908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6D3B"/>
    <w:multiLevelType w:val="hybridMultilevel"/>
    <w:tmpl w:val="91F60A16"/>
    <w:lvl w:ilvl="0" w:tplc="661A68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643DB"/>
    <w:multiLevelType w:val="hybridMultilevel"/>
    <w:tmpl w:val="A2CAAE26"/>
    <w:lvl w:ilvl="0" w:tplc="7BF4D99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887"/>
    <w:multiLevelType w:val="hybridMultilevel"/>
    <w:tmpl w:val="269A608C"/>
    <w:lvl w:ilvl="0" w:tplc="F77E2686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12D16"/>
    <w:multiLevelType w:val="hybridMultilevel"/>
    <w:tmpl w:val="ECC83918"/>
    <w:lvl w:ilvl="0" w:tplc="9F04E6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B1536"/>
    <w:multiLevelType w:val="hybridMultilevel"/>
    <w:tmpl w:val="CC70907A"/>
    <w:lvl w:ilvl="0" w:tplc="1654DC0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1301"/>
    <w:multiLevelType w:val="hybridMultilevel"/>
    <w:tmpl w:val="3F143254"/>
    <w:lvl w:ilvl="0" w:tplc="6BC85E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F45665"/>
    <w:multiLevelType w:val="hybridMultilevel"/>
    <w:tmpl w:val="EAAEA66C"/>
    <w:lvl w:ilvl="0" w:tplc="9C24B85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E39B5"/>
    <w:multiLevelType w:val="hybridMultilevel"/>
    <w:tmpl w:val="069E2BC8"/>
    <w:lvl w:ilvl="0" w:tplc="9684B9D8">
      <w:start w:val="1"/>
      <w:numFmt w:val="lowerRoman"/>
      <w:lvlText w:val="(%1)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01FB3"/>
    <w:multiLevelType w:val="hybridMultilevel"/>
    <w:tmpl w:val="079E9B42"/>
    <w:lvl w:ilvl="0" w:tplc="BC1AA2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A0F"/>
    <w:multiLevelType w:val="hybridMultilevel"/>
    <w:tmpl w:val="9B56A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247FE"/>
    <w:multiLevelType w:val="hybridMultilevel"/>
    <w:tmpl w:val="9D648F66"/>
    <w:lvl w:ilvl="0" w:tplc="40C095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71825"/>
    <w:multiLevelType w:val="hybridMultilevel"/>
    <w:tmpl w:val="015C6370"/>
    <w:lvl w:ilvl="0" w:tplc="1D8A96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916FC"/>
    <w:multiLevelType w:val="hybridMultilevel"/>
    <w:tmpl w:val="3A08A340"/>
    <w:lvl w:ilvl="0" w:tplc="DAA22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1639E5"/>
    <w:multiLevelType w:val="hybridMultilevel"/>
    <w:tmpl w:val="631C9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D4D6F"/>
    <w:multiLevelType w:val="hybridMultilevel"/>
    <w:tmpl w:val="F2E0150C"/>
    <w:lvl w:ilvl="0" w:tplc="9EDCDC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F77C5"/>
    <w:multiLevelType w:val="hybridMultilevel"/>
    <w:tmpl w:val="247891B4"/>
    <w:lvl w:ilvl="0" w:tplc="C4C2DFB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24DFF"/>
    <w:multiLevelType w:val="hybridMultilevel"/>
    <w:tmpl w:val="03344A7A"/>
    <w:lvl w:ilvl="0" w:tplc="E97491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410A2"/>
    <w:multiLevelType w:val="hybridMultilevel"/>
    <w:tmpl w:val="B6240D6E"/>
    <w:lvl w:ilvl="0" w:tplc="690A27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C12822"/>
    <w:multiLevelType w:val="hybridMultilevel"/>
    <w:tmpl w:val="12C21FFE"/>
    <w:lvl w:ilvl="0" w:tplc="9E58113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446B5"/>
    <w:multiLevelType w:val="hybridMultilevel"/>
    <w:tmpl w:val="5B2C3A4C"/>
    <w:lvl w:ilvl="0" w:tplc="D6E23E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96EAB"/>
    <w:multiLevelType w:val="hybridMultilevel"/>
    <w:tmpl w:val="A3F6889C"/>
    <w:lvl w:ilvl="0" w:tplc="0B344A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93694"/>
    <w:multiLevelType w:val="hybridMultilevel"/>
    <w:tmpl w:val="232CC784"/>
    <w:lvl w:ilvl="0" w:tplc="8B3049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67421"/>
    <w:multiLevelType w:val="hybridMultilevel"/>
    <w:tmpl w:val="B9B25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30302"/>
    <w:multiLevelType w:val="hybridMultilevel"/>
    <w:tmpl w:val="01684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A43BB"/>
    <w:multiLevelType w:val="hybridMultilevel"/>
    <w:tmpl w:val="F8DCCC88"/>
    <w:lvl w:ilvl="0" w:tplc="3BF6C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A1285"/>
    <w:multiLevelType w:val="hybridMultilevel"/>
    <w:tmpl w:val="DE889540"/>
    <w:lvl w:ilvl="0" w:tplc="03ECEA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B67913"/>
    <w:multiLevelType w:val="hybridMultilevel"/>
    <w:tmpl w:val="88B04F98"/>
    <w:lvl w:ilvl="0" w:tplc="95B020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F517D"/>
    <w:multiLevelType w:val="hybridMultilevel"/>
    <w:tmpl w:val="C9487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C2ED4"/>
    <w:multiLevelType w:val="hybridMultilevel"/>
    <w:tmpl w:val="9CEC94E8"/>
    <w:lvl w:ilvl="0" w:tplc="1BA261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AE04A0"/>
    <w:multiLevelType w:val="hybridMultilevel"/>
    <w:tmpl w:val="8DF0A08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33D1E"/>
    <w:multiLevelType w:val="hybridMultilevel"/>
    <w:tmpl w:val="4C745660"/>
    <w:lvl w:ilvl="0" w:tplc="DCAEB9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C23F69"/>
    <w:multiLevelType w:val="hybridMultilevel"/>
    <w:tmpl w:val="31E80EAE"/>
    <w:lvl w:ilvl="0" w:tplc="0BD6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047FF"/>
    <w:multiLevelType w:val="hybridMultilevel"/>
    <w:tmpl w:val="88DE0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3F62D2"/>
    <w:multiLevelType w:val="hybridMultilevel"/>
    <w:tmpl w:val="5B2C3A4C"/>
    <w:lvl w:ilvl="0" w:tplc="D6E23ED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27"/>
  </w:num>
  <w:num w:numId="5">
    <w:abstractNumId w:val="5"/>
  </w:num>
  <w:num w:numId="6">
    <w:abstractNumId w:val="31"/>
  </w:num>
  <w:num w:numId="7">
    <w:abstractNumId w:val="3"/>
  </w:num>
  <w:num w:numId="8">
    <w:abstractNumId w:val="12"/>
  </w:num>
  <w:num w:numId="9">
    <w:abstractNumId w:val="16"/>
  </w:num>
  <w:num w:numId="10">
    <w:abstractNumId w:val="10"/>
  </w:num>
  <w:num w:numId="11">
    <w:abstractNumId w:val="33"/>
  </w:num>
  <w:num w:numId="12">
    <w:abstractNumId w:val="30"/>
  </w:num>
  <w:num w:numId="13">
    <w:abstractNumId w:val="28"/>
  </w:num>
  <w:num w:numId="14">
    <w:abstractNumId w:val="26"/>
  </w:num>
  <w:num w:numId="15">
    <w:abstractNumId w:val="34"/>
  </w:num>
  <w:num w:numId="16">
    <w:abstractNumId w:val="22"/>
  </w:num>
  <w:num w:numId="17">
    <w:abstractNumId w:val="1"/>
  </w:num>
  <w:num w:numId="18">
    <w:abstractNumId w:val="17"/>
  </w:num>
  <w:num w:numId="19">
    <w:abstractNumId w:val="36"/>
  </w:num>
  <w:num w:numId="20">
    <w:abstractNumId w:val="13"/>
  </w:num>
  <w:num w:numId="21">
    <w:abstractNumId w:val="4"/>
  </w:num>
  <w:num w:numId="22">
    <w:abstractNumId w:val="0"/>
  </w:num>
  <w:num w:numId="23">
    <w:abstractNumId w:val="9"/>
  </w:num>
  <w:num w:numId="24">
    <w:abstractNumId w:val="35"/>
  </w:num>
  <w:num w:numId="25">
    <w:abstractNumId w:val="14"/>
  </w:num>
  <w:num w:numId="26">
    <w:abstractNumId w:val="29"/>
  </w:num>
  <w:num w:numId="27">
    <w:abstractNumId w:val="25"/>
  </w:num>
  <w:num w:numId="28">
    <w:abstractNumId w:val="18"/>
  </w:num>
  <w:num w:numId="29">
    <w:abstractNumId w:val="15"/>
  </w:num>
  <w:num w:numId="30">
    <w:abstractNumId w:val="20"/>
  </w:num>
  <w:num w:numId="31">
    <w:abstractNumId w:val="21"/>
  </w:num>
  <w:num w:numId="32">
    <w:abstractNumId w:val="19"/>
  </w:num>
  <w:num w:numId="33">
    <w:abstractNumId w:val="11"/>
  </w:num>
  <w:num w:numId="34">
    <w:abstractNumId w:val="6"/>
  </w:num>
  <w:num w:numId="35">
    <w:abstractNumId w:val="32"/>
  </w:num>
  <w:num w:numId="36">
    <w:abstractNumId w:val="7"/>
  </w:num>
  <w:num w:numId="37">
    <w:abstractNumId w:val="24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C0"/>
    <w:rsid w:val="00012051"/>
    <w:rsid w:val="00015063"/>
    <w:rsid w:val="00023323"/>
    <w:rsid w:val="000444CF"/>
    <w:rsid w:val="00044A7F"/>
    <w:rsid w:val="00053DBA"/>
    <w:rsid w:val="0006552E"/>
    <w:rsid w:val="0007781E"/>
    <w:rsid w:val="00082876"/>
    <w:rsid w:val="0008773D"/>
    <w:rsid w:val="000B2AAA"/>
    <w:rsid w:val="000C034B"/>
    <w:rsid w:val="000D0F12"/>
    <w:rsid w:val="000D4FA4"/>
    <w:rsid w:val="000D6946"/>
    <w:rsid w:val="000E6598"/>
    <w:rsid w:val="000F4FCB"/>
    <w:rsid w:val="000F504B"/>
    <w:rsid w:val="00107079"/>
    <w:rsid w:val="00115B71"/>
    <w:rsid w:val="001210D4"/>
    <w:rsid w:val="00121D80"/>
    <w:rsid w:val="0012280E"/>
    <w:rsid w:val="001448C5"/>
    <w:rsid w:val="00145EAE"/>
    <w:rsid w:val="00162892"/>
    <w:rsid w:val="00164CDB"/>
    <w:rsid w:val="00187AE0"/>
    <w:rsid w:val="001B2C0D"/>
    <w:rsid w:val="001C3851"/>
    <w:rsid w:val="001C3B2D"/>
    <w:rsid w:val="001C6914"/>
    <w:rsid w:val="001C7759"/>
    <w:rsid w:val="001E3EC0"/>
    <w:rsid w:val="001E5712"/>
    <w:rsid w:val="001E70E2"/>
    <w:rsid w:val="001F6A1F"/>
    <w:rsid w:val="002050A9"/>
    <w:rsid w:val="00206AED"/>
    <w:rsid w:val="002211BB"/>
    <w:rsid w:val="00221BFC"/>
    <w:rsid w:val="00275BE5"/>
    <w:rsid w:val="002871E1"/>
    <w:rsid w:val="002A03FB"/>
    <w:rsid w:val="002B60F2"/>
    <w:rsid w:val="002B6921"/>
    <w:rsid w:val="002B6922"/>
    <w:rsid w:val="002D538F"/>
    <w:rsid w:val="002D53D8"/>
    <w:rsid w:val="002D7A68"/>
    <w:rsid w:val="002F0CE1"/>
    <w:rsid w:val="003133F4"/>
    <w:rsid w:val="00322C08"/>
    <w:rsid w:val="00325771"/>
    <w:rsid w:val="00332E4E"/>
    <w:rsid w:val="00337C06"/>
    <w:rsid w:val="00347C2F"/>
    <w:rsid w:val="00355770"/>
    <w:rsid w:val="003633A9"/>
    <w:rsid w:val="003635A3"/>
    <w:rsid w:val="00376EC8"/>
    <w:rsid w:val="00382E9A"/>
    <w:rsid w:val="0039144C"/>
    <w:rsid w:val="003A0A5A"/>
    <w:rsid w:val="003B0B56"/>
    <w:rsid w:val="003B4CEB"/>
    <w:rsid w:val="003B7926"/>
    <w:rsid w:val="003D5741"/>
    <w:rsid w:val="003F3D57"/>
    <w:rsid w:val="003F6895"/>
    <w:rsid w:val="0041383B"/>
    <w:rsid w:val="00421BE3"/>
    <w:rsid w:val="00442CBC"/>
    <w:rsid w:val="00463FEA"/>
    <w:rsid w:val="004644E8"/>
    <w:rsid w:val="00473B2C"/>
    <w:rsid w:val="00480936"/>
    <w:rsid w:val="00491D7C"/>
    <w:rsid w:val="004A4A3C"/>
    <w:rsid w:val="004B1B94"/>
    <w:rsid w:val="004D2B80"/>
    <w:rsid w:val="004E3DF6"/>
    <w:rsid w:val="00511B2B"/>
    <w:rsid w:val="00513CDA"/>
    <w:rsid w:val="00524048"/>
    <w:rsid w:val="00541326"/>
    <w:rsid w:val="00555B35"/>
    <w:rsid w:val="00565FDE"/>
    <w:rsid w:val="00580265"/>
    <w:rsid w:val="0058656B"/>
    <w:rsid w:val="00594548"/>
    <w:rsid w:val="00595F9D"/>
    <w:rsid w:val="005A7C47"/>
    <w:rsid w:val="005C2879"/>
    <w:rsid w:val="005C32CA"/>
    <w:rsid w:val="005C50E2"/>
    <w:rsid w:val="005D3536"/>
    <w:rsid w:val="005E0D82"/>
    <w:rsid w:val="005E58C0"/>
    <w:rsid w:val="005E718D"/>
    <w:rsid w:val="0061187C"/>
    <w:rsid w:val="00614324"/>
    <w:rsid w:val="0062547F"/>
    <w:rsid w:val="0064326E"/>
    <w:rsid w:val="00657C85"/>
    <w:rsid w:val="00660E69"/>
    <w:rsid w:val="006613A9"/>
    <w:rsid w:val="0066307B"/>
    <w:rsid w:val="00664A70"/>
    <w:rsid w:val="00664B3F"/>
    <w:rsid w:val="00690F02"/>
    <w:rsid w:val="00695F92"/>
    <w:rsid w:val="00696322"/>
    <w:rsid w:val="006B4D7C"/>
    <w:rsid w:val="006D1BE1"/>
    <w:rsid w:val="006D400C"/>
    <w:rsid w:val="006D4966"/>
    <w:rsid w:val="006D5434"/>
    <w:rsid w:val="006E642D"/>
    <w:rsid w:val="006F14AB"/>
    <w:rsid w:val="006F461A"/>
    <w:rsid w:val="006F6973"/>
    <w:rsid w:val="00702BBD"/>
    <w:rsid w:val="00703AF3"/>
    <w:rsid w:val="0071036F"/>
    <w:rsid w:val="00721194"/>
    <w:rsid w:val="00724FD5"/>
    <w:rsid w:val="007363A3"/>
    <w:rsid w:val="0075286F"/>
    <w:rsid w:val="00790272"/>
    <w:rsid w:val="00792693"/>
    <w:rsid w:val="0079491B"/>
    <w:rsid w:val="007A7A36"/>
    <w:rsid w:val="007C34A0"/>
    <w:rsid w:val="007C425E"/>
    <w:rsid w:val="007D1E70"/>
    <w:rsid w:val="007E0DD2"/>
    <w:rsid w:val="007F6EE5"/>
    <w:rsid w:val="007F7DF8"/>
    <w:rsid w:val="0080693F"/>
    <w:rsid w:val="00820157"/>
    <w:rsid w:val="00820D03"/>
    <w:rsid w:val="00847368"/>
    <w:rsid w:val="00855361"/>
    <w:rsid w:val="00857113"/>
    <w:rsid w:val="008705D2"/>
    <w:rsid w:val="00871C20"/>
    <w:rsid w:val="0088200F"/>
    <w:rsid w:val="00883EAF"/>
    <w:rsid w:val="00883FCB"/>
    <w:rsid w:val="008859E6"/>
    <w:rsid w:val="008A1F16"/>
    <w:rsid w:val="008C589B"/>
    <w:rsid w:val="008D11E7"/>
    <w:rsid w:val="008E5A72"/>
    <w:rsid w:val="008E6660"/>
    <w:rsid w:val="008F47FD"/>
    <w:rsid w:val="008F7F47"/>
    <w:rsid w:val="00904CEF"/>
    <w:rsid w:val="009173F8"/>
    <w:rsid w:val="009268B1"/>
    <w:rsid w:val="009318F2"/>
    <w:rsid w:val="0093517D"/>
    <w:rsid w:val="00943D1A"/>
    <w:rsid w:val="009764C9"/>
    <w:rsid w:val="00981514"/>
    <w:rsid w:val="00996786"/>
    <w:rsid w:val="009B2C53"/>
    <w:rsid w:val="009D0076"/>
    <w:rsid w:val="009E2202"/>
    <w:rsid w:val="009F407D"/>
    <w:rsid w:val="00A10D53"/>
    <w:rsid w:val="00A21EE0"/>
    <w:rsid w:val="00A26DB1"/>
    <w:rsid w:val="00A54E5D"/>
    <w:rsid w:val="00A61498"/>
    <w:rsid w:val="00A742C1"/>
    <w:rsid w:val="00A80370"/>
    <w:rsid w:val="00A92637"/>
    <w:rsid w:val="00A93BBF"/>
    <w:rsid w:val="00AA7C93"/>
    <w:rsid w:val="00AC142C"/>
    <w:rsid w:val="00AC3F85"/>
    <w:rsid w:val="00AC4988"/>
    <w:rsid w:val="00AC54AA"/>
    <w:rsid w:val="00AE2181"/>
    <w:rsid w:val="00AF1B7F"/>
    <w:rsid w:val="00AF5E75"/>
    <w:rsid w:val="00B05DCF"/>
    <w:rsid w:val="00B066B2"/>
    <w:rsid w:val="00B17827"/>
    <w:rsid w:val="00B20D97"/>
    <w:rsid w:val="00B227D6"/>
    <w:rsid w:val="00B33470"/>
    <w:rsid w:val="00B42213"/>
    <w:rsid w:val="00B749CA"/>
    <w:rsid w:val="00B76093"/>
    <w:rsid w:val="00B91363"/>
    <w:rsid w:val="00B9155A"/>
    <w:rsid w:val="00B94936"/>
    <w:rsid w:val="00BA3340"/>
    <w:rsid w:val="00BA5E0A"/>
    <w:rsid w:val="00BA7AB9"/>
    <w:rsid w:val="00BC3F0A"/>
    <w:rsid w:val="00BC6470"/>
    <w:rsid w:val="00BD1EF9"/>
    <w:rsid w:val="00BD3FD6"/>
    <w:rsid w:val="00BE1CC4"/>
    <w:rsid w:val="00BE666A"/>
    <w:rsid w:val="00C0093E"/>
    <w:rsid w:val="00C10165"/>
    <w:rsid w:val="00C10F95"/>
    <w:rsid w:val="00C11AFA"/>
    <w:rsid w:val="00C17370"/>
    <w:rsid w:val="00C23747"/>
    <w:rsid w:val="00C40F0E"/>
    <w:rsid w:val="00C66202"/>
    <w:rsid w:val="00C76ED5"/>
    <w:rsid w:val="00C9214E"/>
    <w:rsid w:val="00CA1A0A"/>
    <w:rsid w:val="00CB72F1"/>
    <w:rsid w:val="00CC50B9"/>
    <w:rsid w:val="00CE2048"/>
    <w:rsid w:val="00CE5FCB"/>
    <w:rsid w:val="00D05E80"/>
    <w:rsid w:val="00D1089D"/>
    <w:rsid w:val="00D1374E"/>
    <w:rsid w:val="00D21322"/>
    <w:rsid w:val="00D234ED"/>
    <w:rsid w:val="00D31BEB"/>
    <w:rsid w:val="00D31C20"/>
    <w:rsid w:val="00D32D0F"/>
    <w:rsid w:val="00D40784"/>
    <w:rsid w:val="00D56209"/>
    <w:rsid w:val="00D77C08"/>
    <w:rsid w:val="00D90CBB"/>
    <w:rsid w:val="00D9265A"/>
    <w:rsid w:val="00D96A6D"/>
    <w:rsid w:val="00DA045E"/>
    <w:rsid w:val="00DA5183"/>
    <w:rsid w:val="00DA5C5E"/>
    <w:rsid w:val="00DC5835"/>
    <w:rsid w:val="00DE4929"/>
    <w:rsid w:val="00DE78E0"/>
    <w:rsid w:val="00E0020E"/>
    <w:rsid w:val="00E011DF"/>
    <w:rsid w:val="00E021C0"/>
    <w:rsid w:val="00E0275B"/>
    <w:rsid w:val="00E0595E"/>
    <w:rsid w:val="00E21E3E"/>
    <w:rsid w:val="00E35BC9"/>
    <w:rsid w:val="00E512C7"/>
    <w:rsid w:val="00E5431C"/>
    <w:rsid w:val="00E55F6A"/>
    <w:rsid w:val="00E60B8A"/>
    <w:rsid w:val="00E745FA"/>
    <w:rsid w:val="00E760CE"/>
    <w:rsid w:val="00E81399"/>
    <w:rsid w:val="00E90E48"/>
    <w:rsid w:val="00E91FC4"/>
    <w:rsid w:val="00EA7200"/>
    <w:rsid w:val="00EA7C72"/>
    <w:rsid w:val="00EC3F27"/>
    <w:rsid w:val="00EC7531"/>
    <w:rsid w:val="00ED0D48"/>
    <w:rsid w:val="00EF3BF5"/>
    <w:rsid w:val="00EF6A7F"/>
    <w:rsid w:val="00F00162"/>
    <w:rsid w:val="00F119BF"/>
    <w:rsid w:val="00F1552A"/>
    <w:rsid w:val="00F22046"/>
    <w:rsid w:val="00F4303F"/>
    <w:rsid w:val="00F4394C"/>
    <w:rsid w:val="00F57CFD"/>
    <w:rsid w:val="00F626D8"/>
    <w:rsid w:val="00F7262A"/>
    <w:rsid w:val="00F76CF2"/>
    <w:rsid w:val="00F807F8"/>
    <w:rsid w:val="00F81469"/>
    <w:rsid w:val="00F825F0"/>
    <w:rsid w:val="00F872F5"/>
    <w:rsid w:val="00F92846"/>
    <w:rsid w:val="00F93BCF"/>
    <w:rsid w:val="00FA0830"/>
    <w:rsid w:val="00FA1D59"/>
    <w:rsid w:val="00FC7AD9"/>
    <w:rsid w:val="00FD5A78"/>
    <w:rsid w:val="00FD68D8"/>
    <w:rsid w:val="00FE3103"/>
    <w:rsid w:val="00FE3324"/>
    <w:rsid w:val="00FE4966"/>
    <w:rsid w:val="00FF197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3D7F2B-75A2-45C5-ABDE-60F987F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26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EC0"/>
    <w:rPr>
      <w:sz w:val="22"/>
      <w:szCs w:val="22"/>
    </w:rPr>
  </w:style>
  <w:style w:type="paragraph" w:styleId="Header">
    <w:name w:val="header"/>
    <w:basedOn w:val="Normal"/>
    <w:link w:val="Head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43D1A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943D1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87AE0"/>
    <w:pPr>
      <w:ind w:left="720"/>
    </w:pPr>
  </w:style>
  <w:style w:type="table" w:styleId="TableGrid">
    <w:name w:val="Table Grid"/>
    <w:basedOn w:val="TableNormal"/>
    <w:uiPriority w:val="59"/>
    <w:rsid w:val="00883F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B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5BE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5492</Words>
  <Characters>31308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cp:lastModifiedBy>dritantelhaj@gmail.com</cp:lastModifiedBy>
  <cp:revision>2</cp:revision>
  <cp:lastPrinted>2016-04-18T09:46:00Z</cp:lastPrinted>
  <dcterms:created xsi:type="dcterms:W3CDTF">2020-07-01T13:36:00Z</dcterms:created>
  <dcterms:modified xsi:type="dcterms:W3CDTF">2020-07-01T13:36:00Z</dcterms:modified>
</cp:coreProperties>
</file>