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F3" w:rsidRPr="00E91B0C" w:rsidRDefault="007E21F3" w:rsidP="00CA2C7A">
      <w:pPr>
        <w:pStyle w:val="NeniTitull"/>
        <w:rPr>
          <w:lang w:val="sq-AL"/>
        </w:rPr>
      </w:pPr>
      <w:bookmarkStart w:id="0" w:name="_GoBack"/>
      <w:bookmarkEnd w:id="0"/>
      <w:r w:rsidRPr="00E91B0C">
        <w:rPr>
          <w:lang w:val="sq-AL"/>
        </w:rPr>
        <w:t>SEKSIONI I PARË</w:t>
      </w:r>
    </w:p>
    <w:p w:rsidR="007E21F3" w:rsidRPr="008B2E1D" w:rsidRDefault="007E21F3" w:rsidP="00CA2C7A">
      <w:pPr>
        <w:pStyle w:val="NeniTitull"/>
        <w:rPr>
          <w:sz w:val="14"/>
          <w:szCs w:val="14"/>
          <w:lang w:val="sq-AL"/>
        </w:rPr>
      </w:pPr>
    </w:p>
    <w:p w:rsidR="007E21F3" w:rsidRPr="00E91B0C" w:rsidRDefault="007E21F3" w:rsidP="00CA2C7A">
      <w:pPr>
        <w:pStyle w:val="NeniTitull"/>
        <w:rPr>
          <w:lang w:val="sq-AL"/>
        </w:rPr>
      </w:pPr>
      <w:bookmarkStart w:id="1" w:name="_Toc501375608"/>
      <w:bookmarkStart w:id="2" w:name="_Toc520459318"/>
      <w:r w:rsidRPr="00E91B0C">
        <w:rPr>
          <w:lang w:val="sq-AL"/>
        </w:rPr>
        <w:t xml:space="preserve">ÇËSHTJA SHARXHI </w:t>
      </w:r>
      <w:bookmarkEnd w:id="1"/>
      <w:r w:rsidRPr="00E91B0C">
        <w:rPr>
          <w:lang w:val="sq-AL"/>
        </w:rPr>
        <w:t>DHE TË TJERËT KUNDËR SHQIPËRISË</w:t>
      </w:r>
      <w:bookmarkEnd w:id="2"/>
    </w:p>
    <w:p w:rsidR="007E21F3" w:rsidRPr="008B2E1D" w:rsidRDefault="007E21F3" w:rsidP="00CA2C7A">
      <w:pPr>
        <w:pStyle w:val="NeniTitull"/>
        <w:rPr>
          <w:sz w:val="14"/>
          <w:szCs w:val="14"/>
          <w:lang w:val="sq-AL"/>
        </w:rPr>
      </w:pPr>
    </w:p>
    <w:p w:rsidR="007E21F3" w:rsidRPr="00E91B0C" w:rsidRDefault="007E21F3" w:rsidP="00CA2C7A">
      <w:pPr>
        <w:pStyle w:val="NeniTitull"/>
        <w:rPr>
          <w:i/>
          <w:lang w:val="sq-AL"/>
        </w:rPr>
      </w:pPr>
      <w:r w:rsidRPr="00E91B0C">
        <w:rPr>
          <w:i/>
          <w:lang w:val="sq-AL"/>
        </w:rPr>
        <w:t>(Kërkesa nr. 10613/16)</w:t>
      </w:r>
    </w:p>
    <w:p w:rsidR="007E21F3" w:rsidRPr="008B2E1D" w:rsidRDefault="007E21F3" w:rsidP="00CA2C7A">
      <w:pPr>
        <w:pStyle w:val="NeniTitull"/>
        <w:rPr>
          <w:sz w:val="14"/>
          <w:szCs w:val="14"/>
          <w:lang w:val="sq-AL"/>
        </w:rPr>
      </w:pPr>
    </w:p>
    <w:p w:rsidR="007E21F3" w:rsidRPr="00E91B0C" w:rsidRDefault="007E21F3" w:rsidP="00CA2C7A">
      <w:pPr>
        <w:pStyle w:val="NeniTitull"/>
        <w:rPr>
          <w:lang w:val="sq-AL"/>
        </w:rPr>
      </w:pPr>
      <w:bookmarkStart w:id="3" w:name="_Toc520459319"/>
      <w:r w:rsidRPr="00E91B0C">
        <w:rPr>
          <w:lang w:val="sq-AL"/>
        </w:rPr>
        <w:t>VENDIM</w:t>
      </w:r>
      <w:bookmarkEnd w:id="3"/>
    </w:p>
    <w:p w:rsidR="007E21F3" w:rsidRPr="00E91B0C" w:rsidRDefault="007E21F3" w:rsidP="00CA2C7A">
      <w:pPr>
        <w:pStyle w:val="NeniTitull"/>
        <w:rPr>
          <w:lang w:val="sq-AL"/>
        </w:rPr>
      </w:pPr>
      <w:bookmarkStart w:id="4" w:name="_Toc501375610"/>
      <w:bookmarkStart w:id="5" w:name="_Toc520459320"/>
      <w:r w:rsidRPr="00E91B0C">
        <w:rPr>
          <w:lang w:val="sq-AL"/>
        </w:rPr>
        <w:t>STRASB</w:t>
      </w:r>
      <w:bookmarkEnd w:id="4"/>
      <w:r w:rsidRPr="00E91B0C">
        <w:rPr>
          <w:lang w:val="sq-AL"/>
        </w:rPr>
        <w:t>URG</w:t>
      </w:r>
      <w:bookmarkEnd w:id="5"/>
    </w:p>
    <w:p w:rsidR="007E21F3" w:rsidRPr="00E91B0C" w:rsidRDefault="007E21F3" w:rsidP="00CA2C7A">
      <w:pPr>
        <w:pStyle w:val="NeniTitull"/>
        <w:rPr>
          <w:lang w:val="sq-AL"/>
        </w:rPr>
      </w:pPr>
      <w:r w:rsidRPr="00E91B0C">
        <w:rPr>
          <w:lang w:val="sq-AL"/>
        </w:rPr>
        <w:t xml:space="preserve">11 </w:t>
      </w:r>
      <w:r w:rsidR="00FB26CE" w:rsidRPr="00E91B0C">
        <w:rPr>
          <w:lang w:val="sq-AL"/>
        </w:rPr>
        <w:t xml:space="preserve">janar </w:t>
      </w:r>
      <w:r w:rsidRPr="00E91B0C">
        <w:rPr>
          <w:lang w:val="sq-AL"/>
        </w:rPr>
        <w:t>2018</w:t>
      </w:r>
    </w:p>
    <w:p w:rsidR="007E21F3" w:rsidRPr="008B2E1D" w:rsidRDefault="007E21F3" w:rsidP="00CA2C7A">
      <w:pPr>
        <w:pStyle w:val="Paragrafi"/>
        <w:rPr>
          <w:sz w:val="14"/>
          <w:szCs w:val="14"/>
          <w:lang w:val="sq-AL"/>
        </w:rPr>
      </w:pPr>
    </w:p>
    <w:p w:rsidR="007E21F3" w:rsidRPr="00E91B0C" w:rsidRDefault="007E21F3" w:rsidP="00CA2C7A">
      <w:pPr>
        <w:pStyle w:val="NeniNr"/>
        <w:rPr>
          <w:lang w:val="sq-AL"/>
        </w:rPr>
      </w:pPr>
      <w:r w:rsidRPr="00E91B0C">
        <w:rPr>
          <w:lang w:val="sq-AL"/>
        </w:rPr>
        <w:t>I FORMËS SË PRERË</w:t>
      </w:r>
    </w:p>
    <w:p w:rsidR="007E21F3" w:rsidRPr="00E91B0C" w:rsidRDefault="007E21F3" w:rsidP="00CA2C7A">
      <w:pPr>
        <w:pStyle w:val="NeniNr"/>
        <w:rPr>
          <w:lang w:val="sq-AL"/>
        </w:rPr>
      </w:pPr>
      <w:r w:rsidRPr="00E91B0C">
        <w:rPr>
          <w:lang w:val="sq-AL"/>
        </w:rPr>
        <w:t>28</w:t>
      </w:r>
      <w:r w:rsidR="00FB26CE">
        <w:rPr>
          <w:lang w:val="sq-AL"/>
        </w:rPr>
        <w:t>.</w:t>
      </w:r>
      <w:r w:rsidRPr="00E91B0C">
        <w:rPr>
          <w:lang w:val="sq-AL"/>
        </w:rPr>
        <w:t>5</w:t>
      </w:r>
      <w:r w:rsidR="00FB26CE">
        <w:rPr>
          <w:lang w:val="sq-AL"/>
        </w:rPr>
        <w:t>.</w:t>
      </w:r>
      <w:r w:rsidRPr="00E91B0C">
        <w:rPr>
          <w:lang w:val="sq-AL"/>
        </w:rPr>
        <w:t>2018</w:t>
      </w:r>
    </w:p>
    <w:p w:rsidR="007E21F3" w:rsidRPr="008B2E1D" w:rsidRDefault="007E21F3" w:rsidP="00CA2C7A">
      <w:pPr>
        <w:pStyle w:val="NeniNr"/>
        <w:rPr>
          <w:sz w:val="14"/>
          <w:szCs w:val="14"/>
          <w:lang w:val="sq-AL"/>
        </w:rPr>
      </w:pPr>
    </w:p>
    <w:p w:rsidR="007E21F3" w:rsidRPr="00E91B0C" w:rsidRDefault="007E21F3" w:rsidP="00CA2C7A">
      <w:pPr>
        <w:pStyle w:val="Paragrafi"/>
        <w:rPr>
          <w:lang w:val="sq-AL"/>
        </w:rPr>
      </w:pPr>
      <w:r w:rsidRPr="00E91B0C">
        <w:rPr>
          <w:lang w:val="sq-AL"/>
        </w:rPr>
        <w:t>Ky vendim është bërë i form</w:t>
      </w:r>
      <w:r w:rsidR="00FB26CE">
        <w:rPr>
          <w:lang w:val="sq-AL"/>
        </w:rPr>
        <w:t>ës së prerë, bazuar në nenin 44</w:t>
      </w:r>
      <w:r w:rsidRPr="00E91B0C">
        <w:rPr>
          <w:lang w:val="sq-AL"/>
        </w:rPr>
        <w:t>§2 të Konventës. Ai mund t’i nënshtrohet rishikimit redaktues.</w:t>
      </w:r>
      <w:r w:rsidR="00E91B0C">
        <w:rPr>
          <w:lang w:val="sq-AL"/>
        </w:rPr>
        <w:t xml:space="preserve"> </w:t>
      </w:r>
    </w:p>
    <w:p w:rsidR="007E21F3" w:rsidRPr="008B2E1D" w:rsidRDefault="007E21F3" w:rsidP="00CA2C7A">
      <w:pPr>
        <w:pStyle w:val="Paragrafi"/>
        <w:rPr>
          <w:b/>
          <w:sz w:val="14"/>
          <w:szCs w:val="14"/>
          <w:lang w:val="sq-AL"/>
        </w:rPr>
      </w:pPr>
    </w:p>
    <w:p w:rsidR="00395112" w:rsidRPr="00E91B0C" w:rsidRDefault="00395112" w:rsidP="00395112">
      <w:pPr>
        <w:pStyle w:val="JuCase"/>
        <w:widowControl w:val="0"/>
        <w:rPr>
          <w:rFonts w:ascii="Garamond" w:hAnsi="Garamond"/>
          <w:bCs/>
          <w:szCs w:val="24"/>
          <w:lang w:val="sq-AL"/>
        </w:rPr>
      </w:pPr>
      <w:r w:rsidRPr="00E91B0C">
        <w:rPr>
          <w:rFonts w:ascii="Garamond" w:hAnsi="Garamond"/>
          <w:szCs w:val="24"/>
          <w:lang w:val="sq-AL"/>
        </w:rPr>
        <w:t xml:space="preserve">Në çështjen Sharxhi dhe </w:t>
      </w:r>
      <w:r w:rsidR="00FB26CE" w:rsidRPr="00E91B0C">
        <w:rPr>
          <w:rFonts w:ascii="Garamond" w:hAnsi="Garamond"/>
          <w:szCs w:val="24"/>
          <w:lang w:val="sq-AL"/>
        </w:rPr>
        <w:t xml:space="preserve">të </w:t>
      </w:r>
      <w:r w:rsidRPr="00E91B0C">
        <w:rPr>
          <w:rFonts w:ascii="Garamond" w:hAnsi="Garamond"/>
          <w:szCs w:val="24"/>
          <w:lang w:val="sq-AL"/>
        </w:rPr>
        <w:t>Tjerët kundër Shqipërisë,</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Gjykata E</w:t>
      </w:r>
      <w:r w:rsidR="00FB26CE">
        <w:rPr>
          <w:rFonts w:ascii="Garamond" w:hAnsi="Garamond"/>
          <w:szCs w:val="24"/>
          <w:lang w:val="sq-AL"/>
        </w:rPr>
        <w:t>v</w:t>
      </w:r>
      <w:r w:rsidRPr="00E91B0C">
        <w:rPr>
          <w:rFonts w:ascii="Garamond" w:hAnsi="Garamond"/>
          <w:szCs w:val="24"/>
          <w:lang w:val="sq-AL"/>
        </w:rPr>
        <w:t>ropiane e të Drejtave të Njeriut (</w:t>
      </w:r>
      <w:r w:rsidR="00FB26CE" w:rsidRPr="00E91B0C">
        <w:rPr>
          <w:rFonts w:ascii="Garamond" w:hAnsi="Garamond"/>
          <w:szCs w:val="24"/>
          <w:lang w:val="sq-AL"/>
        </w:rPr>
        <w:t xml:space="preserve">seksioni i parë), </w:t>
      </w:r>
      <w:r w:rsidRPr="00E91B0C">
        <w:rPr>
          <w:rFonts w:ascii="Garamond" w:hAnsi="Garamond"/>
          <w:szCs w:val="24"/>
          <w:lang w:val="sq-AL"/>
        </w:rPr>
        <w:t xml:space="preserve">e mbledhur si një </w:t>
      </w:r>
      <w:r w:rsidR="00FB26CE" w:rsidRPr="00E91B0C">
        <w:rPr>
          <w:rFonts w:ascii="Garamond" w:hAnsi="Garamond"/>
          <w:szCs w:val="24"/>
          <w:lang w:val="sq-AL"/>
        </w:rPr>
        <w:t xml:space="preserve">dhomë </w:t>
      </w:r>
      <w:r w:rsidRPr="00E91B0C">
        <w:rPr>
          <w:rFonts w:ascii="Garamond" w:hAnsi="Garamond"/>
          <w:szCs w:val="24"/>
          <w:lang w:val="sq-AL"/>
        </w:rPr>
        <w:t xml:space="preserve">e përbërë nga: </w:t>
      </w:r>
    </w:p>
    <w:p w:rsidR="006D1E3B" w:rsidRDefault="00395112" w:rsidP="00FB26CE">
      <w:pPr>
        <w:pStyle w:val="ECHRDecisionBody"/>
        <w:widowControl w:val="0"/>
        <w:ind w:firstLine="288"/>
        <w:rPr>
          <w:rFonts w:ascii="Garamond" w:hAnsi="Garamond"/>
          <w:i/>
          <w:szCs w:val="24"/>
          <w:lang w:val="sq-AL"/>
        </w:rPr>
      </w:pPr>
      <w:r w:rsidRPr="00E91B0C">
        <w:rPr>
          <w:rFonts w:ascii="Garamond" w:hAnsi="Garamond"/>
          <w:szCs w:val="24"/>
          <w:lang w:val="sq-AL"/>
        </w:rPr>
        <w:t>Linos-Alexandre Sicilianos,</w:t>
      </w:r>
      <w:r w:rsidRPr="00E91B0C">
        <w:rPr>
          <w:rFonts w:ascii="Garamond" w:hAnsi="Garamond"/>
          <w:i/>
          <w:szCs w:val="24"/>
          <w:lang w:val="sq-AL"/>
        </w:rPr>
        <w:t xml:space="preserve"> </w:t>
      </w:r>
      <w:r w:rsidR="00FB26CE" w:rsidRPr="00E91B0C">
        <w:rPr>
          <w:rFonts w:ascii="Garamond" w:hAnsi="Garamond"/>
          <w:i/>
          <w:szCs w:val="24"/>
          <w:lang w:val="sq-AL"/>
        </w:rPr>
        <w:t>kryetar</w:t>
      </w:r>
      <w:r w:rsidR="006D1E3B">
        <w:rPr>
          <w:rFonts w:ascii="Garamond" w:hAnsi="Garamond"/>
          <w:i/>
          <w:szCs w:val="24"/>
          <w:lang w:val="sq-AL"/>
        </w:rPr>
        <w:t>,</w:t>
      </w:r>
    </w:p>
    <w:p w:rsidR="006D1E3B" w:rsidRDefault="00395112" w:rsidP="00FB26CE">
      <w:pPr>
        <w:pStyle w:val="ECHRDecisionBody"/>
        <w:widowControl w:val="0"/>
        <w:ind w:firstLine="288"/>
        <w:rPr>
          <w:rFonts w:ascii="Garamond" w:hAnsi="Garamond"/>
          <w:i/>
          <w:szCs w:val="24"/>
          <w:lang w:val="sq-AL"/>
        </w:rPr>
      </w:pPr>
      <w:r w:rsidRPr="00E91B0C">
        <w:rPr>
          <w:rFonts w:ascii="Garamond" w:hAnsi="Garamond"/>
          <w:szCs w:val="24"/>
          <w:lang w:val="sq-AL"/>
        </w:rPr>
        <w:t>Kristina Pardalos</w:t>
      </w:r>
      <w:r w:rsidR="00CB07DC">
        <w:rPr>
          <w:rFonts w:ascii="Garamond" w:hAnsi="Garamond"/>
          <w:szCs w:val="24"/>
          <w:lang w:val="sq-AL"/>
        </w:rPr>
        <w:t>;</w:t>
      </w:r>
    </w:p>
    <w:p w:rsidR="006D1E3B" w:rsidRDefault="00395112" w:rsidP="006D1E3B">
      <w:pPr>
        <w:pStyle w:val="ECHRDecisionBody"/>
        <w:widowControl w:val="0"/>
        <w:ind w:firstLine="288"/>
        <w:rPr>
          <w:rFonts w:ascii="Garamond" w:hAnsi="Garamond"/>
          <w:i/>
          <w:szCs w:val="24"/>
          <w:lang w:val="sq-AL"/>
        </w:rPr>
      </w:pPr>
      <w:r w:rsidRPr="00E91B0C">
        <w:rPr>
          <w:rFonts w:ascii="Garamond" w:hAnsi="Garamond"/>
          <w:szCs w:val="24"/>
          <w:lang w:val="sq-AL"/>
        </w:rPr>
        <w:t>Ledi Bianku</w:t>
      </w:r>
      <w:r w:rsidR="00CB07DC">
        <w:rPr>
          <w:rFonts w:ascii="Garamond" w:hAnsi="Garamond"/>
          <w:szCs w:val="24"/>
          <w:lang w:val="sq-AL"/>
        </w:rPr>
        <w:t>;</w:t>
      </w:r>
    </w:p>
    <w:p w:rsidR="006D1E3B" w:rsidRDefault="00395112" w:rsidP="006D1E3B">
      <w:pPr>
        <w:pStyle w:val="ECHRDecisionBody"/>
        <w:widowControl w:val="0"/>
        <w:ind w:firstLine="288"/>
        <w:rPr>
          <w:rFonts w:ascii="Garamond" w:hAnsi="Garamond"/>
          <w:i/>
          <w:szCs w:val="24"/>
          <w:lang w:val="sq-AL"/>
        </w:rPr>
      </w:pPr>
      <w:r w:rsidRPr="00E91B0C">
        <w:rPr>
          <w:rFonts w:ascii="Garamond" w:hAnsi="Garamond"/>
          <w:szCs w:val="24"/>
          <w:lang w:val="sq-AL"/>
        </w:rPr>
        <w:t>Aleš Pejchal</w:t>
      </w:r>
      <w:r w:rsidR="00CB07DC">
        <w:rPr>
          <w:rFonts w:ascii="Garamond" w:hAnsi="Garamond"/>
          <w:szCs w:val="24"/>
          <w:lang w:val="sq-AL"/>
        </w:rPr>
        <w:t>;</w:t>
      </w:r>
    </w:p>
    <w:p w:rsidR="006D1E3B" w:rsidRDefault="00395112" w:rsidP="006D1E3B">
      <w:pPr>
        <w:pStyle w:val="ECHRDecisionBody"/>
        <w:widowControl w:val="0"/>
        <w:ind w:firstLine="288"/>
        <w:rPr>
          <w:rFonts w:ascii="Garamond" w:hAnsi="Garamond"/>
          <w:i/>
          <w:szCs w:val="24"/>
          <w:lang w:val="sq-AL"/>
        </w:rPr>
      </w:pPr>
      <w:r w:rsidRPr="00E91B0C">
        <w:rPr>
          <w:rFonts w:ascii="Garamond" w:hAnsi="Garamond"/>
          <w:szCs w:val="24"/>
          <w:lang w:val="sq-AL"/>
        </w:rPr>
        <w:t>Armen Harutyunyan</w:t>
      </w:r>
      <w:r w:rsidR="00CB07DC">
        <w:rPr>
          <w:rFonts w:ascii="Garamond" w:hAnsi="Garamond"/>
          <w:szCs w:val="24"/>
          <w:lang w:val="sq-AL"/>
        </w:rPr>
        <w:t>;</w:t>
      </w:r>
    </w:p>
    <w:p w:rsidR="006D1E3B" w:rsidRDefault="00395112" w:rsidP="006D1E3B">
      <w:pPr>
        <w:pStyle w:val="ECHRDecisionBody"/>
        <w:widowControl w:val="0"/>
        <w:ind w:firstLine="288"/>
        <w:rPr>
          <w:rFonts w:ascii="Garamond" w:hAnsi="Garamond"/>
          <w:i/>
          <w:szCs w:val="24"/>
          <w:lang w:val="sq-AL"/>
        </w:rPr>
      </w:pPr>
      <w:r w:rsidRPr="00E91B0C">
        <w:rPr>
          <w:rFonts w:ascii="Garamond" w:hAnsi="Garamond"/>
          <w:szCs w:val="24"/>
          <w:lang w:val="sq-AL"/>
        </w:rPr>
        <w:t>Pauliine Koskelo</w:t>
      </w:r>
      <w:r w:rsidR="00CB07DC">
        <w:rPr>
          <w:rFonts w:ascii="Garamond" w:hAnsi="Garamond"/>
          <w:szCs w:val="24"/>
          <w:lang w:val="sq-AL"/>
        </w:rPr>
        <w:t>;</w:t>
      </w:r>
    </w:p>
    <w:p w:rsidR="00FB26CE" w:rsidRPr="006D1E3B" w:rsidRDefault="00395112" w:rsidP="006D1E3B">
      <w:pPr>
        <w:pStyle w:val="ECHRDecisionBody"/>
        <w:widowControl w:val="0"/>
        <w:ind w:firstLine="288"/>
        <w:rPr>
          <w:rFonts w:ascii="Garamond" w:hAnsi="Garamond"/>
          <w:szCs w:val="24"/>
          <w:lang w:val="sq-AL"/>
        </w:rPr>
      </w:pPr>
      <w:r w:rsidRPr="00E91B0C">
        <w:rPr>
          <w:rFonts w:ascii="Garamond" w:hAnsi="Garamond"/>
          <w:szCs w:val="24"/>
          <w:lang w:val="sq-AL"/>
        </w:rPr>
        <w:t>Tim Eicke,</w:t>
      </w:r>
      <w:r w:rsidRPr="00E91B0C">
        <w:rPr>
          <w:rFonts w:ascii="Garamond" w:hAnsi="Garamond"/>
          <w:i/>
          <w:szCs w:val="24"/>
          <w:lang w:val="sq-AL"/>
        </w:rPr>
        <w:t xml:space="preserve"> gjyqtarë,</w:t>
      </w:r>
    </w:p>
    <w:p w:rsidR="00395112" w:rsidRPr="00E91B0C" w:rsidRDefault="00395112" w:rsidP="00FB26CE">
      <w:pPr>
        <w:pStyle w:val="ECHRDecisionBody"/>
        <w:widowControl w:val="0"/>
        <w:ind w:firstLine="288"/>
        <w:rPr>
          <w:rFonts w:ascii="Garamond" w:hAnsi="Garamond"/>
          <w:szCs w:val="24"/>
          <w:lang w:val="sq-AL"/>
        </w:rPr>
      </w:pPr>
      <w:r w:rsidRPr="00E91B0C">
        <w:rPr>
          <w:rFonts w:ascii="Garamond" w:hAnsi="Garamond"/>
          <w:szCs w:val="24"/>
          <w:lang w:val="sq-AL"/>
        </w:rPr>
        <w:t xml:space="preserve">dhe Abel Campos, </w:t>
      </w:r>
      <w:r w:rsidR="00FE3CB3" w:rsidRPr="00E91B0C">
        <w:rPr>
          <w:rFonts w:ascii="Garamond" w:hAnsi="Garamond"/>
          <w:i/>
          <w:szCs w:val="24"/>
          <w:lang w:val="sq-AL"/>
        </w:rPr>
        <w:t>regjistrar i seksionit,</w:t>
      </w:r>
    </w:p>
    <w:p w:rsidR="00395112" w:rsidRPr="00E91B0C" w:rsidRDefault="00FE3CB3" w:rsidP="00395112">
      <w:pPr>
        <w:pStyle w:val="JuPara"/>
        <w:widowControl w:val="0"/>
        <w:rPr>
          <w:rFonts w:ascii="Garamond" w:hAnsi="Garamond"/>
          <w:szCs w:val="24"/>
          <w:lang w:val="sq-AL"/>
        </w:rPr>
      </w:pPr>
      <w:r w:rsidRPr="00E91B0C">
        <w:rPr>
          <w:rFonts w:ascii="Garamond" w:hAnsi="Garamond"/>
          <w:szCs w:val="24"/>
          <w:lang w:val="sq-AL"/>
        </w:rPr>
        <w:t xml:space="preserve">pasi </w:t>
      </w:r>
      <w:r w:rsidR="00395112" w:rsidRPr="00E91B0C">
        <w:rPr>
          <w:rFonts w:ascii="Garamond" w:hAnsi="Garamond"/>
          <w:szCs w:val="24"/>
          <w:lang w:val="sq-AL"/>
        </w:rPr>
        <w:t xml:space="preserve">ka diskutuar me dyer të mbyllura më 23 </w:t>
      </w:r>
      <w:r w:rsidRPr="00E91B0C">
        <w:rPr>
          <w:rFonts w:ascii="Garamond" w:hAnsi="Garamond"/>
          <w:szCs w:val="24"/>
          <w:lang w:val="sq-AL"/>
        </w:rPr>
        <w:t xml:space="preserve">maj </w:t>
      </w:r>
      <w:r w:rsidR="00395112" w:rsidRPr="00E91B0C">
        <w:rPr>
          <w:rFonts w:ascii="Garamond" w:hAnsi="Garamond"/>
          <w:szCs w:val="24"/>
          <w:lang w:val="sq-AL"/>
        </w:rPr>
        <w:t xml:space="preserve">dhe 5 </w:t>
      </w:r>
      <w:r w:rsidRPr="00E91B0C">
        <w:rPr>
          <w:rFonts w:ascii="Garamond" w:hAnsi="Garamond"/>
          <w:szCs w:val="24"/>
          <w:lang w:val="sq-AL"/>
        </w:rPr>
        <w:t xml:space="preserve">dhjetor </w:t>
      </w:r>
      <w:r w:rsidR="00395112" w:rsidRPr="00E91B0C">
        <w:rPr>
          <w:rFonts w:ascii="Garamond" w:hAnsi="Garamond"/>
          <w:szCs w:val="24"/>
          <w:lang w:val="sq-AL"/>
        </w:rPr>
        <w:t xml:space="preserve">2017, </w:t>
      </w:r>
    </w:p>
    <w:p w:rsidR="00395112" w:rsidRPr="00E91B0C" w:rsidRDefault="00FE3CB3" w:rsidP="00395112">
      <w:pPr>
        <w:pStyle w:val="JuPara"/>
        <w:widowControl w:val="0"/>
        <w:rPr>
          <w:rFonts w:ascii="Garamond" w:hAnsi="Garamond"/>
          <w:szCs w:val="24"/>
          <w:lang w:val="sq-AL"/>
        </w:rPr>
      </w:pPr>
      <w:r w:rsidRPr="00E91B0C">
        <w:rPr>
          <w:rFonts w:ascii="Garamond" w:hAnsi="Garamond"/>
          <w:szCs w:val="24"/>
          <w:lang w:val="sq-AL"/>
        </w:rPr>
        <w:t xml:space="preserve">shpall </w:t>
      </w:r>
      <w:r w:rsidR="00395112" w:rsidRPr="00E91B0C">
        <w:rPr>
          <w:rFonts w:ascii="Garamond" w:hAnsi="Garamond"/>
          <w:szCs w:val="24"/>
          <w:lang w:val="sq-AL"/>
        </w:rPr>
        <w:t xml:space="preserve">vendimin e mëposhtëm, i cili u miratua në datën e </w:t>
      </w:r>
      <w:r w:rsidR="007E6372">
        <w:rPr>
          <w:rFonts w:ascii="Garamond" w:hAnsi="Garamond"/>
          <w:szCs w:val="24"/>
          <w:lang w:val="sq-AL"/>
        </w:rPr>
        <w:t>fundit</w:t>
      </w:r>
      <w:r w:rsidR="00395112" w:rsidRPr="00E91B0C">
        <w:rPr>
          <w:rFonts w:ascii="Garamond" w:hAnsi="Garamond"/>
          <w:szCs w:val="24"/>
          <w:lang w:val="sq-AL"/>
        </w:rPr>
        <w:t xml:space="preserve"> përmendur më sipër: </w:t>
      </w:r>
    </w:p>
    <w:p w:rsidR="00395112" w:rsidRPr="00E91B0C" w:rsidRDefault="00395112" w:rsidP="00395112">
      <w:pPr>
        <w:pStyle w:val="ECHRTitle1"/>
        <w:keepNext w:val="0"/>
        <w:keepLines w:val="0"/>
        <w:widowControl w:val="0"/>
        <w:spacing w:before="0" w:after="0"/>
        <w:ind w:firstLine="284"/>
        <w:rPr>
          <w:rFonts w:ascii="Garamond" w:hAnsi="Garamond"/>
          <w:sz w:val="24"/>
          <w:szCs w:val="24"/>
          <w:lang w:val="sq-AL"/>
        </w:rPr>
      </w:pPr>
      <w:bookmarkStart w:id="6" w:name="_Toc520459321"/>
      <w:r w:rsidRPr="00E91B0C">
        <w:rPr>
          <w:rFonts w:ascii="Garamond" w:hAnsi="Garamond"/>
          <w:sz w:val="24"/>
          <w:szCs w:val="24"/>
          <w:lang w:val="sq-AL"/>
        </w:rPr>
        <w:t>PROCEDURA</w:t>
      </w:r>
      <w:bookmarkEnd w:id="6"/>
    </w:p>
    <w:p w:rsidR="00395112" w:rsidRPr="00E91B0C" w:rsidRDefault="00BF6761" w:rsidP="00395112">
      <w:pPr>
        <w:pStyle w:val="JuPara"/>
        <w:widowControl w:val="0"/>
        <w:rPr>
          <w:rFonts w:ascii="Garamond" w:hAnsi="Garamond"/>
          <w:szCs w:val="24"/>
          <w:lang w:val="sq-AL"/>
        </w:rPr>
      </w:pPr>
      <w:r w:rsidRPr="00E91B0C">
        <w:rPr>
          <w:rFonts w:ascii="Garamond" w:hAnsi="Garamond"/>
          <w:szCs w:val="24"/>
          <w:lang w:val="sq-AL"/>
        </w:rPr>
        <w:fldChar w:fldCharType="begin"/>
      </w:r>
      <w:r w:rsidR="00395112" w:rsidRPr="00E91B0C">
        <w:rPr>
          <w:rFonts w:ascii="Garamond" w:hAnsi="Garamond"/>
          <w:szCs w:val="24"/>
          <w:lang w:val="sq-AL"/>
        </w:rPr>
        <w:instrText xml:space="preserve"> SEQ level0 \*arabic </w:instrText>
      </w:r>
      <w:r w:rsidRPr="00E91B0C">
        <w:rPr>
          <w:rFonts w:ascii="Garamond" w:hAnsi="Garamond"/>
          <w:szCs w:val="24"/>
          <w:lang w:val="sq-AL"/>
        </w:rPr>
        <w:fldChar w:fldCharType="separate"/>
      </w:r>
      <w:r w:rsidR="00AA11B0">
        <w:rPr>
          <w:rFonts w:ascii="Garamond" w:hAnsi="Garamond"/>
          <w:noProof/>
          <w:szCs w:val="24"/>
          <w:lang w:val="sq-AL"/>
        </w:rPr>
        <w:t>1</w:t>
      </w:r>
      <w:r w:rsidRPr="00E91B0C">
        <w:rPr>
          <w:rFonts w:ascii="Garamond" w:hAnsi="Garamond"/>
          <w:szCs w:val="24"/>
          <w:lang w:val="sq-AL"/>
        </w:rPr>
        <w:fldChar w:fldCharType="end"/>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Çështja ka filluar me një kërkesë (nr. 10613/16) kundër Republikës së Shqipërisë, dorëzuar në Gjykatë</w:t>
      </w:r>
      <w:r w:rsidR="007E6372">
        <w:rPr>
          <w:rFonts w:ascii="Garamond" w:hAnsi="Garamond"/>
          <w:szCs w:val="24"/>
          <w:lang w:val="sq-AL"/>
        </w:rPr>
        <w:t>,</w:t>
      </w:r>
      <w:r w:rsidR="00395112" w:rsidRPr="00E91B0C">
        <w:rPr>
          <w:rFonts w:ascii="Garamond" w:hAnsi="Garamond"/>
          <w:szCs w:val="24"/>
          <w:lang w:val="sq-AL"/>
        </w:rPr>
        <w:t xml:space="preserve"> sipas </w:t>
      </w:r>
      <w:r w:rsidR="00FE3CB3" w:rsidRPr="00E91B0C">
        <w:rPr>
          <w:rFonts w:ascii="Garamond" w:hAnsi="Garamond"/>
          <w:szCs w:val="24"/>
          <w:lang w:val="sq-AL"/>
        </w:rPr>
        <w:t xml:space="preserve">nenit </w:t>
      </w:r>
      <w:r w:rsidR="00395112" w:rsidRPr="00E91B0C">
        <w:rPr>
          <w:rFonts w:ascii="Garamond" w:hAnsi="Garamond"/>
          <w:szCs w:val="24"/>
          <w:lang w:val="sq-AL"/>
        </w:rPr>
        <w:t>34 të Konventës për Mbrojtjen e të Drejtave të Njeriut dhe Lirive Themelore (Konventa), nga tetëmbëdhjet</w:t>
      </w:r>
      <w:r w:rsidR="00FE3CB3">
        <w:rPr>
          <w:rFonts w:ascii="Garamond" w:hAnsi="Garamond"/>
          <w:szCs w:val="24"/>
          <w:lang w:val="sq-AL"/>
        </w:rPr>
        <w:t>ë</w:t>
      </w:r>
      <w:r w:rsidR="00395112" w:rsidRPr="00E91B0C">
        <w:rPr>
          <w:rFonts w:ascii="Garamond" w:hAnsi="Garamond"/>
          <w:szCs w:val="24"/>
          <w:lang w:val="sq-AL"/>
        </w:rPr>
        <w:t xml:space="preserve"> shtetas shqiptarë dhe një shtetas </w:t>
      </w:r>
      <w:r w:rsidR="00FE3CB3" w:rsidRPr="00E91B0C">
        <w:rPr>
          <w:rFonts w:ascii="Garamond" w:hAnsi="Garamond"/>
          <w:szCs w:val="24"/>
          <w:lang w:val="sq-AL"/>
        </w:rPr>
        <w:t>italian</w:t>
      </w:r>
      <w:r w:rsidR="00395112" w:rsidRPr="00E91B0C">
        <w:rPr>
          <w:rFonts w:ascii="Garamond" w:hAnsi="Garamond"/>
          <w:szCs w:val="24"/>
          <w:lang w:val="sq-AL"/>
        </w:rPr>
        <w:t xml:space="preserve">, më 19 shkurt 2016. Detajet e kërkuesve paraqiten në tabelën bashkëngjitur.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2. Kërkuesit u përfaqësuan nga </w:t>
      </w:r>
      <w:r w:rsidR="00FE3CB3">
        <w:rPr>
          <w:rFonts w:ascii="Garamond" w:hAnsi="Garamond"/>
          <w:szCs w:val="24"/>
          <w:lang w:val="sq-AL"/>
        </w:rPr>
        <w:t>z</w:t>
      </w:r>
      <w:r w:rsidRPr="00E91B0C">
        <w:rPr>
          <w:rFonts w:ascii="Garamond" w:hAnsi="Garamond"/>
          <w:szCs w:val="24"/>
          <w:lang w:val="sq-AL"/>
        </w:rPr>
        <w:t>. A. Saccucci, avokat i cili ushtron profesion</w:t>
      </w:r>
      <w:r w:rsidR="00FE3CB3">
        <w:rPr>
          <w:rFonts w:ascii="Garamond" w:hAnsi="Garamond"/>
          <w:szCs w:val="24"/>
          <w:lang w:val="sq-AL"/>
        </w:rPr>
        <w:t>in në Romë. Qeveria shqiptare (</w:t>
      </w:r>
      <w:r w:rsidR="0018461E">
        <w:rPr>
          <w:rFonts w:ascii="Garamond" w:hAnsi="Garamond"/>
          <w:szCs w:val="24"/>
          <w:lang w:val="sq-AL"/>
        </w:rPr>
        <w:t>q</w:t>
      </w:r>
      <w:r w:rsidR="00FE3CB3">
        <w:rPr>
          <w:rFonts w:ascii="Garamond" w:hAnsi="Garamond"/>
          <w:szCs w:val="24"/>
          <w:lang w:val="sq-AL"/>
        </w:rPr>
        <w:t>everia</w:t>
      </w:r>
      <w:r w:rsidRPr="00E91B0C">
        <w:rPr>
          <w:rFonts w:ascii="Garamond" w:hAnsi="Garamond"/>
          <w:szCs w:val="24"/>
          <w:lang w:val="sq-AL"/>
        </w:rPr>
        <w:t xml:space="preserve">) përfaqësohej nga </w:t>
      </w:r>
      <w:r w:rsidR="00FE3CB3" w:rsidRPr="00E91B0C">
        <w:rPr>
          <w:rFonts w:ascii="Garamond" w:hAnsi="Garamond"/>
          <w:szCs w:val="24"/>
          <w:lang w:val="sq-AL"/>
        </w:rPr>
        <w:t xml:space="preserve">agjentja </w:t>
      </w:r>
      <w:r w:rsidRPr="00E91B0C">
        <w:rPr>
          <w:rFonts w:ascii="Garamond" w:hAnsi="Garamond"/>
          <w:szCs w:val="24"/>
          <w:lang w:val="sq-AL"/>
        </w:rPr>
        <w:t xml:space="preserve">e saj, </w:t>
      </w:r>
      <w:r w:rsidR="00FE3CB3" w:rsidRPr="00E91B0C">
        <w:rPr>
          <w:rFonts w:ascii="Garamond" w:hAnsi="Garamond"/>
          <w:szCs w:val="24"/>
          <w:lang w:val="sq-AL"/>
        </w:rPr>
        <w:t>z</w:t>
      </w:r>
      <w:r w:rsidR="00FE3CB3">
        <w:rPr>
          <w:rFonts w:ascii="Garamond" w:hAnsi="Garamond"/>
          <w:szCs w:val="24"/>
          <w:lang w:val="sq-AL"/>
        </w:rPr>
        <w:t>n</w:t>
      </w:r>
      <w:r w:rsidR="00FE3CB3" w:rsidRPr="00E91B0C">
        <w:rPr>
          <w:rFonts w:ascii="Garamond" w:hAnsi="Garamond"/>
          <w:szCs w:val="24"/>
          <w:lang w:val="sq-AL"/>
        </w:rPr>
        <w:t>j</w:t>
      </w:r>
      <w:r w:rsidRPr="00E91B0C">
        <w:rPr>
          <w:rFonts w:ascii="Garamond" w:hAnsi="Garamond"/>
          <w:szCs w:val="24"/>
          <w:lang w:val="sq-AL"/>
        </w:rPr>
        <w:t xml:space="preserve">. A. Hicka nga Zyra e Avokatit të Shtetit.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3. Kërkuesit pretendonin</w:t>
      </w:r>
      <w:r w:rsidR="00FE3CB3">
        <w:rPr>
          <w:rFonts w:ascii="Garamond" w:hAnsi="Garamond"/>
          <w:szCs w:val="24"/>
          <w:lang w:val="sq-AL"/>
        </w:rPr>
        <w:t>,</w:t>
      </w:r>
      <w:r w:rsidRPr="00E91B0C">
        <w:rPr>
          <w:rFonts w:ascii="Garamond" w:hAnsi="Garamond"/>
          <w:szCs w:val="24"/>
          <w:lang w:val="sq-AL"/>
        </w:rPr>
        <w:t xml:space="preserve"> se, si pasojë e neglizhencës së autoriteteve ndaj një vendimi të gjykatës administrative, ishte shkelur </w:t>
      </w:r>
      <w:r w:rsidR="00FE3CB3" w:rsidRPr="00E91B0C">
        <w:rPr>
          <w:rFonts w:ascii="Garamond" w:hAnsi="Garamond"/>
          <w:szCs w:val="24"/>
          <w:lang w:val="sq-AL"/>
        </w:rPr>
        <w:t xml:space="preserve">neni </w:t>
      </w:r>
      <w:r w:rsidRPr="00E91B0C">
        <w:rPr>
          <w:rFonts w:ascii="Garamond" w:hAnsi="Garamond"/>
          <w:szCs w:val="24"/>
          <w:lang w:val="sq-AL"/>
        </w:rPr>
        <w:t xml:space="preserve">6§1 i Konventës. Gjithashtu, sipas </w:t>
      </w:r>
      <w:r w:rsidR="00FE3CB3" w:rsidRPr="00E91B0C">
        <w:rPr>
          <w:rFonts w:ascii="Garamond" w:hAnsi="Garamond"/>
          <w:szCs w:val="24"/>
          <w:lang w:val="sq-AL"/>
        </w:rPr>
        <w:t xml:space="preserve">nenit </w:t>
      </w:r>
      <w:r w:rsidRPr="00E91B0C">
        <w:rPr>
          <w:rFonts w:ascii="Garamond" w:hAnsi="Garamond"/>
          <w:szCs w:val="24"/>
          <w:lang w:val="sq-AL"/>
        </w:rPr>
        <w:t xml:space="preserve">1 të </w:t>
      </w:r>
      <w:r w:rsidR="00FE3CB3" w:rsidRPr="00E91B0C">
        <w:rPr>
          <w:rFonts w:ascii="Garamond" w:hAnsi="Garamond"/>
          <w:szCs w:val="24"/>
          <w:lang w:val="sq-AL"/>
        </w:rPr>
        <w:t>protokollit nr</w:t>
      </w:r>
      <w:r w:rsidRPr="00E91B0C">
        <w:rPr>
          <w:rFonts w:ascii="Garamond" w:hAnsi="Garamond"/>
          <w:szCs w:val="24"/>
          <w:lang w:val="sq-AL"/>
        </w:rPr>
        <w:t xml:space="preserve">. 1 të Konventës, ata u ankuan për një ndërhyrje në gëzimin e qetë të pasurive të tyre dhe bazuar në </w:t>
      </w:r>
      <w:r w:rsidR="00FE3CB3" w:rsidRPr="00E91B0C">
        <w:rPr>
          <w:rFonts w:ascii="Garamond" w:hAnsi="Garamond"/>
          <w:szCs w:val="24"/>
          <w:lang w:val="sq-AL"/>
        </w:rPr>
        <w:t xml:space="preserve">nenin </w:t>
      </w:r>
      <w:r w:rsidRPr="00E91B0C">
        <w:rPr>
          <w:rFonts w:ascii="Garamond" w:hAnsi="Garamond"/>
          <w:szCs w:val="24"/>
          <w:lang w:val="sq-AL"/>
        </w:rPr>
        <w:t xml:space="preserve">8 të Konventës, u ankuan për një ndërhyrje në të drejtën e tyre për respektimin e banesave të tyre. Në vijim, ata u ankuan mbështetur në </w:t>
      </w:r>
      <w:r w:rsidR="00FE3CB3" w:rsidRPr="00E91B0C">
        <w:rPr>
          <w:rFonts w:ascii="Garamond" w:hAnsi="Garamond"/>
          <w:szCs w:val="24"/>
          <w:lang w:val="sq-AL"/>
        </w:rPr>
        <w:t xml:space="preserve">nenin </w:t>
      </w:r>
      <w:r w:rsidRPr="00E91B0C">
        <w:rPr>
          <w:rFonts w:ascii="Garamond" w:hAnsi="Garamond"/>
          <w:szCs w:val="24"/>
          <w:lang w:val="sq-AL"/>
        </w:rPr>
        <w:t xml:space="preserve">13 të Konventës, për mungesën e një mjeti efikas të brendshëm për kërkesat e mësipërme, sipas parashikimeve të </w:t>
      </w:r>
      <w:r w:rsidR="00FE3CB3" w:rsidRPr="00E91B0C">
        <w:rPr>
          <w:rFonts w:ascii="Garamond" w:hAnsi="Garamond"/>
          <w:szCs w:val="24"/>
          <w:lang w:val="sq-AL"/>
        </w:rPr>
        <w:t xml:space="preserve">nenit </w:t>
      </w:r>
      <w:r w:rsidRPr="00E91B0C">
        <w:rPr>
          <w:rFonts w:ascii="Garamond" w:hAnsi="Garamond"/>
          <w:szCs w:val="24"/>
          <w:lang w:val="sq-AL"/>
        </w:rPr>
        <w:t>13 të Konventës.</w:t>
      </w:r>
    </w:p>
    <w:p w:rsidR="00395112" w:rsidRPr="00E91B0C" w:rsidRDefault="006D1E3B" w:rsidP="00395112">
      <w:pPr>
        <w:pStyle w:val="JuCase"/>
        <w:widowControl w:val="0"/>
        <w:rPr>
          <w:rFonts w:ascii="Garamond" w:hAnsi="Garamond"/>
          <w:b w:val="0"/>
          <w:szCs w:val="24"/>
          <w:lang w:val="sq-AL"/>
        </w:rPr>
      </w:pPr>
      <w:r>
        <w:rPr>
          <w:rFonts w:ascii="Garamond" w:hAnsi="Garamond"/>
          <w:b w:val="0"/>
          <w:szCs w:val="24"/>
          <w:lang w:val="sq-AL"/>
        </w:rPr>
        <w:t>4</w:t>
      </w:r>
      <w:r w:rsidR="00395112" w:rsidRPr="00E91B0C">
        <w:rPr>
          <w:rFonts w:ascii="Garamond" w:hAnsi="Garamond"/>
          <w:b w:val="0"/>
          <w:szCs w:val="24"/>
          <w:lang w:val="sq-AL"/>
        </w:rPr>
        <w:t xml:space="preserve">. Më 19 prill 2016, kërkesa iu komunikua </w:t>
      </w:r>
      <w:r w:rsidR="00FE3CB3" w:rsidRPr="00E91B0C">
        <w:rPr>
          <w:rFonts w:ascii="Garamond" w:hAnsi="Garamond"/>
          <w:b w:val="0"/>
          <w:szCs w:val="24"/>
          <w:lang w:val="sq-AL"/>
        </w:rPr>
        <w:t>qeverisë</w:t>
      </w:r>
      <w:r w:rsidR="00395112" w:rsidRPr="00E91B0C">
        <w:rPr>
          <w:rFonts w:ascii="Garamond" w:hAnsi="Garamond"/>
          <w:b w:val="0"/>
          <w:szCs w:val="24"/>
          <w:lang w:val="sq-AL"/>
        </w:rPr>
        <w:t>. Qeveria italiane nuk përdori të drejtën e saj për të ndërhyrë në procedime (</w:t>
      </w:r>
      <w:r w:rsidR="00FE3CB3" w:rsidRPr="00E91B0C">
        <w:rPr>
          <w:rFonts w:ascii="Garamond" w:hAnsi="Garamond"/>
          <w:b w:val="0"/>
          <w:szCs w:val="24"/>
          <w:lang w:val="sq-AL"/>
        </w:rPr>
        <w:t xml:space="preserve">neni </w:t>
      </w:r>
      <w:r w:rsidR="00395112" w:rsidRPr="00E91B0C">
        <w:rPr>
          <w:rFonts w:ascii="Garamond" w:hAnsi="Garamond"/>
          <w:b w:val="0"/>
          <w:szCs w:val="24"/>
          <w:lang w:val="sq-AL"/>
        </w:rPr>
        <w:t>36§1 i Konventës).</w:t>
      </w:r>
    </w:p>
    <w:p w:rsidR="00395112" w:rsidRPr="00E91B0C" w:rsidRDefault="006D1E3B" w:rsidP="00395112">
      <w:pPr>
        <w:pStyle w:val="JuPara"/>
        <w:widowControl w:val="0"/>
        <w:rPr>
          <w:rFonts w:ascii="Garamond" w:hAnsi="Garamond"/>
          <w:szCs w:val="24"/>
          <w:lang w:val="sq-AL"/>
        </w:rPr>
      </w:pPr>
      <w:r>
        <w:rPr>
          <w:rFonts w:ascii="Garamond" w:hAnsi="Garamond"/>
          <w:szCs w:val="24"/>
          <w:lang w:val="sq-AL"/>
        </w:rPr>
        <w:t>5</w:t>
      </w:r>
      <w:r w:rsidR="00395112" w:rsidRPr="00E91B0C">
        <w:rPr>
          <w:rFonts w:ascii="Garamond" w:hAnsi="Garamond"/>
          <w:szCs w:val="24"/>
          <w:lang w:val="sq-AL"/>
        </w:rPr>
        <w:t>. Në Strasburg, në Godinën e të Drejtave të Njeriut</w:t>
      </w:r>
      <w:r w:rsidR="007E6372">
        <w:rPr>
          <w:rFonts w:ascii="Garamond" w:hAnsi="Garamond"/>
          <w:szCs w:val="24"/>
          <w:lang w:val="sq-AL"/>
        </w:rPr>
        <w:t>,</w:t>
      </w:r>
      <w:r w:rsidR="00395112" w:rsidRPr="00E91B0C">
        <w:rPr>
          <w:rFonts w:ascii="Garamond" w:hAnsi="Garamond"/>
          <w:szCs w:val="24"/>
          <w:lang w:val="sq-AL"/>
        </w:rPr>
        <w:t xml:space="preserve"> u mbajt një seancë dëgjimore me dyer të hapura, më 23 maj 2017 (</w:t>
      </w:r>
      <w:r w:rsidR="00FE3CB3" w:rsidRPr="00E91B0C">
        <w:rPr>
          <w:rFonts w:ascii="Garamond" w:hAnsi="Garamond"/>
          <w:szCs w:val="24"/>
          <w:lang w:val="sq-AL"/>
        </w:rPr>
        <w:t>rregull</w:t>
      </w:r>
      <w:r w:rsidR="00FE3CB3">
        <w:rPr>
          <w:rFonts w:ascii="Garamond" w:hAnsi="Garamond"/>
          <w:szCs w:val="24"/>
          <w:lang w:val="sq-AL"/>
        </w:rPr>
        <w:t>a</w:t>
      </w:r>
      <w:r w:rsidR="00FE3CB3" w:rsidRPr="00E91B0C">
        <w:rPr>
          <w:rFonts w:ascii="Garamond" w:hAnsi="Garamond"/>
          <w:szCs w:val="24"/>
          <w:lang w:val="sq-AL"/>
        </w:rPr>
        <w:t xml:space="preserve"> </w:t>
      </w:r>
      <w:r w:rsidR="00395112" w:rsidRPr="00E91B0C">
        <w:rPr>
          <w:rFonts w:ascii="Garamond" w:hAnsi="Garamond"/>
          <w:szCs w:val="24"/>
          <w:lang w:val="sq-AL"/>
        </w:rPr>
        <w:t>59§3).</w:t>
      </w:r>
    </w:p>
    <w:p w:rsidR="00FE3CB3" w:rsidRDefault="00395112" w:rsidP="00FE3CB3">
      <w:pPr>
        <w:pStyle w:val="JuPara"/>
        <w:widowControl w:val="0"/>
        <w:rPr>
          <w:rFonts w:ascii="Garamond" w:hAnsi="Garamond"/>
          <w:szCs w:val="24"/>
          <w:lang w:val="sq-AL"/>
        </w:rPr>
      </w:pPr>
      <w:r w:rsidRPr="00E91B0C">
        <w:rPr>
          <w:rFonts w:ascii="Garamond" w:hAnsi="Garamond"/>
          <w:szCs w:val="24"/>
          <w:lang w:val="sq-AL"/>
        </w:rPr>
        <w:t>Përpara Gjykatës u paraqitën:</w:t>
      </w:r>
    </w:p>
    <w:p w:rsidR="008D3AE9" w:rsidRPr="00E91B0C" w:rsidRDefault="00FE3CB3" w:rsidP="00FE3CB3">
      <w:pPr>
        <w:pStyle w:val="JuPara"/>
        <w:widowControl w:val="0"/>
        <w:rPr>
          <w:rFonts w:ascii="Garamond" w:hAnsi="Garamond"/>
          <w:szCs w:val="24"/>
          <w:lang w:val="sq-AL"/>
        </w:rPr>
      </w:pPr>
      <w:r>
        <w:rPr>
          <w:rFonts w:ascii="Garamond" w:hAnsi="Garamond"/>
          <w:i/>
          <w:szCs w:val="24"/>
          <w:lang w:val="sq-AL"/>
        </w:rPr>
        <w:t xml:space="preserve">a) </w:t>
      </w:r>
      <w:r w:rsidRPr="00E91B0C">
        <w:rPr>
          <w:rFonts w:ascii="Garamond" w:hAnsi="Garamond"/>
          <w:i/>
          <w:szCs w:val="24"/>
          <w:lang w:val="sq-AL"/>
        </w:rPr>
        <w:t>Për qeverinë shqiptare</w:t>
      </w:r>
      <w:r>
        <w:rPr>
          <w:rFonts w:ascii="Garamond" w:hAnsi="Garamond"/>
          <w:i/>
          <w:szCs w:val="24"/>
          <w:lang w:val="sq-AL"/>
        </w:rPr>
        <w:t>:</w:t>
      </w:r>
    </w:p>
    <w:p w:rsidR="00395112" w:rsidRPr="00E91B0C" w:rsidRDefault="00FE3CB3" w:rsidP="008D3AE9">
      <w:pPr>
        <w:pStyle w:val="JuCourt"/>
        <w:widowControl w:val="0"/>
        <w:spacing w:before="0"/>
        <w:ind w:left="284" w:firstLine="0"/>
        <w:rPr>
          <w:rFonts w:ascii="Garamond" w:hAnsi="Garamond"/>
          <w:szCs w:val="24"/>
          <w:lang w:val="sq-AL"/>
        </w:rPr>
      </w:pPr>
      <w:r w:rsidRPr="00E91B0C">
        <w:rPr>
          <w:rFonts w:ascii="Garamond" w:hAnsi="Garamond"/>
          <w:szCs w:val="24"/>
          <w:lang w:val="sq-AL"/>
        </w:rPr>
        <w:t>z</w:t>
      </w:r>
      <w:r>
        <w:rPr>
          <w:rFonts w:ascii="Garamond" w:hAnsi="Garamond"/>
          <w:szCs w:val="24"/>
          <w:lang w:val="sq-AL"/>
        </w:rPr>
        <w:t>n</w:t>
      </w:r>
      <w:r w:rsidRPr="00E91B0C">
        <w:rPr>
          <w:rFonts w:ascii="Garamond" w:hAnsi="Garamond"/>
          <w:szCs w:val="24"/>
          <w:lang w:val="sq-AL"/>
        </w:rPr>
        <w:t>j.</w:t>
      </w:r>
      <w:r w:rsidR="00395112" w:rsidRPr="00E91B0C">
        <w:rPr>
          <w:rFonts w:ascii="Garamond" w:hAnsi="Garamond"/>
          <w:szCs w:val="24"/>
          <w:lang w:val="sq-AL"/>
        </w:rPr>
        <w:t xml:space="preserve"> </w:t>
      </w:r>
      <w:r w:rsidR="00395112" w:rsidRPr="00E91B0C">
        <w:rPr>
          <w:rStyle w:val="JuNames0"/>
          <w:rFonts w:ascii="Garamond" w:hAnsi="Garamond"/>
          <w:szCs w:val="24"/>
          <w:lang w:val="sq-AL"/>
        </w:rPr>
        <w:t xml:space="preserve">A. </w:t>
      </w:r>
      <w:r w:rsidRPr="00FE3CB3">
        <w:rPr>
          <w:rFonts w:ascii="Garamond" w:hAnsi="Garamond"/>
        </w:rPr>
        <w:t>Hicka</w:t>
      </w:r>
      <w:r w:rsidR="00395112" w:rsidRPr="00E91B0C">
        <w:rPr>
          <w:rFonts w:ascii="Garamond" w:hAnsi="Garamond"/>
          <w:szCs w:val="24"/>
          <w:lang w:val="sq-AL"/>
        </w:rPr>
        <w:t xml:space="preserve">, Ministria e Drejtësisë, </w:t>
      </w:r>
      <w:r w:rsidRPr="00E91B0C">
        <w:rPr>
          <w:rFonts w:ascii="Garamond" w:hAnsi="Garamond"/>
          <w:i/>
          <w:szCs w:val="24"/>
          <w:lang w:val="sq-AL"/>
        </w:rPr>
        <w:t>agjente qeveritare</w:t>
      </w:r>
      <w:r w:rsidR="00CB07DC" w:rsidRPr="00CB07DC">
        <w:rPr>
          <w:rFonts w:ascii="Garamond" w:hAnsi="Garamond"/>
          <w:i/>
          <w:szCs w:val="24"/>
          <w:lang w:val="sq-AL"/>
        </w:rPr>
        <w:t>;</w:t>
      </w:r>
      <w:r w:rsidR="008D3AE9" w:rsidRPr="00E91B0C">
        <w:rPr>
          <w:rFonts w:ascii="Garamond" w:hAnsi="Garamond"/>
          <w:szCs w:val="24"/>
          <w:lang w:val="sq-AL"/>
        </w:rPr>
        <w:br/>
      </w:r>
      <w:r w:rsidRPr="00E91B0C">
        <w:rPr>
          <w:rFonts w:ascii="Garamond" w:hAnsi="Garamond"/>
          <w:szCs w:val="24"/>
          <w:lang w:val="sq-AL"/>
        </w:rPr>
        <w:t>z.</w:t>
      </w:r>
      <w:r>
        <w:rPr>
          <w:rFonts w:ascii="Garamond" w:hAnsi="Garamond"/>
          <w:szCs w:val="24"/>
          <w:lang w:val="sq-AL"/>
        </w:rPr>
        <w:t xml:space="preserve"> </w:t>
      </w:r>
      <w:r w:rsidR="00395112" w:rsidRPr="00E91B0C">
        <w:rPr>
          <w:rStyle w:val="JuNames0"/>
          <w:rFonts w:ascii="Garamond" w:hAnsi="Garamond"/>
          <w:szCs w:val="24"/>
          <w:lang w:val="sq-AL"/>
        </w:rPr>
        <w:t>A.</w:t>
      </w:r>
      <w:r>
        <w:rPr>
          <w:rStyle w:val="JuNames0"/>
          <w:rFonts w:ascii="Garamond" w:hAnsi="Garamond"/>
          <w:szCs w:val="24"/>
          <w:lang w:val="sq-AL"/>
        </w:rPr>
        <w:t xml:space="preserve"> </w:t>
      </w:r>
      <w:r w:rsidRPr="00FE3CB3">
        <w:rPr>
          <w:rFonts w:ascii="Garamond" w:hAnsi="Garamond"/>
        </w:rPr>
        <w:t>Hysi</w:t>
      </w:r>
      <w:r w:rsidR="00395112" w:rsidRPr="00FE3CB3">
        <w:rPr>
          <w:rFonts w:ascii="Garamond" w:hAnsi="Garamond"/>
          <w:lang w:val="sq-AL"/>
        </w:rPr>
        <w:t>,</w:t>
      </w:r>
      <w:r w:rsidR="00395112" w:rsidRPr="00E91B0C">
        <w:rPr>
          <w:rStyle w:val="JuNames0"/>
          <w:rFonts w:ascii="Garamond" w:hAnsi="Garamond"/>
          <w:szCs w:val="24"/>
          <w:lang w:val="sq-AL"/>
        </w:rPr>
        <w:t xml:space="preserve"> </w:t>
      </w:r>
      <w:r w:rsidR="00395112" w:rsidRPr="00E91B0C">
        <w:rPr>
          <w:rFonts w:ascii="Garamond" w:hAnsi="Garamond"/>
          <w:szCs w:val="24"/>
          <w:lang w:val="sq-AL"/>
        </w:rPr>
        <w:t xml:space="preserve">Ministria e Drejtësisë, </w:t>
      </w:r>
      <w:r w:rsidRPr="00E91B0C">
        <w:rPr>
          <w:rFonts w:ascii="Garamond" w:hAnsi="Garamond"/>
          <w:i/>
          <w:szCs w:val="24"/>
          <w:lang w:val="sq-AL"/>
        </w:rPr>
        <w:t>këshilltar</w:t>
      </w:r>
      <w:r w:rsidR="00395112" w:rsidRPr="00CB07DC">
        <w:rPr>
          <w:rFonts w:ascii="Garamond" w:hAnsi="Garamond"/>
          <w:i/>
          <w:szCs w:val="24"/>
          <w:lang w:val="sq-AL"/>
        </w:rPr>
        <w:t>,</w:t>
      </w:r>
      <w:r w:rsidR="00395112" w:rsidRPr="00E91B0C">
        <w:rPr>
          <w:rFonts w:ascii="Garamond" w:hAnsi="Garamond"/>
          <w:szCs w:val="24"/>
          <w:lang w:val="sq-AL"/>
        </w:rPr>
        <w:tab/>
      </w:r>
      <w:r w:rsidR="00395112" w:rsidRPr="00E91B0C">
        <w:rPr>
          <w:rFonts w:ascii="Garamond" w:hAnsi="Garamond"/>
          <w:szCs w:val="24"/>
          <w:lang w:val="sq-AL"/>
        </w:rPr>
        <w:br/>
      </w:r>
      <w:r w:rsidRPr="00E91B0C">
        <w:rPr>
          <w:rFonts w:ascii="Garamond" w:hAnsi="Garamond"/>
          <w:szCs w:val="24"/>
          <w:lang w:val="sq-AL"/>
        </w:rPr>
        <w:t>z</w:t>
      </w:r>
      <w:r w:rsidR="00395112" w:rsidRPr="00E91B0C">
        <w:rPr>
          <w:rFonts w:ascii="Garamond" w:hAnsi="Garamond"/>
          <w:szCs w:val="24"/>
          <w:lang w:val="sq-AL"/>
        </w:rPr>
        <w:t>.</w:t>
      </w:r>
      <w:r>
        <w:rPr>
          <w:rFonts w:ascii="Garamond" w:hAnsi="Garamond"/>
          <w:szCs w:val="24"/>
          <w:lang w:val="sq-AL"/>
        </w:rPr>
        <w:t xml:space="preserve"> </w:t>
      </w:r>
      <w:r w:rsidR="00395112" w:rsidRPr="00FE3CB3">
        <w:rPr>
          <w:rFonts w:ascii="Garamond" w:hAnsi="Garamond"/>
          <w:lang w:val="sq-AL"/>
        </w:rPr>
        <w:t>R. Hoxha</w:t>
      </w:r>
      <w:r w:rsidR="00395112" w:rsidRPr="00E91B0C">
        <w:rPr>
          <w:rFonts w:ascii="Garamond" w:hAnsi="Garamond"/>
          <w:szCs w:val="24"/>
          <w:lang w:val="sq-AL"/>
        </w:rPr>
        <w:t xml:space="preserve">, Ministria e Drejtësisë, </w:t>
      </w:r>
      <w:r w:rsidRPr="00CB07DC">
        <w:rPr>
          <w:rFonts w:ascii="Garamond" w:hAnsi="Garamond"/>
          <w:i/>
          <w:szCs w:val="24"/>
          <w:lang w:val="sq-AL"/>
        </w:rPr>
        <w:t>këshilltar</w:t>
      </w:r>
      <w:r w:rsidR="00395112" w:rsidRPr="00CB07DC">
        <w:rPr>
          <w:rFonts w:ascii="Garamond" w:hAnsi="Garamond"/>
          <w:i/>
          <w:szCs w:val="24"/>
          <w:lang w:val="sq-AL"/>
        </w:rPr>
        <w:t>,</w:t>
      </w:r>
      <w:r w:rsidR="00395112" w:rsidRPr="00E91B0C">
        <w:rPr>
          <w:rFonts w:ascii="Garamond" w:hAnsi="Garamond"/>
          <w:szCs w:val="24"/>
          <w:lang w:val="sq-AL"/>
        </w:rPr>
        <w:t xml:space="preserve"> </w:t>
      </w:r>
      <w:r w:rsidR="00395112" w:rsidRPr="00E91B0C">
        <w:rPr>
          <w:rFonts w:ascii="Garamond" w:hAnsi="Garamond"/>
          <w:szCs w:val="24"/>
          <w:lang w:val="sq-AL"/>
        </w:rPr>
        <w:br/>
      </w:r>
      <w:r w:rsidRPr="00E91B0C">
        <w:rPr>
          <w:rFonts w:ascii="Garamond" w:hAnsi="Garamond"/>
          <w:szCs w:val="24"/>
          <w:lang w:val="sq-AL"/>
        </w:rPr>
        <w:t>z</w:t>
      </w:r>
      <w:r>
        <w:rPr>
          <w:rFonts w:ascii="Garamond" w:hAnsi="Garamond"/>
          <w:szCs w:val="24"/>
          <w:lang w:val="sq-AL"/>
        </w:rPr>
        <w:t xml:space="preserve">nj. </w:t>
      </w:r>
      <w:r w:rsidR="00395112" w:rsidRPr="00E91B0C">
        <w:rPr>
          <w:rStyle w:val="JuNames0"/>
          <w:rFonts w:ascii="Garamond" w:hAnsi="Garamond"/>
          <w:szCs w:val="24"/>
          <w:lang w:val="sq-AL"/>
        </w:rPr>
        <w:t xml:space="preserve">E. </w:t>
      </w:r>
      <w:r w:rsidR="00395112" w:rsidRPr="00FE3CB3">
        <w:rPr>
          <w:rFonts w:ascii="Garamond" w:hAnsi="Garamond"/>
          <w:lang w:val="sq-AL"/>
        </w:rPr>
        <w:t>Sadushaj</w:t>
      </w:r>
      <w:r w:rsidR="00395112" w:rsidRPr="00E91B0C">
        <w:rPr>
          <w:rFonts w:ascii="Garamond" w:hAnsi="Garamond"/>
          <w:szCs w:val="24"/>
          <w:lang w:val="sq-AL"/>
        </w:rPr>
        <w:t xml:space="preserve">, Ministria e Drejtësisë, </w:t>
      </w:r>
      <w:r w:rsidR="00BB558E">
        <w:rPr>
          <w:rFonts w:ascii="Garamond" w:hAnsi="Garamond"/>
          <w:i/>
          <w:szCs w:val="24"/>
          <w:lang w:val="sq-AL"/>
        </w:rPr>
        <w:t>k</w:t>
      </w:r>
      <w:r w:rsidR="00395112" w:rsidRPr="00E91B0C">
        <w:rPr>
          <w:rFonts w:ascii="Garamond" w:hAnsi="Garamond"/>
          <w:i/>
          <w:szCs w:val="24"/>
          <w:lang w:val="sq-AL"/>
        </w:rPr>
        <w:t>ëshilltare</w:t>
      </w:r>
      <w:r w:rsidR="00395112" w:rsidRPr="00CB07DC">
        <w:rPr>
          <w:rFonts w:ascii="Garamond" w:hAnsi="Garamond"/>
          <w:i/>
          <w:szCs w:val="24"/>
          <w:lang w:val="sq-AL"/>
        </w:rPr>
        <w:t>;</w:t>
      </w:r>
    </w:p>
    <w:p w:rsidR="008D3AE9" w:rsidRPr="00BB558E" w:rsidRDefault="008D3AE9" w:rsidP="00395112">
      <w:pPr>
        <w:pStyle w:val="JuCourt"/>
        <w:widowControl w:val="0"/>
        <w:spacing w:before="0"/>
        <w:ind w:left="0" w:firstLine="284"/>
        <w:rPr>
          <w:rFonts w:ascii="Garamond" w:hAnsi="Garamond"/>
          <w:i/>
          <w:szCs w:val="24"/>
          <w:lang w:val="sq-AL"/>
        </w:rPr>
      </w:pPr>
      <w:r w:rsidRPr="00BB558E">
        <w:rPr>
          <w:rFonts w:ascii="Garamond" w:hAnsi="Garamond"/>
          <w:i/>
          <w:szCs w:val="24"/>
          <w:lang w:val="sq-AL"/>
        </w:rPr>
        <w:t>b)</w:t>
      </w:r>
      <w:r w:rsidR="00E91B0C" w:rsidRPr="00BB558E">
        <w:rPr>
          <w:rFonts w:ascii="Garamond" w:hAnsi="Garamond"/>
          <w:i/>
          <w:szCs w:val="24"/>
          <w:lang w:val="sq-AL"/>
        </w:rPr>
        <w:t xml:space="preserve"> </w:t>
      </w:r>
      <w:r w:rsidR="00FE3CB3" w:rsidRPr="00BB558E">
        <w:rPr>
          <w:rFonts w:ascii="Garamond" w:hAnsi="Garamond"/>
          <w:i/>
          <w:szCs w:val="24"/>
          <w:lang w:val="sq-AL"/>
        </w:rPr>
        <w:t xml:space="preserve">Për </w:t>
      </w:r>
      <w:r w:rsidRPr="00BB558E">
        <w:rPr>
          <w:rFonts w:ascii="Garamond" w:hAnsi="Garamond"/>
          <w:i/>
          <w:szCs w:val="24"/>
          <w:lang w:val="sq-AL"/>
        </w:rPr>
        <w:t>kërkuesit</w:t>
      </w:r>
      <w:r w:rsidR="00FE3CB3" w:rsidRPr="00BB558E">
        <w:rPr>
          <w:rFonts w:ascii="Garamond" w:hAnsi="Garamond"/>
          <w:i/>
          <w:szCs w:val="24"/>
          <w:lang w:val="sq-AL"/>
        </w:rPr>
        <w:t>:</w:t>
      </w:r>
    </w:p>
    <w:p w:rsidR="008D3AE9" w:rsidRPr="00E91B0C" w:rsidRDefault="00FE3CB3" w:rsidP="00395112">
      <w:pPr>
        <w:pStyle w:val="JuCourt"/>
        <w:widowControl w:val="0"/>
        <w:spacing w:before="0"/>
        <w:ind w:left="0" w:firstLine="284"/>
        <w:rPr>
          <w:rFonts w:ascii="Garamond" w:hAnsi="Garamond"/>
          <w:szCs w:val="24"/>
          <w:lang w:val="sq-AL"/>
        </w:rPr>
      </w:pPr>
      <w:r w:rsidRPr="00E91B0C">
        <w:rPr>
          <w:rFonts w:ascii="Garamond" w:hAnsi="Garamond"/>
          <w:szCs w:val="24"/>
          <w:lang w:val="sq-AL"/>
        </w:rPr>
        <w:t>z</w:t>
      </w:r>
      <w:r w:rsidR="00395112" w:rsidRPr="00E91B0C">
        <w:rPr>
          <w:rFonts w:ascii="Garamond" w:hAnsi="Garamond"/>
          <w:szCs w:val="24"/>
          <w:lang w:val="sq-AL"/>
        </w:rPr>
        <w:t>.</w:t>
      </w:r>
      <w:r>
        <w:rPr>
          <w:rFonts w:ascii="Garamond" w:hAnsi="Garamond"/>
          <w:szCs w:val="24"/>
          <w:lang w:val="sq-AL"/>
        </w:rPr>
        <w:t xml:space="preserve"> </w:t>
      </w:r>
      <w:r w:rsidR="00395112" w:rsidRPr="00FE3CB3">
        <w:rPr>
          <w:rFonts w:ascii="Garamond" w:hAnsi="Garamond"/>
          <w:lang w:val="sq-AL"/>
        </w:rPr>
        <w:t>A. Saccucci</w:t>
      </w:r>
      <w:r w:rsidR="00395112" w:rsidRPr="00E91B0C">
        <w:rPr>
          <w:rFonts w:ascii="Garamond" w:hAnsi="Garamond"/>
          <w:szCs w:val="24"/>
          <w:lang w:val="sq-AL"/>
        </w:rPr>
        <w:t xml:space="preserve">, </w:t>
      </w:r>
      <w:r w:rsidRPr="00E91B0C">
        <w:rPr>
          <w:rFonts w:ascii="Garamond" w:hAnsi="Garamond"/>
          <w:i/>
          <w:szCs w:val="24"/>
          <w:lang w:val="sq-AL"/>
        </w:rPr>
        <w:t>a</w:t>
      </w:r>
      <w:r w:rsidR="00395112" w:rsidRPr="00E91B0C">
        <w:rPr>
          <w:rFonts w:ascii="Garamond" w:hAnsi="Garamond"/>
          <w:i/>
          <w:szCs w:val="24"/>
          <w:lang w:val="sq-AL"/>
        </w:rPr>
        <w:t>vokat</w:t>
      </w:r>
      <w:r w:rsidR="008D3AE9" w:rsidRPr="00E91B0C">
        <w:rPr>
          <w:rFonts w:ascii="Garamond" w:hAnsi="Garamond"/>
          <w:szCs w:val="24"/>
          <w:lang w:val="sq-AL"/>
        </w:rPr>
        <w:t>,</w:t>
      </w:r>
    </w:p>
    <w:p w:rsidR="008D3AE9" w:rsidRPr="00E91B0C" w:rsidRDefault="00FE3CB3" w:rsidP="00395112">
      <w:pPr>
        <w:pStyle w:val="JuCourt"/>
        <w:widowControl w:val="0"/>
        <w:spacing w:before="0"/>
        <w:ind w:left="0" w:firstLine="284"/>
        <w:rPr>
          <w:rFonts w:ascii="Garamond" w:hAnsi="Garamond"/>
          <w:szCs w:val="24"/>
          <w:lang w:val="sq-AL"/>
        </w:rPr>
      </w:pPr>
      <w:r w:rsidRPr="00E91B0C">
        <w:rPr>
          <w:rFonts w:ascii="Garamond" w:hAnsi="Garamond"/>
          <w:szCs w:val="24"/>
          <w:lang w:val="sq-AL"/>
        </w:rPr>
        <w:t>z</w:t>
      </w:r>
      <w:r>
        <w:rPr>
          <w:rFonts w:ascii="Garamond" w:hAnsi="Garamond"/>
          <w:szCs w:val="24"/>
          <w:lang w:val="sq-AL"/>
        </w:rPr>
        <w:t>n</w:t>
      </w:r>
      <w:r w:rsidR="00395112" w:rsidRPr="00E91B0C">
        <w:rPr>
          <w:rFonts w:ascii="Garamond" w:hAnsi="Garamond"/>
          <w:szCs w:val="24"/>
          <w:lang w:val="sq-AL"/>
        </w:rPr>
        <w:t>j.</w:t>
      </w:r>
      <w:r>
        <w:rPr>
          <w:rFonts w:ascii="Garamond" w:hAnsi="Garamond"/>
          <w:szCs w:val="24"/>
          <w:lang w:val="sq-AL"/>
        </w:rPr>
        <w:t xml:space="preserve"> </w:t>
      </w:r>
      <w:r w:rsidR="00395112" w:rsidRPr="00FE3CB3">
        <w:rPr>
          <w:rFonts w:ascii="Garamond" w:hAnsi="Garamond"/>
          <w:lang w:val="sq-AL"/>
        </w:rPr>
        <w:t xml:space="preserve">G. </w:t>
      </w:r>
      <w:r w:rsidRPr="00FE3CB3">
        <w:rPr>
          <w:rFonts w:ascii="Garamond" w:hAnsi="Garamond"/>
          <w:lang w:val="sq-AL"/>
        </w:rPr>
        <w:t>Borgna</w:t>
      </w:r>
      <w:r w:rsidR="00395112" w:rsidRPr="00E91B0C">
        <w:rPr>
          <w:rFonts w:ascii="Garamond" w:hAnsi="Garamond"/>
          <w:szCs w:val="24"/>
          <w:lang w:val="sq-AL"/>
        </w:rPr>
        <w:t xml:space="preserve">, </w:t>
      </w:r>
      <w:r w:rsidRPr="00E91B0C">
        <w:rPr>
          <w:rFonts w:ascii="Garamond" w:hAnsi="Garamond"/>
          <w:i/>
          <w:szCs w:val="24"/>
          <w:lang w:val="sq-AL"/>
        </w:rPr>
        <w:t>a</w:t>
      </w:r>
      <w:r w:rsidR="00395112" w:rsidRPr="00E91B0C">
        <w:rPr>
          <w:rFonts w:ascii="Garamond" w:hAnsi="Garamond"/>
          <w:i/>
          <w:szCs w:val="24"/>
          <w:lang w:val="sq-AL"/>
        </w:rPr>
        <w:t>vokate</w:t>
      </w:r>
      <w:r w:rsidR="008D3AE9" w:rsidRPr="00E91B0C">
        <w:rPr>
          <w:rFonts w:ascii="Garamond" w:hAnsi="Garamond"/>
          <w:szCs w:val="24"/>
          <w:lang w:val="sq-AL"/>
        </w:rPr>
        <w:t>,</w:t>
      </w:r>
    </w:p>
    <w:p w:rsidR="00395112" w:rsidRPr="00E91B0C" w:rsidRDefault="00FE3CB3" w:rsidP="00395112">
      <w:pPr>
        <w:pStyle w:val="JuCourt"/>
        <w:widowControl w:val="0"/>
        <w:spacing w:before="0"/>
        <w:ind w:left="0" w:firstLine="284"/>
        <w:rPr>
          <w:rFonts w:ascii="Garamond" w:hAnsi="Garamond"/>
          <w:szCs w:val="24"/>
          <w:lang w:val="sq-AL"/>
        </w:rPr>
      </w:pPr>
      <w:r w:rsidRPr="00E91B0C">
        <w:rPr>
          <w:rFonts w:ascii="Garamond" w:hAnsi="Garamond"/>
          <w:szCs w:val="24"/>
          <w:lang w:val="sq-AL"/>
        </w:rPr>
        <w:t>z</w:t>
      </w:r>
      <w:r>
        <w:rPr>
          <w:rFonts w:ascii="Garamond" w:hAnsi="Garamond"/>
          <w:szCs w:val="24"/>
          <w:lang w:val="sq-AL"/>
        </w:rPr>
        <w:t>n</w:t>
      </w:r>
      <w:r w:rsidR="00395112" w:rsidRPr="00E91B0C">
        <w:rPr>
          <w:rFonts w:ascii="Garamond" w:hAnsi="Garamond"/>
          <w:szCs w:val="24"/>
          <w:lang w:val="sq-AL"/>
        </w:rPr>
        <w:t>j.</w:t>
      </w:r>
      <w:r>
        <w:rPr>
          <w:rFonts w:ascii="Garamond" w:hAnsi="Garamond"/>
          <w:szCs w:val="24"/>
          <w:lang w:val="sq-AL"/>
        </w:rPr>
        <w:t xml:space="preserve"> </w:t>
      </w:r>
      <w:r w:rsidR="00395112" w:rsidRPr="00FE3CB3">
        <w:rPr>
          <w:rFonts w:ascii="Garamond" w:hAnsi="Garamond"/>
          <w:lang w:val="sq-AL"/>
        </w:rPr>
        <w:t>E. Ballanca</w:t>
      </w:r>
      <w:r w:rsidR="00395112" w:rsidRPr="00E91B0C">
        <w:rPr>
          <w:rFonts w:ascii="Garamond" w:hAnsi="Garamond"/>
          <w:szCs w:val="24"/>
          <w:lang w:val="sq-AL"/>
        </w:rPr>
        <w:t xml:space="preserve">, </w:t>
      </w:r>
      <w:r w:rsidRPr="00E91B0C">
        <w:rPr>
          <w:rFonts w:ascii="Garamond" w:hAnsi="Garamond"/>
          <w:i/>
          <w:szCs w:val="24"/>
          <w:lang w:val="sq-AL"/>
        </w:rPr>
        <w:t>k</w:t>
      </w:r>
      <w:r w:rsidR="00395112" w:rsidRPr="00E91B0C">
        <w:rPr>
          <w:rFonts w:ascii="Garamond" w:hAnsi="Garamond"/>
          <w:i/>
          <w:szCs w:val="24"/>
          <w:lang w:val="sq-AL"/>
        </w:rPr>
        <w:t>ëshilltare</w:t>
      </w:r>
      <w:r w:rsidR="00395112" w:rsidRPr="00E91B0C">
        <w:rPr>
          <w:rFonts w:ascii="Garamond" w:hAnsi="Garamond"/>
          <w:szCs w:val="24"/>
          <w:lang w:val="sq-AL"/>
        </w:rPr>
        <w:t>.</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Gjykata dëgjoi adresimet </w:t>
      </w:r>
      <w:r w:rsidR="00FE3CB3" w:rsidRPr="00E91B0C">
        <w:rPr>
          <w:rFonts w:ascii="Garamond" w:hAnsi="Garamond"/>
          <w:szCs w:val="24"/>
          <w:lang w:val="sq-AL"/>
        </w:rPr>
        <w:t xml:space="preserve">nga </w:t>
      </w:r>
      <w:r w:rsidR="00FE3CB3" w:rsidRPr="00FE3CB3">
        <w:rPr>
          <w:rFonts w:ascii="Garamond" w:hAnsi="Garamond"/>
          <w:lang w:val="sq-AL"/>
        </w:rPr>
        <w:t>z</w:t>
      </w:r>
      <w:r w:rsidR="00FE3CB3">
        <w:rPr>
          <w:rFonts w:ascii="Garamond" w:hAnsi="Garamond"/>
          <w:lang w:val="sq-AL"/>
        </w:rPr>
        <w:t>n</w:t>
      </w:r>
      <w:r w:rsidR="00FE3CB3" w:rsidRPr="00E91B0C">
        <w:rPr>
          <w:rFonts w:ascii="Garamond" w:hAnsi="Garamond"/>
          <w:szCs w:val="24"/>
          <w:lang w:val="sq-AL"/>
        </w:rPr>
        <w:t xml:space="preserve">j. </w:t>
      </w:r>
      <w:r w:rsidRPr="00E91B0C">
        <w:rPr>
          <w:rFonts w:ascii="Garamond" w:hAnsi="Garamond"/>
          <w:szCs w:val="24"/>
          <w:lang w:val="sq-AL"/>
        </w:rPr>
        <w:t xml:space="preserve">Hicka, </w:t>
      </w:r>
      <w:r w:rsidR="00FE3CB3" w:rsidRPr="00E91B0C">
        <w:rPr>
          <w:rFonts w:ascii="Garamond" w:hAnsi="Garamond"/>
          <w:szCs w:val="24"/>
          <w:lang w:val="sq-AL"/>
        </w:rPr>
        <w:t>z</w:t>
      </w:r>
      <w:r w:rsidRPr="00E91B0C">
        <w:rPr>
          <w:rFonts w:ascii="Garamond" w:hAnsi="Garamond"/>
          <w:szCs w:val="24"/>
          <w:lang w:val="sq-AL"/>
        </w:rPr>
        <w:t xml:space="preserve">. Saccucci dhe </w:t>
      </w:r>
      <w:r w:rsidR="00FE3CB3" w:rsidRPr="00E91B0C">
        <w:rPr>
          <w:rFonts w:ascii="Garamond" w:hAnsi="Garamond"/>
          <w:szCs w:val="24"/>
          <w:lang w:val="sq-AL"/>
        </w:rPr>
        <w:t>z</w:t>
      </w:r>
      <w:r w:rsidR="00FE3CB3">
        <w:rPr>
          <w:rFonts w:ascii="Garamond" w:hAnsi="Garamond"/>
          <w:szCs w:val="24"/>
          <w:lang w:val="sq-AL"/>
        </w:rPr>
        <w:t>n</w:t>
      </w:r>
      <w:r w:rsidR="00FE3CB3" w:rsidRPr="00E91B0C">
        <w:rPr>
          <w:rFonts w:ascii="Garamond" w:hAnsi="Garamond"/>
          <w:szCs w:val="24"/>
          <w:lang w:val="sq-AL"/>
        </w:rPr>
        <w:t xml:space="preserve">j. </w:t>
      </w:r>
      <w:r w:rsidRPr="00E91B0C">
        <w:rPr>
          <w:rFonts w:ascii="Garamond" w:hAnsi="Garamond"/>
          <w:szCs w:val="24"/>
          <w:lang w:val="sq-AL"/>
        </w:rPr>
        <w:t>Borgna dhe përgjigjet e pyetjeve</w:t>
      </w:r>
      <w:r w:rsidR="007E6372">
        <w:rPr>
          <w:rFonts w:ascii="Garamond" w:hAnsi="Garamond"/>
          <w:szCs w:val="24"/>
          <w:lang w:val="sq-AL"/>
        </w:rPr>
        <w:t xml:space="preserve"> drejtuar</w:t>
      </w:r>
      <w:r w:rsidRPr="00E91B0C">
        <w:rPr>
          <w:rFonts w:ascii="Garamond" w:hAnsi="Garamond"/>
          <w:szCs w:val="24"/>
          <w:lang w:val="sq-AL"/>
        </w:rPr>
        <w:t xml:space="preserve"> nga Gjykata. </w:t>
      </w:r>
    </w:p>
    <w:p w:rsidR="00395112" w:rsidRPr="00E91B0C" w:rsidRDefault="00395112" w:rsidP="00395112">
      <w:pPr>
        <w:pStyle w:val="ECHRTitle1"/>
        <w:keepNext w:val="0"/>
        <w:keepLines w:val="0"/>
        <w:widowControl w:val="0"/>
        <w:spacing w:before="0" w:after="0"/>
        <w:ind w:firstLine="284"/>
        <w:rPr>
          <w:rFonts w:ascii="Garamond" w:hAnsi="Garamond"/>
          <w:sz w:val="24"/>
          <w:szCs w:val="24"/>
          <w:lang w:val="sq-AL"/>
        </w:rPr>
      </w:pPr>
      <w:bookmarkStart w:id="7" w:name="_Toc520459322"/>
      <w:r w:rsidRPr="00E91B0C">
        <w:rPr>
          <w:rFonts w:ascii="Garamond" w:hAnsi="Garamond"/>
          <w:sz w:val="24"/>
          <w:szCs w:val="24"/>
          <w:lang w:val="sq-AL"/>
        </w:rPr>
        <w:lastRenderedPageBreak/>
        <w:t>FAKTET</w:t>
      </w:r>
      <w:bookmarkEnd w:id="7"/>
    </w:p>
    <w:p w:rsidR="00395112" w:rsidRPr="00E91B0C" w:rsidRDefault="00395112" w:rsidP="00395112">
      <w:pPr>
        <w:pStyle w:val="ECHRHeading1"/>
        <w:keepNext w:val="0"/>
        <w:keepLines w:val="0"/>
        <w:widowControl w:val="0"/>
        <w:spacing w:before="0" w:after="0"/>
        <w:ind w:left="0" w:firstLine="284"/>
        <w:rPr>
          <w:rFonts w:ascii="Garamond" w:hAnsi="Garamond"/>
          <w:szCs w:val="24"/>
          <w:lang w:val="sq-AL"/>
        </w:rPr>
      </w:pPr>
      <w:bookmarkStart w:id="8" w:name="_Toc520459323"/>
      <w:r w:rsidRPr="00E91B0C">
        <w:rPr>
          <w:rFonts w:ascii="Garamond" w:hAnsi="Garamond"/>
          <w:szCs w:val="24"/>
          <w:lang w:val="sq-AL"/>
        </w:rPr>
        <w:t>I.</w:t>
      </w:r>
      <w:r w:rsidR="00E91B0C">
        <w:rPr>
          <w:rFonts w:ascii="Garamond" w:hAnsi="Garamond"/>
          <w:szCs w:val="24"/>
          <w:lang w:val="sq-AL"/>
        </w:rPr>
        <w:t xml:space="preserve"> </w:t>
      </w:r>
      <w:r w:rsidRPr="00E91B0C">
        <w:rPr>
          <w:rFonts w:ascii="Garamond" w:hAnsi="Garamond"/>
          <w:szCs w:val="24"/>
          <w:lang w:val="sq-AL"/>
        </w:rPr>
        <w:t>RRETHANAT E ÇËSHTJES</w:t>
      </w:r>
      <w:bookmarkEnd w:id="8"/>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9" w:name="_Toc520459324"/>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Konteksti i çështjes</w:t>
      </w:r>
      <w:bookmarkEnd w:id="9"/>
    </w:p>
    <w:p w:rsidR="00395112" w:rsidRPr="00E91B0C" w:rsidRDefault="006D1E3B" w:rsidP="00395112">
      <w:pPr>
        <w:pStyle w:val="JuPara"/>
        <w:widowControl w:val="0"/>
        <w:rPr>
          <w:rFonts w:ascii="Garamond" w:hAnsi="Garamond"/>
          <w:szCs w:val="24"/>
          <w:lang w:val="sq-AL"/>
        </w:rPr>
      </w:pPr>
      <w:r>
        <w:rPr>
          <w:rFonts w:ascii="Garamond" w:hAnsi="Garamond"/>
          <w:szCs w:val="24"/>
          <w:lang w:val="sq-AL"/>
        </w:rPr>
        <w:t>6</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Më 11 nëntor 2009, dy</w:t>
      </w:r>
      <w:r w:rsidR="008B2E1D">
        <w:rPr>
          <w:rFonts w:ascii="Garamond" w:hAnsi="Garamond"/>
          <w:szCs w:val="24"/>
          <w:lang w:val="sq-AL"/>
        </w:rPr>
        <w:t xml:space="preserve"> nga kërkuesit, Xhuvi Sharxhi (kërkuesi i parë) dhe Xhafer Isufi (kërkuesi i dytë</w:t>
      </w:r>
      <w:r w:rsidR="00395112" w:rsidRPr="00E91B0C">
        <w:rPr>
          <w:rFonts w:ascii="Garamond" w:hAnsi="Garamond"/>
          <w:szCs w:val="24"/>
          <w:lang w:val="sq-AL"/>
        </w:rPr>
        <w:t>), blenë një truall me sipërfaqe prej 1,663 met</w:t>
      </w:r>
      <w:r w:rsidR="008B2E1D">
        <w:rPr>
          <w:rFonts w:ascii="Garamond" w:hAnsi="Garamond"/>
          <w:szCs w:val="24"/>
          <w:lang w:val="sq-AL"/>
        </w:rPr>
        <w:t>ra</w:t>
      </w:r>
      <w:r w:rsidR="00395112" w:rsidRPr="00E91B0C">
        <w:rPr>
          <w:rFonts w:ascii="Garamond" w:hAnsi="Garamond"/>
          <w:szCs w:val="24"/>
          <w:lang w:val="sq-AL"/>
        </w:rPr>
        <w:t xml:space="preserve"> katrorë</w:t>
      </w:r>
      <w:r w:rsidR="008B2E1D">
        <w:rPr>
          <w:rFonts w:ascii="Garamond" w:hAnsi="Garamond"/>
          <w:szCs w:val="24"/>
          <w:lang w:val="sq-AL"/>
        </w:rPr>
        <w:t>sh</w:t>
      </w:r>
      <w:r w:rsidR="00395112" w:rsidRPr="00E91B0C">
        <w:rPr>
          <w:rFonts w:ascii="Garamond" w:hAnsi="Garamond"/>
          <w:szCs w:val="24"/>
          <w:lang w:val="sq-AL"/>
        </w:rPr>
        <w:t>, nga disa individë, të cilëve iu ishte njohur dhe kthyer prona në vitin 1995, me anë të një vendimi të Komisionit për Kthimin dhe Kompensimin e Pronës. Trualli pozicionohet në vijën bregdetare të qytetit të Vlorës në të ashtuqua</w:t>
      </w:r>
      <w:r w:rsidR="008B2E1D">
        <w:rPr>
          <w:rFonts w:ascii="Garamond" w:hAnsi="Garamond"/>
          <w:szCs w:val="24"/>
          <w:lang w:val="sq-AL"/>
        </w:rPr>
        <w:t xml:space="preserve">jturën zonën e Ujit të Ftohtë, </w:t>
      </w:r>
      <w:r w:rsidR="00395112" w:rsidRPr="00E91B0C">
        <w:rPr>
          <w:rFonts w:ascii="Garamond" w:hAnsi="Garamond"/>
          <w:szCs w:val="24"/>
          <w:lang w:val="sq-AL"/>
        </w:rPr>
        <w:t xml:space="preserve">Tuneli. </w:t>
      </w:r>
    </w:p>
    <w:p w:rsidR="00395112" w:rsidRPr="00E91B0C" w:rsidRDefault="00037287" w:rsidP="00395112">
      <w:pPr>
        <w:pStyle w:val="JuPara"/>
        <w:widowControl w:val="0"/>
        <w:rPr>
          <w:rFonts w:ascii="Garamond" w:hAnsi="Garamond"/>
          <w:szCs w:val="24"/>
          <w:lang w:val="sq-AL"/>
        </w:rPr>
      </w:pPr>
      <w:r>
        <w:rPr>
          <w:rStyle w:val="ParagrafiChar"/>
        </w:rPr>
        <w:t>7</w:t>
      </w:r>
      <w:r w:rsidR="00395112" w:rsidRPr="00E91B0C">
        <w:rPr>
          <w:rFonts w:ascii="Garamond" w:hAnsi="Garamond"/>
          <w:szCs w:val="24"/>
          <w:lang w:val="sq-AL"/>
        </w:rPr>
        <w:t>. Në një datë të paspecifikuar, kërkuesit e parë dhe të dytë hynë në një marrëveshje me një kompani për ndërtimin e një ndër</w:t>
      </w:r>
      <w:r w:rsidR="008B2E1D">
        <w:rPr>
          <w:rFonts w:ascii="Garamond" w:hAnsi="Garamond"/>
          <w:szCs w:val="24"/>
          <w:lang w:val="sq-AL"/>
        </w:rPr>
        <w:t>tese banimi dhe shërbimesh pesë</w:t>
      </w:r>
      <w:r w:rsidR="00395112" w:rsidRPr="00E91B0C">
        <w:rPr>
          <w:rFonts w:ascii="Garamond" w:hAnsi="Garamond"/>
          <w:szCs w:val="24"/>
          <w:lang w:val="sq-AL"/>
        </w:rPr>
        <w:t>katëshe, me një kat banimi në katin e fundit (</w:t>
      </w:r>
      <w:r w:rsidR="00395112" w:rsidRPr="00E91B0C">
        <w:rPr>
          <w:rFonts w:ascii="Garamond" w:hAnsi="Garamond"/>
          <w:i/>
          <w:szCs w:val="24"/>
          <w:lang w:val="sq-AL"/>
        </w:rPr>
        <w:t>penthouse</w:t>
      </w:r>
      <w:r w:rsidR="00395112" w:rsidRPr="00E91B0C">
        <w:rPr>
          <w:rFonts w:ascii="Garamond" w:hAnsi="Garamond"/>
          <w:szCs w:val="24"/>
          <w:lang w:val="sq-AL"/>
        </w:rPr>
        <w:t>) dhe një kat të nëndheshëm për dyqane (në vijim “Rezidenca Jon” ose “godina”),</w:t>
      </w:r>
      <w:r w:rsidR="00E91B0C">
        <w:rPr>
          <w:rFonts w:ascii="Garamond" w:hAnsi="Garamond"/>
          <w:szCs w:val="24"/>
          <w:lang w:val="sq-AL"/>
        </w:rPr>
        <w:t xml:space="preserve"> </w:t>
      </w:r>
      <w:r w:rsidR="00395112" w:rsidRPr="00E91B0C">
        <w:rPr>
          <w:rFonts w:ascii="Garamond" w:hAnsi="Garamond"/>
          <w:szCs w:val="24"/>
          <w:lang w:val="sq-AL"/>
        </w:rPr>
        <w:t>në truallin e sipërpërmendur.</w:t>
      </w:r>
      <w:r w:rsidR="00E91B0C">
        <w:rPr>
          <w:rFonts w:ascii="Garamond" w:hAnsi="Garamond"/>
          <w:szCs w:val="24"/>
          <w:lang w:val="sq-AL"/>
        </w:rPr>
        <w:t xml:space="preserve"> </w:t>
      </w:r>
    </w:p>
    <w:p w:rsidR="00395112" w:rsidRPr="00E91B0C" w:rsidRDefault="00037287" w:rsidP="006D1E3B">
      <w:pPr>
        <w:pStyle w:val="Paragrafi"/>
        <w:rPr>
          <w:lang w:val="sq-AL"/>
        </w:rPr>
      </w:pPr>
      <w:r>
        <w:rPr>
          <w:lang w:val="sq-AL"/>
        </w:rPr>
        <w:t>8</w:t>
      </w:r>
      <w:r w:rsidR="00395112" w:rsidRPr="00E91B0C">
        <w:rPr>
          <w:lang w:val="sq-AL"/>
        </w:rPr>
        <w:t>. Më 17 gusht 2010, Këshilli i Rregullimit të Terr</w:t>
      </w:r>
      <w:r w:rsidR="008B2E1D">
        <w:rPr>
          <w:lang w:val="sq-AL"/>
        </w:rPr>
        <w:t>itorit të Bashkisë Vlorë (KRRT</w:t>
      </w:r>
      <w:r w:rsidR="00395112" w:rsidRPr="00E91B0C">
        <w:rPr>
          <w:lang w:val="sq-AL"/>
        </w:rPr>
        <w:t xml:space="preserve">) lëshoi një leje ndërtimi për kompaninë dhe për kërkuesit e parë dhe të dytë. Kërkuesit e </w:t>
      </w:r>
      <w:r w:rsidR="007E6372">
        <w:rPr>
          <w:lang w:val="sq-AL"/>
        </w:rPr>
        <w:t>tjerë</w:t>
      </w:r>
      <w:r w:rsidR="00395112" w:rsidRPr="00E91B0C">
        <w:rPr>
          <w:lang w:val="sq-AL"/>
        </w:rPr>
        <w:t xml:space="preserve"> hynë në marrëveshje blerje</w:t>
      </w:r>
      <w:r w:rsidR="008B2E1D">
        <w:rPr>
          <w:lang w:val="sq-AL"/>
        </w:rPr>
        <w:t>je</w:t>
      </w:r>
      <w:r w:rsidR="00395112" w:rsidRPr="00E91B0C">
        <w:rPr>
          <w:lang w:val="sq-AL"/>
        </w:rPr>
        <w:t xml:space="preserve"> për pallatet që do të ndërtoheshin në truall. Kërkuesit e parë dhe të dytë, sipas pronësisë mbi truallin, do të ishin pronarët e disa prej apartamenteve dhe dyqaneve në Rezidencën Jon. Më 27 dhjetor 2012, ndërtesa u regjistrua në Zyrën e Regjistrimit të Pasurive të Pal</w:t>
      </w:r>
      <w:r w:rsidR="008B2E1D">
        <w:rPr>
          <w:lang w:val="sq-AL"/>
        </w:rPr>
        <w:t>uajtshme (ZRRPP</w:t>
      </w:r>
      <w:r w:rsidR="00395112" w:rsidRPr="00E91B0C">
        <w:rPr>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9. Me përfundimin e punimeve të ndërtimit</w:t>
      </w:r>
      <w:r w:rsidR="008B2E1D">
        <w:rPr>
          <w:rFonts w:ascii="Garamond" w:hAnsi="Garamond"/>
          <w:szCs w:val="24"/>
          <w:lang w:val="sq-AL"/>
        </w:rPr>
        <w:t>,</w:t>
      </w:r>
      <w:r w:rsidRPr="00E91B0C">
        <w:rPr>
          <w:rFonts w:ascii="Garamond" w:hAnsi="Garamond"/>
          <w:szCs w:val="24"/>
          <w:lang w:val="sq-AL"/>
        </w:rPr>
        <w:t xml:space="preserve"> në shtator 2012, rezultoi se shumica e apartamenteve dhe dyqaneve u mobiluan, pronarët u shpërngulën në </w:t>
      </w:r>
      <w:r w:rsidR="008B2E1D" w:rsidRPr="00E91B0C">
        <w:rPr>
          <w:rFonts w:ascii="Garamond" w:hAnsi="Garamond"/>
          <w:szCs w:val="24"/>
          <w:lang w:val="sq-AL"/>
        </w:rPr>
        <w:t>apartamentet</w:t>
      </w:r>
      <w:r w:rsidRPr="00E91B0C">
        <w:rPr>
          <w:rFonts w:ascii="Garamond" w:hAnsi="Garamond"/>
          <w:szCs w:val="24"/>
          <w:lang w:val="sq-AL"/>
        </w:rPr>
        <w:t xml:space="preserve"> e tyre respektiv</w:t>
      </w:r>
      <w:r w:rsidR="008B2E1D">
        <w:rPr>
          <w:rFonts w:ascii="Garamond" w:hAnsi="Garamond"/>
          <w:szCs w:val="24"/>
          <w:lang w:val="sq-AL"/>
        </w:rPr>
        <w:t>e,</w:t>
      </w:r>
      <w:r w:rsidRPr="00E91B0C">
        <w:rPr>
          <w:rFonts w:ascii="Garamond" w:hAnsi="Garamond"/>
          <w:szCs w:val="24"/>
          <w:lang w:val="sq-AL"/>
        </w:rPr>
        <w:t xml:space="preserve"> si edhe u hap një bar</w:t>
      </w:r>
      <w:r w:rsidR="00F56DCC">
        <w:rPr>
          <w:rFonts w:ascii="Garamond" w:hAnsi="Garamond"/>
          <w:szCs w:val="24"/>
          <w:lang w:val="sq-AL"/>
        </w:rPr>
        <w:t>-</w:t>
      </w:r>
      <w:r w:rsidRPr="00E91B0C">
        <w:rPr>
          <w:rFonts w:ascii="Garamond" w:hAnsi="Garamond"/>
          <w:szCs w:val="24"/>
          <w:lang w:val="sq-AL"/>
        </w:rPr>
        <w:t xml:space="preserve">piceri me pishinë. Pjesa takuese e plazhit u hap për t’u përdorur nga publiku.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10. Sipas një shkrese të Avokatit të Popullit, e datës 13 nëntor 2013 (shih paragrafin 24 më poshtë)</w:t>
      </w:r>
      <w:r w:rsidR="00F8762C">
        <w:rPr>
          <w:rFonts w:ascii="Garamond" w:hAnsi="Garamond"/>
          <w:szCs w:val="24"/>
          <w:lang w:val="sq-AL"/>
        </w:rPr>
        <w:t>,</w:t>
      </w:r>
      <w:r w:rsidRPr="00E91B0C">
        <w:rPr>
          <w:rFonts w:ascii="Garamond" w:hAnsi="Garamond"/>
          <w:szCs w:val="24"/>
          <w:lang w:val="sq-AL"/>
        </w:rPr>
        <w:t xml:space="preserve"> rezulton se më 30 tetor 2013, Inspektorati Ndërtimor dhe Urbanistik Kombëtar (INUK) kërkonte mbështetjen e policisë së rrethit Vlorë</w:t>
      </w:r>
      <w:r w:rsidR="008B2E1D">
        <w:rPr>
          <w:rFonts w:ascii="Garamond" w:hAnsi="Garamond"/>
          <w:szCs w:val="24"/>
          <w:lang w:val="sq-AL"/>
        </w:rPr>
        <w:t>,</w:t>
      </w:r>
      <w:r w:rsidRPr="00E91B0C">
        <w:rPr>
          <w:rFonts w:ascii="Garamond" w:hAnsi="Garamond"/>
          <w:szCs w:val="24"/>
          <w:lang w:val="sq-AL"/>
        </w:rPr>
        <w:t xml:space="preserve"> që në po të njëjtën ditë të realizonte prishjen e ndërtimeve pa leje përgjatë vijës bregdetare të Vlorës.</w:t>
      </w:r>
      <w:r w:rsidR="00E91B0C">
        <w:rPr>
          <w:rFonts w:ascii="Garamond" w:hAnsi="Garamond"/>
          <w:szCs w:val="24"/>
          <w:lang w:val="sq-AL"/>
        </w:rPr>
        <w:t xml:space="preserve"> </w:t>
      </w:r>
      <w:r w:rsidRPr="00E91B0C">
        <w:rPr>
          <w:rFonts w:ascii="Garamond" w:hAnsi="Garamond"/>
          <w:szCs w:val="24"/>
          <w:lang w:val="sq-AL"/>
        </w:rPr>
        <w:t xml:space="preserve">Puna e mëtejshme për prishjen e ndërtimeve pa leje do të vijonte ditën pasardhëse, në pjesë të tjera të vijës bregdetare të Vlorës.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11. Më 13 nëntor 2013, pa një njoftim paraprak, punonjësit e INUK-ut dhe Inspektorati N</w:t>
      </w:r>
      <w:r w:rsidR="008B2E1D">
        <w:rPr>
          <w:rFonts w:ascii="Garamond" w:hAnsi="Garamond"/>
          <w:szCs w:val="24"/>
          <w:lang w:val="sq-AL"/>
        </w:rPr>
        <w:t>dërtimor dhe Urbanistik Vlorë (INU</w:t>
      </w:r>
      <w:r w:rsidRPr="00E91B0C">
        <w:rPr>
          <w:rFonts w:ascii="Garamond" w:hAnsi="Garamond"/>
          <w:szCs w:val="24"/>
          <w:lang w:val="sq-AL"/>
        </w:rPr>
        <w:t xml:space="preserve">), me mbështetjen e Policisë së Shtetit, rrethuan Rezidencën Jon dhe shtrinë shiritin e verdhë të policisë, me shkrimin “Skenë krimi </w:t>
      </w:r>
      <w:r w:rsidR="005B203A">
        <w:rPr>
          <w:rFonts w:ascii="Garamond" w:hAnsi="Garamond"/>
          <w:szCs w:val="24"/>
          <w:lang w:val="sq-AL"/>
        </w:rPr>
        <w:t>-</w:t>
      </w:r>
      <w:r w:rsidRPr="00E91B0C">
        <w:rPr>
          <w:rFonts w:ascii="Garamond" w:hAnsi="Garamond"/>
          <w:szCs w:val="24"/>
          <w:lang w:val="sq-AL"/>
        </w:rPr>
        <w:t xml:space="preserve"> nuk lejohet kalimi”. Sipas të dhënave të parashtruara nga kërkuesit, të cilat u publikuan gjerësisht në media, banorëve të godinës iu ishte thënë se autoritetet po konfiskonin ndërtesën. Atyre iu ndalua të hynin në apartamentet e tyre dhe të merrnin objektet e tyre me vlerë. Kërkuesit u bënë me dije për këtë situatë vetëm nga media ose me anë të telefonit nga rojet e sigurimit të ndërtesës. Atyre iu tha se autoritetet po shqyrtonin ligjshmërinë e lejes së ndërtimit</w:t>
      </w:r>
      <w:r w:rsidR="00896E0E">
        <w:rPr>
          <w:rFonts w:ascii="Garamond" w:hAnsi="Garamond"/>
          <w:szCs w:val="24"/>
          <w:lang w:val="sq-AL"/>
        </w:rPr>
        <w:t>,</w:t>
      </w:r>
      <w:r w:rsidRPr="00E91B0C">
        <w:rPr>
          <w:rFonts w:ascii="Garamond" w:hAnsi="Garamond"/>
          <w:szCs w:val="24"/>
          <w:lang w:val="sq-AL"/>
        </w:rPr>
        <w:t xml:space="preserve"> si edhe dokumente të tjer</w:t>
      </w:r>
      <w:r w:rsidR="00F8762C">
        <w:rPr>
          <w:rFonts w:ascii="Garamond" w:hAnsi="Garamond"/>
          <w:szCs w:val="24"/>
          <w:lang w:val="sq-AL"/>
        </w:rPr>
        <w:t>a</w:t>
      </w:r>
      <w:r w:rsidRPr="00E91B0C">
        <w:rPr>
          <w:rFonts w:ascii="Garamond" w:hAnsi="Garamond"/>
          <w:szCs w:val="24"/>
          <w:lang w:val="sq-AL"/>
        </w:rPr>
        <w:t xml:space="preserve"> në lidhje me këtë. Nga dokumentet e dorëzuar</w:t>
      </w:r>
      <w:r w:rsidR="00F8762C">
        <w:rPr>
          <w:rFonts w:ascii="Garamond" w:hAnsi="Garamond"/>
          <w:szCs w:val="24"/>
          <w:lang w:val="sq-AL"/>
        </w:rPr>
        <w:t>a</w:t>
      </w:r>
      <w:r w:rsidRPr="00E91B0C">
        <w:rPr>
          <w:rFonts w:ascii="Garamond" w:hAnsi="Garamond"/>
          <w:szCs w:val="24"/>
          <w:lang w:val="sq-AL"/>
        </w:rPr>
        <w:t xml:space="preserve"> rezulton se godina ruhej nga policë të armatosur, të cilët ishin pozicionuar në mënyrë të tillë që të ndalonin banorët e godinës (duke përfshirë disa nga kërkuesit) që të hynin. Gjithashtu, në momentin kur një nga banorët i kërkoi njërit prej zyrtarëve të </w:t>
      </w:r>
      <w:r w:rsidR="00DA33D0" w:rsidRPr="00E91B0C">
        <w:rPr>
          <w:rFonts w:ascii="Garamond" w:hAnsi="Garamond"/>
          <w:szCs w:val="24"/>
          <w:lang w:val="sq-AL"/>
        </w:rPr>
        <w:t>s</w:t>
      </w:r>
      <w:r w:rsidRPr="00E91B0C">
        <w:rPr>
          <w:rFonts w:ascii="Garamond" w:hAnsi="Garamond"/>
          <w:szCs w:val="24"/>
          <w:lang w:val="sq-AL"/>
        </w:rPr>
        <w:t xml:space="preserve">htetit të tregonte dokumentin e identifikimit ose ndonjë dokument tjetër zyrtar, për të justifikuar ndërhyrjen e autoriteteve në të drejtat e tyre mbi pronën, punonjësi i </w:t>
      </w:r>
      <w:r w:rsidR="00DA33D0" w:rsidRPr="00E91B0C">
        <w:rPr>
          <w:rFonts w:ascii="Garamond" w:hAnsi="Garamond"/>
          <w:szCs w:val="24"/>
          <w:lang w:val="sq-AL"/>
        </w:rPr>
        <w:t>s</w:t>
      </w:r>
      <w:r w:rsidRPr="00E91B0C">
        <w:rPr>
          <w:rFonts w:ascii="Garamond" w:hAnsi="Garamond"/>
          <w:szCs w:val="24"/>
          <w:lang w:val="sq-AL"/>
        </w:rPr>
        <w:t>htetit u shpreh se nuk ishin të detyruar të jepnin asnjë informacion, sepse ishin organ zyrtar.</w:t>
      </w:r>
      <w:r w:rsid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12. Në një datë të paspecifikuar, INUK-u përgatiti një raport me informacione në lidhje me inspektimin që kishin realizuar në Rezidencën Jon, më 3 nëntor 2013. Sipas raportit, as anëtarët e KPT-së, punonjësit e Departamentit të Urbanistikës Vlorë dhe as inspektorët e INU</w:t>
      </w:r>
      <w:r w:rsidR="00DA33D0">
        <w:rPr>
          <w:rFonts w:ascii="Garamond" w:hAnsi="Garamond"/>
          <w:szCs w:val="24"/>
          <w:lang w:val="sq-AL"/>
        </w:rPr>
        <w:t>-së</w:t>
      </w:r>
      <w:r w:rsidRPr="00E91B0C">
        <w:rPr>
          <w:rFonts w:ascii="Garamond" w:hAnsi="Garamond"/>
          <w:szCs w:val="24"/>
          <w:lang w:val="sq-AL"/>
        </w:rPr>
        <w:t xml:space="preserve"> nuk kishin realizuar në ndonjë fazë inspektimet e nevojshme të ndërtimit dhe të planifikimit. Me veprimet dhe mosveprimet e tyre të vazhdueshme, ata kishin lejuar parregullsi dhe shkelje të ligjit gjatë gjithë periudhës që nga momenti kur ishin miratuar lejet përkatëse, në shkelje të dukshme të ligjit, si edhe gjatë gjithë procesit të ndërtimit dhe të zbatimit të projektit. </w:t>
      </w:r>
    </w:p>
    <w:p w:rsidR="00395112" w:rsidRPr="00E91B0C" w:rsidRDefault="00395112" w:rsidP="00395112">
      <w:pPr>
        <w:pStyle w:val="JuPara"/>
        <w:widowControl w:val="0"/>
        <w:rPr>
          <w:rFonts w:ascii="Garamond" w:hAnsi="Garamond"/>
          <w:sz w:val="22"/>
          <w:lang w:val="sq-AL"/>
        </w:rPr>
      </w:pPr>
      <w:r w:rsidRPr="00E91B0C">
        <w:rPr>
          <w:rFonts w:ascii="Garamond" w:hAnsi="Garamond"/>
          <w:szCs w:val="24"/>
          <w:lang w:val="sq-AL"/>
        </w:rPr>
        <w:t xml:space="preserve">13. Më 20 </w:t>
      </w:r>
      <w:r w:rsidR="00FE04A3" w:rsidRPr="00E91B0C">
        <w:rPr>
          <w:rFonts w:ascii="Garamond" w:hAnsi="Garamond"/>
          <w:szCs w:val="24"/>
          <w:lang w:val="sq-AL"/>
        </w:rPr>
        <w:t xml:space="preserve">nëntor </w:t>
      </w:r>
      <w:r w:rsidRPr="00E91B0C">
        <w:rPr>
          <w:rFonts w:ascii="Garamond" w:hAnsi="Garamond"/>
          <w:szCs w:val="24"/>
          <w:lang w:val="sq-AL"/>
        </w:rPr>
        <w:t xml:space="preserve">2013, sipas të dhënave të paraqitura nga kërkuesit, </w:t>
      </w:r>
      <w:r w:rsidR="002A4BD9" w:rsidRPr="00E91B0C">
        <w:rPr>
          <w:rFonts w:ascii="Garamond" w:hAnsi="Garamond"/>
          <w:szCs w:val="24"/>
          <w:lang w:val="sq-AL"/>
        </w:rPr>
        <w:t>zëvendës</w:t>
      </w:r>
      <w:r w:rsidR="002A4BD9">
        <w:rPr>
          <w:rFonts w:ascii="Garamond" w:hAnsi="Garamond"/>
          <w:szCs w:val="24"/>
          <w:lang w:val="sq-AL"/>
        </w:rPr>
        <w:t>m</w:t>
      </w:r>
      <w:r w:rsidR="002A4BD9" w:rsidRPr="00E91B0C">
        <w:rPr>
          <w:rFonts w:ascii="Garamond" w:hAnsi="Garamond"/>
          <w:szCs w:val="24"/>
          <w:lang w:val="sq-AL"/>
        </w:rPr>
        <w:t xml:space="preserve">inistri </w:t>
      </w:r>
      <w:r w:rsidRPr="00E91B0C">
        <w:rPr>
          <w:rFonts w:ascii="Garamond" w:hAnsi="Garamond"/>
          <w:szCs w:val="24"/>
          <w:lang w:val="sq-AL"/>
        </w:rPr>
        <w:t>i T</w:t>
      </w:r>
      <w:r w:rsidR="002A4BD9">
        <w:rPr>
          <w:rFonts w:ascii="Garamond" w:hAnsi="Garamond"/>
          <w:szCs w:val="24"/>
          <w:lang w:val="sq-AL"/>
        </w:rPr>
        <w:t>ransporteve dhe Infrastrukturës</w:t>
      </w:r>
      <w:r w:rsidRPr="00E91B0C">
        <w:rPr>
          <w:rFonts w:ascii="Garamond" w:hAnsi="Garamond"/>
          <w:szCs w:val="24"/>
          <w:lang w:val="sq-AL"/>
        </w:rPr>
        <w:t xml:space="preserve"> i asaj periudhe, në një intervistë televizive për kanalin kombëtar </w:t>
      </w:r>
      <w:r w:rsidRPr="002A4BD9">
        <w:rPr>
          <w:rFonts w:ascii="Garamond" w:hAnsi="Garamond"/>
          <w:i/>
          <w:szCs w:val="24"/>
          <w:lang w:val="sq-AL"/>
        </w:rPr>
        <w:t>Top Channel</w:t>
      </w:r>
      <w:r w:rsidRPr="00E91B0C">
        <w:rPr>
          <w:rFonts w:ascii="Garamond" w:hAnsi="Garamond"/>
          <w:szCs w:val="24"/>
          <w:lang w:val="sq-AL"/>
        </w:rPr>
        <w:t xml:space="preserve">, dhënë për Rezidencën Jon, kishte deklaruar se: </w:t>
      </w:r>
      <w:r w:rsidRPr="00E91B0C">
        <w:rPr>
          <w:rFonts w:ascii="Garamond" w:hAnsi="Garamond"/>
          <w:sz w:val="22"/>
          <w:lang w:val="sq-AL"/>
        </w:rPr>
        <w:t xml:space="preserve">“... Shteti ka të drejtën ta kthejë tokën përsëri në gjendjen e saj të mëparshme. Shembja e godinës është një pasojë e padiskutueshme. Toka duhet të pastrohet. Nëse kjo nënkupton se duhet të prishet ndërtesa, atëherë shembja duhet të ndodhë. Shembja nuk është një qëllim </w:t>
      </w:r>
      <w:r w:rsidRPr="00E91B0C">
        <w:rPr>
          <w:rFonts w:ascii="Garamond" w:hAnsi="Garamond"/>
          <w:i/>
          <w:sz w:val="22"/>
          <w:lang w:val="sq-AL"/>
        </w:rPr>
        <w:t xml:space="preserve">per se. </w:t>
      </w:r>
      <w:r w:rsidRPr="00E91B0C">
        <w:rPr>
          <w:rFonts w:ascii="Garamond" w:hAnsi="Garamond"/>
          <w:sz w:val="22"/>
          <w:lang w:val="sq-AL"/>
        </w:rPr>
        <w:t>Është rezultat i një sërë aktesh të paligjshme, një sërë shkeljesh flagrante të ligjit shqiptar</w:t>
      </w:r>
      <w:r w:rsidR="008A7DCB">
        <w:rPr>
          <w:rFonts w:ascii="Garamond" w:hAnsi="Garamond"/>
          <w:sz w:val="22"/>
          <w:lang w:val="sq-AL"/>
        </w:rPr>
        <w:t xml:space="preserve"> </w:t>
      </w:r>
      <w:r w:rsidRPr="00E91B0C">
        <w:rPr>
          <w:rFonts w:ascii="Garamond" w:hAnsi="Garamond"/>
          <w:sz w:val="22"/>
          <w:lang w:val="sq-AL"/>
        </w:rPr>
        <w:t>... Zyra e Regjistrimit të Pasurive të Paluajtshme futet në këtë valle të paligjshmërisë</w:t>
      </w:r>
      <w:r w:rsidR="00534D10">
        <w:rPr>
          <w:rFonts w:ascii="Garamond" w:hAnsi="Garamond"/>
          <w:sz w:val="22"/>
          <w:lang w:val="sq-AL"/>
        </w:rPr>
        <w:t>,</w:t>
      </w:r>
      <w:r w:rsidRPr="00E91B0C">
        <w:rPr>
          <w:rFonts w:ascii="Garamond" w:hAnsi="Garamond"/>
          <w:sz w:val="22"/>
          <w:lang w:val="sq-AL"/>
        </w:rPr>
        <w:t xml:space="preserve"> atëherë është Këshilli i Bashkisë Vlorë, i cili</w:t>
      </w:r>
      <w:r w:rsidR="00292FB8">
        <w:rPr>
          <w:rFonts w:ascii="Garamond" w:hAnsi="Garamond"/>
          <w:sz w:val="22"/>
          <w:lang w:val="sq-AL"/>
        </w:rPr>
        <w:t>,</w:t>
      </w:r>
      <w:r w:rsidRPr="00E91B0C">
        <w:rPr>
          <w:rFonts w:ascii="Garamond" w:hAnsi="Garamond"/>
          <w:sz w:val="22"/>
          <w:lang w:val="sq-AL"/>
        </w:rPr>
        <w:t xml:space="preserve"> në kundërshtim me urbanistikën dhe për sa i përket tokës, e cila nuk ekziston</w:t>
      </w:r>
      <w:r w:rsidR="00292FB8">
        <w:rPr>
          <w:rFonts w:ascii="Garamond" w:hAnsi="Garamond"/>
          <w:sz w:val="22"/>
          <w:lang w:val="sq-AL"/>
        </w:rPr>
        <w:t xml:space="preserve">, </w:t>
      </w:r>
      <w:r w:rsidRPr="00E91B0C">
        <w:rPr>
          <w:rFonts w:ascii="Garamond" w:hAnsi="Garamond"/>
          <w:sz w:val="22"/>
          <w:lang w:val="sq-AL"/>
        </w:rPr>
        <w:t>ka lëshuar një leje ndërtimi. Zyra e Regjistrimit të Pasurive të Paluajtshme ka regjistruar një ndërtim me vlerë zero, nul. Ky është një ndërtim 3000 m</w:t>
      </w:r>
      <w:r w:rsidRPr="00E91B0C">
        <w:rPr>
          <w:rFonts w:ascii="Garamond" w:hAnsi="Garamond"/>
          <w:sz w:val="22"/>
          <w:vertAlign w:val="superscript"/>
          <w:lang w:val="sq-AL"/>
        </w:rPr>
        <w:t>2</w:t>
      </w:r>
      <w:r w:rsidRPr="00E91B0C">
        <w:rPr>
          <w:rFonts w:ascii="Garamond" w:hAnsi="Garamond"/>
          <w:sz w:val="22"/>
          <w:lang w:val="sq-AL"/>
        </w:rPr>
        <w:t xml:space="preserve"> në një truall me sipërfaqe vetëm 600 m</w:t>
      </w:r>
      <w:r w:rsidRPr="00E91B0C">
        <w:rPr>
          <w:rFonts w:ascii="Garamond" w:hAnsi="Garamond"/>
          <w:sz w:val="22"/>
          <w:vertAlign w:val="superscript"/>
          <w:lang w:val="sq-AL"/>
        </w:rPr>
        <w:t>2</w:t>
      </w:r>
      <w:r w:rsidR="003F4148">
        <w:rPr>
          <w:rFonts w:ascii="Garamond" w:hAnsi="Garamond"/>
          <w:sz w:val="22"/>
          <w:vertAlign w:val="superscript"/>
          <w:lang w:val="sq-AL"/>
        </w:rPr>
        <w:t xml:space="preserve"> </w:t>
      </w:r>
      <w:r w:rsidRPr="00E91B0C">
        <w:rPr>
          <w:rFonts w:ascii="Garamond" w:hAnsi="Garamond"/>
          <w:sz w:val="22"/>
          <w:lang w:val="sq-AL"/>
        </w:rPr>
        <w:t>... është si një skenë e përgatitur për një spektakël të vendosur në skenë nga autoritete të korruptuar</w:t>
      </w:r>
      <w:r w:rsidR="00534D10">
        <w:rPr>
          <w:rFonts w:ascii="Garamond" w:hAnsi="Garamond"/>
          <w:sz w:val="22"/>
          <w:lang w:val="sq-AL"/>
        </w:rPr>
        <w:t>a</w:t>
      </w:r>
      <w:r w:rsidRPr="00E91B0C">
        <w:rPr>
          <w:rFonts w:ascii="Garamond" w:hAnsi="Garamond"/>
          <w:sz w:val="22"/>
          <w:lang w:val="sq-AL"/>
        </w:rPr>
        <w:t>. Ne e kemi arritur këtë pikë në shkelje flagrante të ligjit</w:t>
      </w:r>
      <w:r w:rsidR="008A7DCB">
        <w:rPr>
          <w:rFonts w:ascii="Garamond" w:hAnsi="Garamond"/>
          <w:sz w:val="22"/>
          <w:lang w:val="sq-AL"/>
        </w:rPr>
        <w:t xml:space="preserve"> </w:t>
      </w:r>
      <w:r w:rsidRPr="00E91B0C">
        <w:rPr>
          <w:rFonts w:ascii="Garamond" w:hAnsi="Garamond"/>
          <w:sz w:val="22"/>
          <w:lang w:val="sq-AL"/>
        </w:rPr>
        <w:t xml:space="preserve">... cilido mund të kishte qenë viktimë si </w:t>
      </w:r>
      <w:r w:rsidRPr="00E91B0C">
        <w:rPr>
          <w:rFonts w:ascii="Garamond" w:hAnsi="Garamond"/>
          <w:sz w:val="22"/>
          <w:lang w:val="sq-AL"/>
        </w:rPr>
        <w:lastRenderedPageBreak/>
        <w:t>rezultat i kësaj serie paligjshmërish</w:t>
      </w:r>
      <w:r w:rsidR="001073BE">
        <w:rPr>
          <w:rFonts w:ascii="Garamond" w:hAnsi="Garamond"/>
          <w:sz w:val="22"/>
          <w:lang w:val="sq-AL"/>
        </w:rPr>
        <w:t>t</w:t>
      </w:r>
      <w:r w:rsidRPr="00E91B0C">
        <w:rPr>
          <w:rFonts w:ascii="Garamond" w:hAnsi="Garamond"/>
          <w:sz w:val="22"/>
          <w:lang w:val="sq-AL"/>
        </w:rPr>
        <w:t>. Ata të cilët kanë blerë apartamente në këtë godinë janë viktima. Këta njerëz nuk mund të trajtohen në të njëjtën mënyrë si ata të cilët kanë shkelur ligjin në mënyrë flagrante. Qeveria duhet të miratojë një fond për kompensimin e plotë të personave, të cilët kanë blerë apartamente në këtë godinë</w:t>
      </w:r>
      <w:r w:rsidR="008A7DCB">
        <w:rPr>
          <w:rFonts w:ascii="Garamond" w:hAnsi="Garamond"/>
          <w:sz w:val="22"/>
          <w:lang w:val="sq-AL"/>
        </w:rPr>
        <w:t xml:space="preserve"> </w:t>
      </w:r>
      <w:r w:rsidRPr="00E91B0C">
        <w:rPr>
          <w:rFonts w:ascii="Garamond" w:hAnsi="Garamond"/>
          <w:sz w:val="22"/>
          <w:lang w:val="sq-AL"/>
        </w:rPr>
        <w:t>...”</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14. Më 28 </w:t>
      </w:r>
      <w:r w:rsidR="0018461E" w:rsidRPr="00E91B0C">
        <w:rPr>
          <w:rFonts w:ascii="Garamond" w:hAnsi="Garamond"/>
          <w:szCs w:val="24"/>
          <w:lang w:val="sq-AL"/>
        </w:rPr>
        <w:t>n</w:t>
      </w:r>
      <w:r w:rsidRPr="00E91B0C">
        <w:rPr>
          <w:rFonts w:ascii="Garamond" w:hAnsi="Garamond"/>
          <w:szCs w:val="24"/>
          <w:lang w:val="sq-AL"/>
        </w:rPr>
        <w:t xml:space="preserve">ëntor 2013, sipas të dhënave të paraqitura nga kërkuesit, Kryeministri deklaroi publikisht se </w:t>
      </w:r>
      <w:r w:rsidR="0018461E" w:rsidRPr="00E91B0C">
        <w:rPr>
          <w:rFonts w:ascii="Garamond" w:hAnsi="Garamond"/>
          <w:szCs w:val="24"/>
          <w:lang w:val="sq-AL"/>
        </w:rPr>
        <w:t>q</w:t>
      </w:r>
      <w:r w:rsidRPr="00E91B0C">
        <w:rPr>
          <w:rFonts w:ascii="Garamond" w:hAnsi="Garamond"/>
          <w:szCs w:val="24"/>
          <w:lang w:val="sq-AL"/>
        </w:rPr>
        <w:t xml:space="preserve">everia synonte të realizonte një projekt për ndërtimin e Lungomares, një shëtitore pranë bregut të detit në Vlorë, me objektivin për t’u përfunduar në verën e vitit 2015. Gjithashtu, ai deklaroi se </w:t>
      </w:r>
      <w:r w:rsidR="0018461E" w:rsidRPr="00E91B0C">
        <w:rPr>
          <w:rFonts w:ascii="Garamond" w:hAnsi="Garamond"/>
          <w:szCs w:val="24"/>
          <w:lang w:val="sq-AL"/>
        </w:rPr>
        <w:t>q</w:t>
      </w:r>
      <w:r w:rsidRPr="00E91B0C">
        <w:rPr>
          <w:rFonts w:ascii="Garamond" w:hAnsi="Garamond"/>
          <w:szCs w:val="24"/>
          <w:lang w:val="sq-AL"/>
        </w:rPr>
        <w:t xml:space="preserve">everia do të shpallte një tender për projektin.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15. Rezidenca Jon u shemb me eksploziv në periudhën nga data 4 dhjetor 2013 deri më 8 dhjetor 2013.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10" w:name="_Toc520459325"/>
      <w:bookmarkStart w:id="11" w:name="_Toc480367216"/>
      <w:bookmarkStart w:id="12" w:name="_Toc480559183"/>
      <w:bookmarkStart w:id="13" w:name="_Toc481504543"/>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Procedimet gjyqësore në lidhje me masën e përkohshme dhe procedimet për zbatimin e saj</w:t>
      </w:r>
      <w:bookmarkEnd w:id="10"/>
      <w:r w:rsidR="00E91B0C">
        <w:rPr>
          <w:rFonts w:ascii="Garamond" w:hAnsi="Garamond"/>
          <w:szCs w:val="24"/>
          <w:lang w:val="sq-AL"/>
        </w:rPr>
        <w:t xml:space="preserve"> </w:t>
      </w:r>
      <w:bookmarkEnd w:id="11"/>
      <w:bookmarkEnd w:id="12"/>
      <w:bookmarkEnd w:id="13"/>
    </w:p>
    <w:p w:rsidR="00395112" w:rsidRPr="00E91B0C" w:rsidRDefault="00EC3D4E" w:rsidP="00395112">
      <w:pPr>
        <w:pStyle w:val="JuPara"/>
        <w:widowControl w:val="0"/>
        <w:rPr>
          <w:rFonts w:ascii="Garamond" w:hAnsi="Garamond"/>
          <w:szCs w:val="24"/>
          <w:lang w:val="sq-AL"/>
        </w:rPr>
      </w:pPr>
      <w:r>
        <w:rPr>
          <w:rFonts w:ascii="Garamond" w:hAnsi="Garamond"/>
          <w:szCs w:val="24"/>
          <w:lang w:val="sq-AL"/>
        </w:rPr>
        <w:t>16</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Më 4 nëntor 2013, njëmbëdhjetë banorë, duke përfshirë nëntë nga kërkuesit (E. Durolli, A. Deromemaj, V. Kacorri, P. Rakipaj, G. Calliku, V. Calliku, B. Rakipaj, Xh. Sharxhi dhe E. Ballanca) paraqitën një padi në Gjykatën Ad</w:t>
      </w:r>
      <w:r w:rsidR="008B2E1D">
        <w:rPr>
          <w:rFonts w:ascii="Garamond" w:hAnsi="Garamond"/>
          <w:szCs w:val="24"/>
          <w:lang w:val="sq-AL"/>
        </w:rPr>
        <w:t>ministrative të Rrethit Vlorë (Gjykata e Rrethit</w:t>
      </w:r>
      <w:r w:rsidR="00395112" w:rsidRPr="00E91B0C">
        <w:rPr>
          <w:rFonts w:ascii="Garamond" w:hAnsi="Garamond"/>
          <w:szCs w:val="24"/>
          <w:lang w:val="sq-AL"/>
        </w:rPr>
        <w:t>) kundër INUK-ut dhe INU</w:t>
      </w:r>
      <w:r w:rsidR="00E26C4E">
        <w:rPr>
          <w:rFonts w:ascii="Garamond" w:hAnsi="Garamond"/>
          <w:szCs w:val="24"/>
          <w:lang w:val="sq-AL"/>
        </w:rPr>
        <w:t>-së</w:t>
      </w:r>
      <w:r w:rsidR="00395112" w:rsidRPr="00E91B0C">
        <w:rPr>
          <w:rFonts w:ascii="Garamond" w:hAnsi="Garamond"/>
          <w:szCs w:val="24"/>
          <w:lang w:val="sq-AL"/>
        </w:rPr>
        <w:t xml:space="preserve">, duke kërkuar “konstatimin e paligjshmërisë së veprimit administrativ të kryer nga pala e paditur, </w:t>
      </w:r>
      <w:r w:rsidR="00457CC2">
        <w:rPr>
          <w:rFonts w:ascii="Garamond" w:hAnsi="Garamond"/>
          <w:szCs w:val="24"/>
          <w:lang w:val="sq-AL"/>
        </w:rPr>
        <w:t>të</w:t>
      </w:r>
      <w:r w:rsidR="00395112" w:rsidRPr="00E91B0C">
        <w:rPr>
          <w:rFonts w:ascii="Garamond" w:hAnsi="Garamond"/>
          <w:szCs w:val="24"/>
          <w:lang w:val="sq-AL"/>
        </w:rPr>
        <w:t xml:space="preserve"> datës 3 </w:t>
      </w:r>
      <w:r w:rsidR="003A12A9" w:rsidRPr="00E91B0C">
        <w:rPr>
          <w:rFonts w:ascii="Garamond" w:hAnsi="Garamond"/>
          <w:szCs w:val="24"/>
          <w:lang w:val="sq-AL"/>
        </w:rPr>
        <w:t xml:space="preserve">nëntor </w:t>
      </w:r>
      <w:r w:rsidR="00395112" w:rsidRPr="00E91B0C">
        <w:rPr>
          <w:rFonts w:ascii="Garamond" w:hAnsi="Garamond"/>
          <w:szCs w:val="24"/>
          <w:lang w:val="sq-AL"/>
        </w:rPr>
        <w:t xml:space="preserve">2013, që ka </w:t>
      </w:r>
      <w:r w:rsidR="00E26C4E">
        <w:rPr>
          <w:rFonts w:ascii="Garamond" w:hAnsi="Garamond"/>
          <w:szCs w:val="24"/>
          <w:lang w:val="sq-AL"/>
        </w:rPr>
        <w:t xml:space="preserve">rezultuar se </w:t>
      </w:r>
      <w:r w:rsidR="00292FB8" w:rsidRPr="00E91B0C">
        <w:rPr>
          <w:rFonts w:ascii="Garamond" w:hAnsi="Garamond"/>
          <w:szCs w:val="24"/>
          <w:lang w:val="sq-AL"/>
        </w:rPr>
        <w:t>cenimin</w:t>
      </w:r>
      <w:r w:rsidR="00395112" w:rsidRPr="00E91B0C">
        <w:rPr>
          <w:rFonts w:ascii="Garamond" w:hAnsi="Garamond"/>
          <w:szCs w:val="24"/>
          <w:lang w:val="sq-AL"/>
        </w:rPr>
        <w:t xml:space="preserve"> e të drejtave të pronësisë së paditësve; detyrimi</w:t>
      </w:r>
      <w:r w:rsidR="00457CC2">
        <w:rPr>
          <w:rFonts w:ascii="Garamond" w:hAnsi="Garamond"/>
          <w:szCs w:val="24"/>
          <w:lang w:val="sq-AL"/>
        </w:rPr>
        <w:t>n</w:t>
      </w:r>
      <w:r w:rsidR="00395112" w:rsidRPr="00E91B0C">
        <w:rPr>
          <w:rFonts w:ascii="Garamond" w:hAnsi="Garamond"/>
          <w:szCs w:val="24"/>
          <w:lang w:val="sq-AL"/>
        </w:rPr>
        <w:t xml:space="preserve"> </w:t>
      </w:r>
      <w:r w:rsidR="00457CC2">
        <w:rPr>
          <w:rFonts w:ascii="Garamond" w:hAnsi="Garamond"/>
          <w:szCs w:val="24"/>
          <w:lang w:val="sq-AL"/>
        </w:rPr>
        <w:t>e</w:t>
      </w:r>
      <w:r w:rsidR="00395112" w:rsidRPr="00E91B0C">
        <w:rPr>
          <w:rFonts w:ascii="Garamond" w:hAnsi="Garamond"/>
          <w:szCs w:val="24"/>
          <w:lang w:val="sq-AL"/>
        </w:rPr>
        <w:t xml:space="preserve"> organit administrativ INUK dhe INU Vlorë për të ndaluar kryerjen e një veprimi tjetër administrativ, të nevojshëm për mbrojtjen e të drejtave të paditësve”.</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17. Nga vendimi i Gjykatës së Rrethit, të datës 7 nëntor 2013 (shih paragrafin 19 më poshtë) rezulton se gjatë procedimeve, kërkuesit kishin argumentuar se veprimet e ndërmarra nga INUK-u dhe INU</w:t>
      </w:r>
      <w:r w:rsidR="00043325">
        <w:rPr>
          <w:rFonts w:ascii="Garamond" w:hAnsi="Garamond"/>
          <w:szCs w:val="24"/>
          <w:lang w:val="sq-AL"/>
        </w:rPr>
        <w:t>-së</w:t>
      </w:r>
      <w:r w:rsidRPr="00E91B0C">
        <w:rPr>
          <w:rFonts w:ascii="Garamond" w:hAnsi="Garamond"/>
          <w:szCs w:val="24"/>
          <w:lang w:val="sq-AL"/>
        </w:rPr>
        <w:t xml:space="preserve"> Vlor</w:t>
      </w:r>
      <w:r w:rsidR="003C06FD">
        <w:rPr>
          <w:rFonts w:ascii="Garamond" w:hAnsi="Garamond"/>
          <w:szCs w:val="24"/>
          <w:lang w:val="sq-AL"/>
        </w:rPr>
        <w:t>ë</w:t>
      </w:r>
      <w:r w:rsidRPr="00E91B0C">
        <w:rPr>
          <w:rFonts w:ascii="Garamond" w:hAnsi="Garamond"/>
          <w:szCs w:val="24"/>
          <w:lang w:val="sq-AL"/>
        </w:rPr>
        <w:t xml:space="preserve"> kishin qenë arbitrare, sepse ndërtimi ishte i ligjshëm dhe në përputhje me rregullat e urbanizimit. Ata pretendonin se policët dhe përfaqësuesit e INUK</w:t>
      </w:r>
      <w:r w:rsidR="00537673">
        <w:rPr>
          <w:rFonts w:ascii="Garamond" w:hAnsi="Garamond"/>
          <w:szCs w:val="24"/>
          <w:lang w:val="sq-AL"/>
        </w:rPr>
        <w:t>-ut</w:t>
      </w:r>
      <w:r w:rsidRPr="00E91B0C">
        <w:rPr>
          <w:rFonts w:ascii="Garamond" w:hAnsi="Garamond"/>
          <w:szCs w:val="24"/>
          <w:lang w:val="sq-AL"/>
        </w:rPr>
        <w:t xml:space="preserve"> dhe të INU</w:t>
      </w:r>
      <w:r w:rsidR="0006720D">
        <w:rPr>
          <w:rFonts w:ascii="Garamond" w:hAnsi="Garamond"/>
          <w:szCs w:val="24"/>
          <w:lang w:val="sq-AL"/>
        </w:rPr>
        <w:t>-së</w:t>
      </w:r>
      <w:r w:rsidRPr="00E91B0C">
        <w:rPr>
          <w:rFonts w:ascii="Garamond" w:hAnsi="Garamond"/>
          <w:szCs w:val="24"/>
          <w:lang w:val="sq-AL"/>
        </w:rPr>
        <w:t xml:space="preserve"> Vlor</w:t>
      </w:r>
      <w:r w:rsidR="00537673">
        <w:rPr>
          <w:rFonts w:ascii="Garamond" w:hAnsi="Garamond"/>
          <w:szCs w:val="24"/>
          <w:lang w:val="sq-AL"/>
        </w:rPr>
        <w:t>ë</w:t>
      </w:r>
      <w:r w:rsidRPr="00E91B0C">
        <w:rPr>
          <w:rFonts w:ascii="Garamond" w:hAnsi="Garamond"/>
          <w:szCs w:val="24"/>
          <w:lang w:val="sq-AL"/>
        </w:rPr>
        <w:t xml:space="preserve"> nuk i kishin lejuar të hynin në godinë, duke e rrethuar ndërtesën me një shirit të skenave të krimit. Rrethimi i godinës ishte bërë me synimin për ta prishur atë, sepse autoritetet tashmë kishin proceduar në po të njëjtën mënyrë me ndërtesa të tjera, fakt i cili e bënte edhe më të dukshme situatën se ekzistonte rreziku për pasoja negative për kërkuesit. Veprimet e ndërmarra, që do të thotë rrethimi i godinës me synimin për ta prishur atë pa realizuar një analizë të detajuar për faktin nëse dokumentacioni ishte i paligjshëm dhe pa e shqyrtuar situatën nga një gjykatë, kishte rezultuar në një ndërhyrje ekstreme në të drejtën e pronësisë së kërkuesve.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18. Gjatë atyre procedimeve, më tej, kërkuesit i kërkuan Gjykatës së Rrethit të lëshonte një urdhër të përkohshëm për masat e nevojshme për të pezulluar zbatimin e veprimit administrativ të sipërpërmendur dhe për heqjen e pengesave të cilat kishin bërë të mundur marrjen e ndërtesës</w:t>
      </w:r>
      <w:r w:rsidR="00E91B0C">
        <w:rPr>
          <w:rFonts w:ascii="Garamond" w:hAnsi="Garamond"/>
          <w:szCs w:val="24"/>
          <w:lang w:val="sq-AL"/>
        </w:rPr>
        <w:t xml:space="preserve"> </w:t>
      </w:r>
      <w:r w:rsidRPr="00E91B0C">
        <w:rPr>
          <w:rFonts w:ascii="Garamond" w:hAnsi="Garamond"/>
          <w:szCs w:val="24"/>
          <w:lang w:val="sq-AL"/>
        </w:rPr>
        <w:t xml:space="preserve">dhe e kishin bërë të pamundur për ta të përdornin pronat e tyre, si edhe një pezullim të të gjitha vendimeve administrative tashmë të shpallura ose të cilat ishin në proces për t’u shpallur, në lidhje me shembjen e ndërtimit të ligjshëm. </w:t>
      </w:r>
    </w:p>
    <w:p w:rsidR="00395112" w:rsidRPr="00E91B0C" w:rsidRDefault="00395112" w:rsidP="00395112">
      <w:pPr>
        <w:pStyle w:val="JuPara"/>
        <w:widowControl w:val="0"/>
        <w:rPr>
          <w:rFonts w:ascii="Garamond" w:hAnsi="Garamond"/>
          <w:sz w:val="22"/>
          <w:lang w:val="sq-AL"/>
        </w:rPr>
      </w:pPr>
      <w:r w:rsidRPr="00E91B0C">
        <w:rPr>
          <w:rFonts w:ascii="Garamond" w:hAnsi="Garamond"/>
          <w:szCs w:val="24"/>
          <w:lang w:val="sq-AL"/>
        </w:rPr>
        <w:t xml:space="preserve">19. Më 7 nëntor 2013, Gjykata e Rrethit, sipas </w:t>
      </w:r>
      <w:r w:rsidR="001073BE" w:rsidRPr="00E91B0C">
        <w:rPr>
          <w:rFonts w:ascii="Garamond" w:hAnsi="Garamond"/>
          <w:szCs w:val="24"/>
          <w:lang w:val="sq-AL"/>
        </w:rPr>
        <w:t>n</w:t>
      </w:r>
      <w:r w:rsidRPr="00E91B0C">
        <w:rPr>
          <w:rFonts w:ascii="Garamond" w:hAnsi="Garamond"/>
          <w:szCs w:val="24"/>
          <w:lang w:val="sq-AL"/>
        </w:rPr>
        <w:t xml:space="preserve">eneve 202 dhe në vijim </w:t>
      </w:r>
      <w:r w:rsidR="008B2E1D">
        <w:rPr>
          <w:rFonts w:ascii="Garamond" w:hAnsi="Garamond"/>
          <w:szCs w:val="24"/>
          <w:lang w:val="sq-AL"/>
        </w:rPr>
        <w:t>të Kodit të Procedurës Civile (KPC</w:t>
      </w:r>
      <w:r w:rsidRPr="00E91B0C">
        <w:rPr>
          <w:rFonts w:ascii="Garamond" w:hAnsi="Garamond"/>
          <w:szCs w:val="24"/>
          <w:lang w:val="sq-AL"/>
        </w:rPr>
        <w:t xml:space="preserve">) dhe </w:t>
      </w:r>
      <w:r w:rsidR="001073BE" w:rsidRPr="00E91B0C">
        <w:rPr>
          <w:rFonts w:ascii="Garamond" w:hAnsi="Garamond"/>
          <w:szCs w:val="24"/>
          <w:lang w:val="sq-AL"/>
        </w:rPr>
        <w:t>n</w:t>
      </w:r>
      <w:r w:rsidRPr="00E91B0C">
        <w:rPr>
          <w:rFonts w:ascii="Garamond" w:hAnsi="Garamond"/>
          <w:szCs w:val="24"/>
          <w:lang w:val="sq-AL"/>
        </w:rPr>
        <w:t xml:space="preserve">eneve 28, 29 dhe 30 të </w:t>
      </w:r>
      <w:r w:rsidR="001073BE" w:rsidRPr="00E91B0C">
        <w:rPr>
          <w:rFonts w:ascii="Garamond" w:hAnsi="Garamond"/>
          <w:szCs w:val="24"/>
          <w:lang w:val="sq-AL"/>
        </w:rPr>
        <w:t xml:space="preserve">aktit për mosmarrëveshjet administrative </w:t>
      </w:r>
      <w:r w:rsidRPr="00E91B0C">
        <w:rPr>
          <w:rFonts w:ascii="Garamond" w:hAnsi="Garamond"/>
          <w:szCs w:val="24"/>
          <w:lang w:val="sq-AL"/>
        </w:rPr>
        <w:t>(shih më poshtë “</w:t>
      </w:r>
      <w:r w:rsidR="003C06FD" w:rsidRPr="00E91B0C">
        <w:rPr>
          <w:rFonts w:ascii="Garamond" w:hAnsi="Garamond"/>
          <w:szCs w:val="24"/>
          <w:lang w:val="sq-AL"/>
        </w:rPr>
        <w:t xml:space="preserve">ligjin </w:t>
      </w:r>
      <w:r w:rsidRPr="00E91B0C">
        <w:rPr>
          <w:rFonts w:ascii="Garamond" w:hAnsi="Garamond"/>
          <w:szCs w:val="24"/>
          <w:lang w:val="sq-AL"/>
        </w:rPr>
        <w:t xml:space="preserve">dhe praktikën </w:t>
      </w:r>
      <w:r w:rsidR="003C06FD">
        <w:rPr>
          <w:rFonts w:ascii="Garamond" w:hAnsi="Garamond"/>
          <w:szCs w:val="24"/>
          <w:lang w:val="sq-AL"/>
        </w:rPr>
        <w:t>vendës</w:t>
      </w:r>
      <w:r w:rsidRPr="00E91B0C">
        <w:rPr>
          <w:rFonts w:ascii="Garamond" w:hAnsi="Garamond"/>
          <w:szCs w:val="24"/>
          <w:lang w:val="sq-AL"/>
        </w:rPr>
        <w:t>e respektive”), në parashikimet e saj operative urdhëroi: “lëshimin e një vendimi të përkohshëm i cili pezullon veprimet administrative të çdo autoriteti publik, i cili mund të ndërhyjë në gëzimin e qetë nga kërkuesit të pronave të tyre respektive</w:t>
      </w:r>
      <w:r w:rsidR="00CD4F9A">
        <w:rPr>
          <w:rFonts w:ascii="Garamond" w:hAnsi="Garamond"/>
          <w:szCs w:val="24"/>
          <w:lang w:val="sq-AL"/>
        </w:rPr>
        <w:t xml:space="preserve"> </w:t>
      </w:r>
      <w:r w:rsidR="008A7DCB">
        <w:rPr>
          <w:rFonts w:ascii="Garamond" w:hAnsi="Garamond"/>
          <w:szCs w:val="24"/>
          <w:lang w:val="sq-AL"/>
        </w:rPr>
        <w:t>...</w:t>
      </w:r>
      <w:r w:rsidRPr="00E91B0C">
        <w:rPr>
          <w:rFonts w:ascii="Garamond" w:hAnsi="Garamond"/>
          <w:szCs w:val="24"/>
          <w:lang w:val="sq-AL"/>
        </w:rPr>
        <w:t xml:space="preserve"> urdhri i përkohshëm do të jetë në fuqi deri në dhënien e një vendimi në themel, nëse vet</w:t>
      </w:r>
      <w:r w:rsidR="0037326F">
        <w:rPr>
          <w:rFonts w:ascii="Garamond" w:hAnsi="Garamond"/>
          <w:szCs w:val="24"/>
          <w:lang w:val="sq-AL"/>
        </w:rPr>
        <w:t>ë</w:t>
      </w:r>
      <w:r w:rsidRPr="00E91B0C">
        <w:rPr>
          <w:rFonts w:ascii="Garamond" w:hAnsi="Garamond"/>
          <w:szCs w:val="24"/>
          <w:lang w:val="sq-AL"/>
        </w:rPr>
        <w:t xml:space="preserve"> kërkuesit nisin procedime në themel brenda 10 ditëve nga urdhri i përkohshëm për të kundërshtuar masat administrative ose çdo vendim administrativ, i cili do të miratohet në lidhje me pronat e tyre”. Vendimi, për aq sa ka lidhje me çështjen, arsyetonte si më poshtë vijon: </w:t>
      </w:r>
      <w:r w:rsidRPr="00E91B0C">
        <w:rPr>
          <w:rFonts w:ascii="Garamond" w:hAnsi="Garamond"/>
          <w:sz w:val="22"/>
          <w:lang w:val="sq-AL"/>
        </w:rPr>
        <w:t>“... provohet se kërkuesit</w:t>
      </w:r>
      <w:r w:rsidR="00661F32">
        <w:rPr>
          <w:rFonts w:ascii="Garamond" w:hAnsi="Garamond"/>
          <w:sz w:val="22"/>
          <w:lang w:val="sq-AL"/>
        </w:rPr>
        <w:t>,</w:t>
      </w:r>
      <w:r w:rsidRPr="00E91B0C">
        <w:rPr>
          <w:rFonts w:ascii="Garamond" w:hAnsi="Garamond"/>
          <w:sz w:val="22"/>
          <w:lang w:val="sq-AL"/>
        </w:rPr>
        <w:t xml:space="preserve"> pronarët e apartamenteve në Rezidencën Jon</w:t>
      </w:r>
      <w:r w:rsidR="00661F32">
        <w:rPr>
          <w:rFonts w:ascii="Garamond" w:hAnsi="Garamond"/>
          <w:sz w:val="22"/>
          <w:lang w:val="sq-AL"/>
        </w:rPr>
        <w:t>,</w:t>
      </w:r>
      <w:r w:rsidRPr="00E91B0C">
        <w:rPr>
          <w:rFonts w:ascii="Garamond" w:hAnsi="Garamond"/>
          <w:sz w:val="22"/>
          <w:lang w:val="sq-AL"/>
        </w:rPr>
        <w:t xml:space="preserve"> nuk janë lejuar të hyjnë në pronat e tyre respektive, duke i penguar ata në këtë mënyrë të ushtronin të drejtat e tyre mbi pronën ndaj një prone, të cilën e kishin fituar ligjërisht</w:t>
      </w:r>
      <w:r w:rsidR="00661F32">
        <w:rPr>
          <w:rFonts w:ascii="Garamond" w:hAnsi="Garamond"/>
          <w:sz w:val="22"/>
          <w:lang w:val="sq-AL"/>
        </w:rPr>
        <w:t>,</w:t>
      </w:r>
      <w:r w:rsidRPr="00E91B0C">
        <w:rPr>
          <w:rFonts w:ascii="Garamond" w:hAnsi="Garamond"/>
          <w:sz w:val="22"/>
          <w:lang w:val="sq-AL"/>
        </w:rPr>
        <w:t xml:space="preserve"> në përputhje me ligjin </w:t>
      </w:r>
      <w:r w:rsidR="003C06FD">
        <w:rPr>
          <w:rFonts w:ascii="Garamond" w:hAnsi="Garamond"/>
          <w:sz w:val="22"/>
          <w:lang w:val="sq-AL"/>
        </w:rPr>
        <w:t>vendës</w:t>
      </w:r>
      <w:r w:rsidR="008B2E1D">
        <w:rPr>
          <w:rFonts w:ascii="Garamond" w:hAnsi="Garamond"/>
          <w:sz w:val="22"/>
          <w:lang w:val="sq-AL"/>
        </w:rPr>
        <w:t xml:space="preserve"> </w:t>
      </w:r>
      <w:r w:rsidRPr="00E91B0C">
        <w:rPr>
          <w:rFonts w:ascii="Garamond" w:hAnsi="Garamond"/>
          <w:sz w:val="22"/>
          <w:lang w:val="sq-AL"/>
        </w:rPr>
        <w:t>...</w:t>
      </w:r>
      <w:r w:rsidR="00B0446C">
        <w:rPr>
          <w:rFonts w:ascii="Garamond" w:hAnsi="Garamond"/>
          <w:sz w:val="22"/>
          <w:lang w:val="sq-AL"/>
        </w:rPr>
        <w:t>,</w:t>
      </w:r>
      <w:r w:rsidRPr="00E91B0C">
        <w:rPr>
          <w:rFonts w:ascii="Garamond" w:hAnsi="Garamond"/>
          <w:sz w:val="22"/>
          <w:lang w:val="sq-AL"/>
        </w:rPr>
        <w:t xml:space="preserve"> gjykata mendon se urdhri i përkohshëm duhet të pranohet, sepse kërkuesit kanë paraqitur fakte të cilat provojnë</w:t>
      </w:r>
      <w:r w:rsidR="00A845C6">
        <w:rPr>
          <w:rFonts w:ascii="Garamond" w:hAnsi="Garamond"/>
          <w:sz w:val="22"/>
          <w:lang w:val="sq-AL"/>
        </w:rPr>
        <w:t xml:space="preserve"> </w:t>
      </w:r>
      <w:r w:rsidRPr="00E91B0C">
        <w:rPr>
          <w:rFonts w:ascii="Garamond" w:hAnsi="Garamond"/>
          <w:sz w:val="22"/>
          <w:lang w:val="sq-AL"/>
        </w:rPr>
        <w:t>...</w:t>
      </w:r>
      <w:r w:rsidR="00A845C6">
        <w:rPr>
          <w:rFonts w:ascii="Garamond" w:hAnsi="Garamond"/>
          <w:sz w:val="22"/>
          <w:lang w:val="sq-AL"/>
        </w:rPr>
        <w:t xml:space="preserve">, </w:t>
      </w:r>
      <w:r w:rsidRPr="00E91B0C">
        <w:rPr>
          <w:rFonts w:ascii="Garamond" w:hAnsi="Garamond"/>
          <w:sz w:val="22"/>
          <w:lang w:val="sq-AL"/>
        </w:rPr>
        <w:t>se në rastin kur një padi civile lejohet në themel, ekzekutimi i atij vendimi do të ishte i vështirë ose i pamundur, duke krijuar kështu një situatë ku interesi ligjor ose e drejta subjektive, e njohur nga një vendim gjykate i formës së prerë, mbetet i paefektshëm</w:t>
      </w:r>
      <w:r w:rsidR="008A7DCB">
        <w:rPr>
          <w:rFonts w:ascii="Garamond" w:hAnsi="Garamond"/>
          <w:sz w:val="22"/>
          <w:lang w:val="sq-AL"/>
        </w:rPr>
        <w:t xml:space="preserve"> </w:t>
      </w:r>
      <w:r w:rsidRPr="00E91B0C">
        <w:rPr>
          <w:rFonts w:ascii="Garamond" w:hAnsi="Garamond"/>
          <w:sz w:val="22"/>
          <w:lang w:val="sq-AL"/>
        </w:rPr>
        <w:t>... në çështjen në fjalë urdhri i përkohshëm i kërkuar nga kërkuesit përfaqëson të drejtën e tyre për të shkuar në gjykatë me qëllimin për të parandaluar veprime të tjera nga autoriteti administrativ</w:t>
      </w:r>
      <w:r w:rsidR="008A7DCB">
        <w:rPr>
          <w:rFonts w:ascii="Garamond" w:hAnsi="Garamond"/>
          <w:sz w:val="22"/>
          <w:lang w:val="sq-AL"/>
        </w:rPr>
        <w:t xml:space="preserve"> </w:t>
      </w:r>
      <w:r w:rsidRPr="00E91B0C">
        <w:rPr>
          <w:rFonts w:ascii="Garamond" w:hAnsi="Garamond"/>
          <w:sz w:val="22"/>
          <w:lang w:val="sq-AL"/>
        </w:rPr>
        <w:t>...</w:t>
      </w:r>
      <w:r w:rsidR="00AA3805">
        <w:rPr>
          <w:rFonts w:ascii="Garamond" w:hAnsi="Garamond"/>
          <w:sz w:val="22"/>
          <w:lang w:val="sq-AL"/>
        </w:rPr>
        <w:t xml:space="preserve">, </w:t>
      </w:r>
      <w:r w:rsidRPr="00E91B0C">
        <w:rPr>
          <w:rFonts w:ascii="Garamond" w:hAnsi="Garamond"/>
          <w:sz w:val="22"/>
          <w:lang w:val="sq-AL"/>
        </w:rPr>
        <w:t>duke mbrojtur në këtë mënyrë të drejtat e tyre themelore kushtetuese dhe ligjore deri në shqyrtimin në themel të padive të tyre</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gjykata mendon se INUK</w:t>
      </w:r>
      <w:r w:rsidR="00537673">
        <w:rPr>
          <w:rFonts w:ascii="Garamond" w:hAnsi="Garamond"/>
          <w:sz w:val="22"/>
          <w:lang w:val="sq-AL"/>
        </w:rPr>
        <w:t>-u</w:t>
      </w:r>
      <w:r w:rsidR="008B2E1D">
        <w:rPr>
          <w:rFonts w:ascii="Garamond" w:hAnsi="Garamond"/>
          <w:sz w:val="22"/>
          <w:lang w:val="sq-AL"/>
        </w:rPr>
        <w:t xml:space="preserve"> dhe</w:t>
      </w:r>
      <w:r w:rsidRPr="00E91B0C">
        <w:rPr>
          <w:rFonts w:ascii="Garamond" w:hAnsi="Garamond"/>
          <w:sz w:val="22"/>
          <w:lang w:val="sq-AL"/>
        </w:rPr>
        <w:t xml:space="preserve"> INU</w:t>
      </w:r>
      <w:r w:rsidR="00537673">
        <w:rPr>
          <w:rFonts w:ascii="Garamond" w:hAnsi="Garamond"/>
          <w:sz w:val="22"/>
          <w:lang w:val="sq-AL"/>
        </w:rPr>
        <w:t>-ja</w:t>
      </w:r>
      <w:r w:rsidRPr="00E91B0C">
        <w:rPr>
          <w:rFonts w:ascii="Garamond" w:hAnsi="Garamond"/>
          <w:sz w:val="22"/>
          <w:lang w:val="sq-AL"/>
        </w:rPr>
        <w:t xml:space="preserve"> nuk e kanë dokumentuar vendimin e tyre administrativ në formë</w:t>
      </w:r>
      <w:r w:rsidR="00661F32">
        <w:rPr>
          <w:rFonts w:ascii="Garamond" w:hAnsi="Garamond"/>
          <w:sz w:val="22"/>
          <w:lang w:val="sq-AL"/>
        </w:rPr>
        <w:t>n</w:t>
      </w:r>
      <w:r w:rsidRPr="00E91B0C">
        <w:rPr>
          <w:rFonts w:ascii="Garamond" w:hAnsi="Garamond"/>
          <w:sz w:val="22"/>
          <w:lang w:val="sq-AL"/>
        </w:rPr>
        <w:t xml:space="preserve"> e kërkuar nga ligji</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 xml:space="preserve">sipas </w:t>
      </w:r>
      <w:r w:rsidR="008A7DCB">
        <w:rPr>
          <w:rFonts w:ascii="Garamond" w:hAnsi="Garamond"/>
          <w:sz w:val="22"/>
          <w:lang w:val="sq-AL"/>
        </w:rPr>
        <w:t>s</w:t>
      </w:r>
      <w:r w:rsidRPr="00E91B0C">
        <w:rPr>
          <w:rFonts w:ascii="Garamond" w:hAnsi="Garamond"/>
          <w:sz w:val="22"/>
          <w:lang w:val="sq-AL"/>
        </w:rPr>
        <w:t>ë drejtës administrative ky [veprim administrativ i padokumentuar] konsiderohet edhe si një vendim administrativ</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një gjë e tillë nuk ndikon në pasojat aktuale të ekzekutimit të vendimit, pasoja të cilat mund të shkaktojnë një dëm të pariparueshëm për interesin ligjor dhe të drejtat subjektive të kërkuesve</w:t>
      </w:r>
      <w:r w:rsidR="008B2E1D">
        <w:rPr>
          <w:rFonts w:ascii="Garamond" w:hAnsi="Garamond"/>
          <w:sz w:val="22"/>
          <w:lang w:val="sq-AL"/>
        </w:rPr>
        <w:t xml:space="preserve"> </w:t>
      </w:r>
      <w:r w:rsidRPr="00E91B0C">
        <w:rPr>
          <w:rFonts w:ascii="Garamond" w:hAnsi="Garamond"/>
          <w:sz w:val="22"/>
          <w:lang w:val="sq-AL"/>
        </w:rPr>
        <w:t>...</w:t>
      </w:r>
      <w:r w:rsidR="008B2E1D">
        <w:rPr>
          <w:rFonts w:ascii="Garamond" w:hAnsi="Garamond"/>
          <w:sz w:val="22"/>
          <w:lang w:val="sq-AL"/>
        </w:rPr>
        <w:t xml:space="preserve"> </w:t>
      </w:r>
      <w:r w:rsidRPr="00E91B0C">
        <w:rPr>
          <w:rFonts w:ascii="Garamond" w:hAnsi="Garamond"/>
          <w:sz w:val="22"/>
          <w:lang w:val="sq-AL"/>
        </w:rPr>
        <w:t xml:space="preserve">Gjykata e </w:t>
      </w:r>
      <w:r w:rsidRPr="00E91B0C">
        <w:rPr>
          <w:rFonts w:ascii="Garamond" w:hAnsi="Garamond"/>
          <w:sz w:val="22"/>
          <w:lang w:val="sq-AL"/>
        </w:rPr>
        <w:lastRenderedPageBreak/>
        <w:t>Rrethit mendon se është detyra e një autoriteti administrativ të lëshojë një vendim administrativ në formë të shkruar sipas ligjit, duke respektuar në këtë mënyrë parimin e qeverisjes së mirë së autoriteteve të administratës publike</w:t>
      </w:r>
      <w:r w:rsidR="00896E0E">
        <w:rPr>
          <w:rFonts w:ascii="Garamond" w:hAnsi="Garamond"/>
          <w:sz w:val="22"/>
          <w:lang w:val="sq-AL"/>
        </w:rPr>
        <w:t>,</w:t>
      </w:r>
      <w:r w:rsidRPr="00E91B0C">
        <w:rPr>
          <w:rFonts w:ascii="Garamond" w:hAnsi="Garamond"/>
          <w:sz w:val="22"/>
          <w:lang w:val="sq-AL"/>
        </w:rPr>
        <w:t xml:space="preserve"> si edhe një respektim efikas i të drejtave të palës ndaj së cilës është lëshuar vendimi administrativ, kështu që pala të mund të ndërmarrë procedimet gjyqësore dhe gjithmonë</w:t>
      </w:r>
      <w:r w:rsidR="00CF1767">
        <w:rPr>
          <w:rFonts w:ascii="Garamond" w:hAnsi="Garamond"/>
          <w:sz w:val="22"/>
          <w:lang w:val="sq-AL"/>
        </w:rPr>
        <w:t>,</w:t>
      </w:r>
      <w:r w:rsidRPr="00E91B0C">
        <w:rPr>
          <w:rFonts w:ascii="Garamond" w:hAnsi="Garamond"/>
          <w:sz w:val="22"/>
          <w:lang w:val="sq-AL"/>
        </w:rPr>
        <w:t xml:space="preserve"> sipas parimit të proporcionalitetit gjatë procedurës administrative të ndjekur nga autoritetet në çështjen në fjalë</w:t>
      </w:r>
      <w:r w:rsidR="00CF1767">
        <w:rPr>
          <w:rFonts w:ascii="Garamond" w:hAnsi="Garamond"/>
          <w:sz w:val="22"/>
          <w:lang w:val="sq-AL"/>
        </w:rPr>
        <w:t>,</w:t>
      </w:r>
      <w:r w:rsidRPr="00E91B0C">
        <w:rPr>
          <w:rFonts w:ascii="Garamond" w:hAnsi="Garamond"/>
          <w:sz w:val="22"/>
          <w:lang w:val="sq-AL"/>
        </w:rPr>
        <w:t xml:space="preserve"> është i ngjashëm me parimet kushtetuese të proporcionalitetit të shqyrtuara më sipër, të cilat kryesisht synojnë të godasin balancën </w:t>
      </w:r>
      <w:r w:rsidR="00CF1767">
        <w:rPr>
          <w:rFonts w:ascii="Garamond" w:hAnsi="Garamond"/>
          <w:sz w:val="22"/>
          <w:lang w:val="sq-AL"/>
        </w:rPr>
        <w:t xml:space="preserve">e </w:t>
      </w:r>
      <w:r w:rsidRPr="00E91B0C">
        <w:rPr>
          <w:rFonts w:ascii="Garamond" w:hAnsi="Garamond"/>
          <w:sz w:val="22"/>
          <w:lang w:val="sq-AL"/>
        </w:rPr>
        <w:t>qëllimit për t’u arritu</w:t>
      </w:r>
      <w:r w:rsidR="00753288">
        <w:rPr>
          <w:rFonts w:ascii="Garamond" w:hAnsi="Garamond"/>
          <w:sz w:val="22"/>
          <w:lang w:val="sq-AL"/>
        </w:rPr>
        <w:t>r me anë të aktit administrativ</w:t>
      </w:r>
      <w:r w:rsidRPr="00E91B0C">
        <w:rPr>
          <w:rFonts w:ascii="Garamond" w:hAnsi="Garamond"/>
          <w:sz w:val="22"/>
          <w:lang w:val="sq-AL"/>
        </w:rPr>
        <w:t xml:space="preserve"> dhe mjeteve të cilat do të përdoren, pa shkelur liritë dhe të drejtat themelore</w:t>
      </w:r>
      <w:r w:rsidR="00896E0E">
        <w:rPr>
          <w:rFonts w:ascii="Garamond" w:hAnsi="Garamond"/>
          <w:sz w:val="22"/>
          <w:lang w:val="sq-AL"/>
        </w:rPr>
        <w:t>,</w:t>
      </w:r>
      <w:r w:rsidRPr="00E91B0C">
        <w:rPr>
          <w:rFonts w:ascii="Garamond" w:hAnsi="Garamond"/>
          <w:sz w:val="22"/>
          <w:lang w:val="sq-AL"/>
        </w:rPr>
        <w:t xml:space="preserve"> si edhe përmbushjen e interesave publikë ligjorë</w:t>
      </w:r>
      <w:r w:rsidR="008A7DCB">
        <w:rPr>
          <w:rFonts w:ascii="Garamond" w:hAnsi="Garamond"/>
          <w:sz w:val="22"/>
          <w:lang w:val="sq-AL"/>
        </w:rPr>
        <w:t xml:space="preserve"> </w:t>
      </w:r>
      <w:r w:rsidRPr="00E91B0C">
        <w:rPr>
          <w:rFonts w:ascii="Garamond" w:hAnsi="Garamond"/>
          <w:sz w:val="22"/>
          <w:lang w:val="sq-AL"/>
        </w:rPr>
        <w:t>...”</w:t>
      </w:r>
    </w:p>
    <w:p w:rsidR="00395112" w:rsidRPr="00E91B0C" w:rsidRDefault="00EC3D4E" w:rsidP="00395112">
      <w:pPr>
        <w:pStyle w:val="JuPara"/>
        <w:widowControl w:val="0"/>
        <w:rPr>
          <w:rFonts w:ascii="Garamond" w:hAnsi="Garamond"/>
          <w:szCs w:val="24"/>
          <w:lang w:val="sq-AL"/>
        </w:rPr>
      </w:pPr>
      <w:r>
        <w:rPr>
          <w:rFonts w:ascii="Garamond" w:hAnsi="Garamond"/>
          <w:szCs w:val="24"/>
          <w:lang w:val="sq-AL"/>
        </w:rPr>
        <w:t>20</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Në një datë të papërcaktuar, përfaqësuesi i kërkuesve paraqiti një kërkesë pranë INUK-ut, duke e vënë në dijeni në lidhje me urdhrin e përkohshëm të datës 7 nëntor 2013. Ai nënvizonte faktin se sipas </w:t>
      </w:r>
      <w:r w:rsidR="001073BE" w:rsidRPr="00E91B0C">
        <w:rPr>
          <w:rFonts w:ascii="Garamond" w:hAnsi="Garamond"/>
          <w:szCs w:val="24"/>
          <w:lang w:val="sq-AL"/>
        </w:rPr>
        <w:t xml:space="preserve">nenit </w:t>
      </w:r>
      <w:r w:rsidR="00395112" w:rsidRPr="00E91B0C">
        <w:rPr>
          <w:rFonts w:ascii="Garamond" w:hAnsi="Garamond"/>
          <w:szCs w:val="24"/>
          <w:lang w:val="sq-AL"/>
        </w:rPr>
        <w:t>210 të KPP</w:t>
      </w:r>
      <w:r w:rsidR="00753288">
        <w:rPr>
          <w:rFonts w:ascii="Garamond" w:hAnsi="Garamond"/>
          <w:szCs w:val="24"/>
          <w:lang w:val="sq-AL"/>
        </w:rPr>
        <w:t>-së</w:t>
      </w:r>
      <w:r w:rsidR="00395112" w:rsidRPr="00E91B0C">
        <w:rPr>
          <w:rFonts w:ascii="Garamond" w:hAnsi="Garamond"/>
          <w:szCs w:val="24"/>
          <w:lang w:val="sq-AL"/>
        </w:rPr>
        <w:t xml:space="preserve">, një urdhër i përkohshëm ishte një vendim i ekzekutueshëm, edhe në rastin e një ankimi kundër tij. Ai i kërkonte autoriteteve të merrnin masat e nevojshme për zbatimin e menjëhershëm të urdhrit të përkohshëm. Konstatohet se nuk është dhënë asnjë përgjigje.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21. Më 11 nëntor 2013, INUK</w:t>
      </w:r>
      <w:r w:rsidR="00537673">
        <w:rPr>
          <w:rFonts w:ascii="Garamond" w:hAnsi="Garamond"/>
          <w:szCs w:val="24"/>
          <w:lang w:val="sq-AL"/>
        </w:rPr>
        <w:t>-u</w:t>
      </w:r>
      <w:r w:rsidRPr="00E91B0C">
        <w:rPr>
          <w:rFonts w:ascii="Garamond" w:hAnsi="Garamond"/>
          <w:szCs w:val="24"/>
          <w:lang w:val="sq-AL"/>
        </w:rPr>
        <w:t xml:space="preserve"> paraqiti një ankesë kundër urdhrit të përkohshëm të datës 7 nëntor 2013. </w:t>
      </w:r>
    </w:p>
    <w:p w:rsidR="00395112" w:rsidRPr="00E91B0C" w:rsidRDefault="00395112" w:rsidP="006C1EA8">
      <w:pPr>
        <w:pStyle w:val="JuPara"/>
        <w:widowControl w:val="0"/>
        <w:rPr>
          <w:rFonts w:ascii="Garamond" w:hAnsi="Garamond"/>
          <w:sz w:val="22"/>
          <w:lang w:val="sq-AL"/>
        </w:rPr>
      </w:pPr>
      <w:r w:rsidRPr="00E91B0C">
        <w:rPr>
          <w:rFonts w:ascii="Garamond" w:hAnsi="Garamond"/>
          <w:szCs w:val="24"/>
          <w:lang w:val="sq-AL"/>
        </w:rPr>
        <w:t>22. Më 20 janar 2014, Gjykata Administrative e Apelit i ndërpreu procedimet në lidhje me masën e përkohshme</w:t>
      </w:r>
      <w:r w:rsidR="00013DF9">
        <w:rPr>
          <w:rFonts w:ascii="Garamond" w:hAnsi="Garamond"/>
          <w:szCs w:val="24"/>
          <w:lang w:val="sq-AL"/>
        </w:rPr>
        <w:t>,</w:t>
      </w:r>
      <w:r w:rsidRPr="00E91B0C">
        <w:rPr>
          <w:rFonts w:ascii="Garamond" w:hAnsi="Garamond"/>
          <w:szCs w:val="24"/>
          <w:lang w:val="sq-AL"/>
        </w:rPr>
        <w:t xml:space="preserve"> me arsyet se lënda bazë e procedimeve kishte pushuar së ekzistuari, duke qenë se Rezidenca Jon tashmë ishte shembur në </w:t>
      </w:r>
      <w:r w:rsidR="003614AE" w:rsidRPr="00E91B0C">
        <w:rPr>
          <w:rFonts w:ascii="Garamond" w:hAnsi="Garamond"/>
          <w:szCs w:val="24"/>
          <w:lang w:val="sq-AL"/>
        </w:rPr>
        <w:t xml:space="preserve">dhjetor </w:t>
      </w:r>
      <w:r w:rsidRPr="00E91B0C">
        <w:rPr>
          <w:rFonts w:ascii="Garamond" w:hAnsi="Garamond"/>
          <w:szCs w:val="24"/>
          <w:lang w:val="sq-AL"/>
        </w:rPr>
        <w:t>2013 (shih paragrafin 15 më sipër). Vendimi, për sa ka të bëjë me situatën, shpjegon si më poshtë:</w:t>
      </w:r>
      <w:r w:rsidR="00E91B0C">
        <w:rPr>
          <w:rFonts w:ascii="Garamond" w:hAnsi="Garamond"/>
          <w:szCs w:val="24"/>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tashmë ishte</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 xml:space="preserve">një fakt publik i njohur se Rezidenca Jon ishte shembur, gjë për të cilën Gjykata e Rrethit kishte vendosur t’i pushonte veprimet administrative të cilitdo autoriteti </w:t>
      </w:r>
      <w:r w:rsidR="002C41CC" w:rsidRPr="00E91B0C">
        <w:rPr>
          <w:rFonts w:ascii="Garamond" w:hAnsi="Garamond"/>
          <w:sz w:val="22"/>
          <w:lang w:val="sq-AL"/>
        </w:rPr>
        <w:t>shtetëror</w:t>
      </w:r>
      <w:r w:rsidR="002C41CC">
        <w:rPr>
          <w:rFonts w:ascii="Garamond" w:hAnsi="Garamond"/>
          <w:sz w:val="22"/>
          <w:lang w:val="sq-AL"/>
        </w:rPr>
        <w:t>,</w:t>
      </w:r>
      <w:r w:rsidR="002C41CC" w:rsidRPr="00E91B0C">
        <w:rPr>
          <w:rFonts w:ascii="Garamond" w:hAnsi="Garamond"/>
          <w:sz w:val="22"/>
          <w:lang w:val="sq-AL"/>
        </w:rPr>
        <w:t xml:space="preserve"> </w:t>
      </w:r>
      <w:r w:rsidRPr="00E91B0C">
        <w:rPr>
          <w:rFonts w:ascii="Garamond" w:hAnsi="Garamond"/>
          <w:sz w:val="22"/>
          <w:lang w:val="sq-AL"/>
        </w:rPr>
        <w:t>në mënyrë që kërkuesit të gëzonin qetësisht pronën, deri në zgjidhjen përfundimtare të mosmarrëveshjes</w:t>
      </w:r>
      <w:r w:rsidR="002C41CC">
        <w:rPr>
          <w:rFonts w:ascii="Garamond" w:hAnsi="Garamond"/>
          <w:sz w:val="22"/>
          <w:lang w:val="sq-AL"/>
        </w:rPr>
        <w:t xml:space="preserve"> </w:t>
      </w:r>
      <w:r w:rsidRPr="00E91B0C">
        <w:rPr>
          <w:rFonts w:ascii="Garamond" w:hAnsi="Garamond"/>
          <w:sz w:val="22"/>
          <w:lang w:val="sq-AL"/>
        </w:rPr>
        <w:t>... Rezultati, të cilin urdhri i përkohshëm po përpiqej të pezullonte, tashmë kishte ndodhur</w:t>
      </w:r>
      <w:r w:rsidR="008A7DCB">
        <w:rPr>
          <w:rFonts w:ascii="Garamond" w:hAnsi="Garamond"/>
          <w:sz w:val="22"/>
          <w:lang w:val="sq-AL"/>
        </w:rPr>
        <w:t xml:space="preserve"> </w:t>
      </w:r>
      <w:r w:rsidRPr="00E91B0C">
        <w:rPr>
          <w:rFonts w:ascii="Garamond" w:hAnsi="Garamond"/>
          <w:sz w:val="22"/>
          <w:lang w:val="sq-AL"/>
        </w:rPr>
        <w:t>...”</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14" w:name="_Toc520459326"/>
      <w:r w:rsidRPr="00E91B0C">
        <w:rPr>
          <w:rFonts w:ascii="Garamond" w:hAnsi="Garamond"/>
          <w:szCs w:val="24"/>
          <w:lang w:val="sq-AL"/>
        </w:rPr>
        <w:t>C.</w:t>
      </w:r>
      <w:r w:rsidR="00E91B0C">
        <w:rPr>
          <w:rFonts w:ascii="Garamond" w:hAnsi="Garamond"/>
          <w:szCs w:val="24"/>
          <w:lang w:val="sq-AL"/>
        </w:rPr>
        <w:t xml:space="preserve"> </w:t>
      </w:r>
      <w:r w:rsidRPr="00E91B0C">
        <w:rPr>
          <w:rFonts w:ascii="Garamond" w:hAnsi="Garamond"/>
          <w:szCs w:val="24"/>
          <w:lang w:val="sq-AL"/>
        </w:rPr>
        <w:t>Ankesa tek Avokati i Popullit</w:t>
      </w:r>
      <w:bookmarkEnd w:id="14"/>
    </w:p>
    <w:p w:rsidR="00395112" w:rsidRPr="00E91B0C" w:rsidRDefault="00370A6C" w:rsidP="00395112">
      <w:pPr>
        <w:pStyle w:val="JuPara"/>
        <w:widowControl w:val="0"/>
        <w:rPr>
          <w:rFonts w:ascii="Garamond" w:hAnsi="Garamond"/>
          <w:szCs w:val="24"/>
          <w:lang w:val="sq-AL"/>
        </w:rPr>
      </w:pPr>
      <w:r>
        <w:rPr>
          <w:rFonts w:ascii="Garamond" w:hAnsi="Garamond"/>
          <w:szCs w:val="24"/>
          <w:lang w:val="sq-AL"/>
        </w:rPr>
        <w:t>23</w:t>
      </w:r>
      <w:r w:rsidR="00395112" w:rsidRPr="00E91B0C">
        <w:rPr>
          <w:rFonts w:ascii="Garamond" w:hAnsi="Garamond"/>
          <w:szCs w:val="24"/>
          <w:lang w:val="sq-AL"/>
        </w:rPr>
        <w:t>.</w:t>
      </w:r>
      <w:r w:rsidR="002C41CC">
        <w:rPr>
          <w:rFonts w:ascii="Garamond" w:hAnsi="Garamond"/>
          <w:szCs w:val="24"/>
          <w:lang w:val="sq-AL"/>
        </w:rPr>
        <w:t xml:space="preserve"> </w:t>
      </w:r>
      <w:r w:rsidR="00395112" w:rsidRPr="00E91B0C">
        <w:rPr>
          <w:rFonts w:ascii="Garamond" w:hAnsi="Garamond"/>
          <w:szCs w:val="24"/>
          <w:lang w:val="sq-AL"/>
        </w:rPr>
        <w:t>Rezulton se në një datë të papërcaktuar, njëri prej kërkuesve u ankua tek Avokati i Popullit për ndërhyrjen e autoriteteve</w:t>
      </w:r>
      <w:r w:rsidR="000F39C6">
        <w:rPr>
          <w:rFonts w:ascii="Garamond" w:hAnsi="Garamond"/>
          <w:szCs w:val="24"/>
          <w:lang w:val="sq-AL"/>
        </w:rPr>
        <w:t>,</w:t>
      </w:r>
      <w:r w:rsidR="00395112" w:rsidRPr="00E91B0C">
        <w:rPr>
          <w:rFonts w:ascii="Garamond" w:hAnsi="Garamond"/>
          <w:szCs w:val="24"/>
          <w:lang w:val="sq-AL"/>
        </w:rPr>
        <w:t xml:space="preserve"> duke e penguar atë të hynte në apartamentin e saj</w:t>
      </w:r>
      <w:r w:rsidR="00896E0E">
        <w:rPr>
          <w:rFonts w:ascii="Garamond" w:hAnsi="Garamond"/>
          <w:szCs w:val="24"/>
          <w:lang w:val="sq-AL"/>
        </w:rPr>
        <w:t>,</w:t>
      </w:r>
      <w:r w:rsidR="00395112" w:rsidRPr="00E91B0C">
        <w:rPr>
          <w:rFonts w:ascii="Garamond" w:hAnsi="Garamond"/>
          <w:szCs w:val="24"/>
          <w:lang w:val="sq-AL"/>
        </w:rPr>
        <w:t xml:space="preserve"> si edhe duke penguar banorë</w:t>
      </w:r>
      <w:r w:rsidR="000F39C6">
        <w:rPr>
          <w:rFonts w:ascii="Garamond" w:hAnsi="Garamond"/>
          <w:szCs w:val="24"/>
          <w:lang w:val="sq-AL"/>
        </w:rPr>
        <w:t>t</w:t>
      </w:r>
      <w:r w:rsidR="00395112" w:rsidRPr="00E91B0C">
        <w:rPr>
          <w:rFonts w:ascii="Garamond" w:hAnsi="Garamond"/>
          <w:szCs w:val="24"/>
          <w:lang w:val="sq-AL"/>
        </w:rPr>
        <w:t xml:space="preserve"> </w:t>
      </w:r>
      <w:r w:rsidR="000F39C6">
        <w:rPr>
          <w:rFonts w:ascii="Garamond" w:hAnsi="Garamond"/>
          <w:szCs w:val="24"/>
          <w:lang w:val="sq-AL"/>
        </w:rPr>
        <w:t>e</w:t>
      </w:r>
      <w:r w:rsidR="00395112" w:rsidRPr="00E91B0C">
        <w:rPr>
          <w:rFonts w:ascii="Garamond" w:hAnsi="Garamond"/>
          <w:szCs w:val="24"/>
          <w:lang w:val="sq-AL"/>
        </w:rPr>
        <w:t xml:space="preserve"> tjerë të hynin në apartamentet e tyre (shih</w:t>
      </w:r>
      <w:r w:rsidR="00894582">
        <w:rPr>
          <w:rFonts w:ascii="Garamond" w:hAnsi="Garamond"/>
          <w:szCs w:val="24"/>
          <w:lang w:val="sq-AL"/>
        </w:rPr>
        <w:t>,</w:t>
      </w:r>
      <w:r w:rsidR="00395112" w:rsidRPr="00E91B0C">
        <w:rPr>
          <w:rFonts w:ascii="Garamond" w:hAnsi="Garamond"/>
          <w:szCs w:val="24"/>
          <w:lang w:val="sq-AL"/>
        </w:rPr>
        <w:t xml:space="preserve"> gjithashtu</w:t>
      </w:r>
      <w:r w:rsidR="00894582">
        <w:rPr>
          <w:rFonts w:ascii="Garamond" w:hAnsi="Garamond"/>
          <w:szCs w:val="24"/>
          <w:lang w:val="sq-AL"/>
        </w:rPr>
        <w:t>,</w:t>
      </w:r>
      <w:r w:rsidR="00395112" w:rsidRPr="00E91B0C">
        <w:rPr>
          <w:rFonts w:ascii="Garamond" w:hAnsi="Garamond"/>
          <w:szCs w:val="24"/>
          <w:lang w:val="sq-AL"/>
        </w:rPr>
        <w:t xml:space="preserve"> edhe paragrafin 24 më poshtë). Ajo u ankua se autoritetet e kishin rrethuar në mënyrë arbitrare godinën duke përdorur shirit policie ngjyrë të verdhë me shkrimin “skenë krimi”.</w:t>
      </w:r>
      <w:r w:rsidR="00E91B0C">
        <w:rPr>
          <w:rFonts w:ascii="Garamond" w:hAnsi="Garamond"/>
          <w:szCs w:val="24"/>
          <w:lang w:val="sq-AL"/>
        </w:rPr>
        <w:t xml:space="preserve"> </w:t>
      </w:r>
    </w:p>
    <w:p w:rsidR="00395112" w:rsidRPr="00E91B0C" w:rsidRDefault="00370A6C" w:rsidP="00395112">
      <w:pPr>
        <w:pStyle w:val="JuPara"/>
        <w:widowControl w:val="0"/>
        <w:rPr>
          <w:rFonts w:ascii="Garamond" w:hAnsi="Garamond"/>
          <w:szCs w:val="24"/>
          <w:lang w:val="sq-AL"/>
        </w:rPr>
      </w:pPr>
      <w:r>
        <w:rPr>
          <w:rFonts w:ascii="Garamond" w:hAnsi="Garamond"/>
          <w:szCs w:val="24"/>
          <w:lang w:val="sq-AL"/>
        </w:rPr>
        <w:t>24</w:t>
      </w:r>
      <w:r w:rsidR="00395112" w:rsidRPr="00E91B0C">
        <w:rPr>
          <w:rFonts w:ascii="Garamond" w:hAnsi="Garamond"/>
          <w:szCs w:val="24"/>
          <w:lang w:val="sq-AL"/>
        </w:rPr>
        <w:t>. Më 13 nëntor 2013, në përgjigje të apelimeve të kërkuesit dhe të apelimeve të kërkuesve të tjerë, në një dalje në media, Avokati i Popullit</w:t>
      </w:r>
      <w:r w:rsidR="00E91B0C">
        <w:rPr>
          <w:rFonts w:ascii="Garamond" w:hAnsi="Garamond"/>
          <w:szCs w:val="24"/>
          <w:lang w:val="sq-AL"/>
        </w:rPr>
        <w:t xml:space="preserve"> </w:t>
      </w:r>
      <w:r w:rsidR="00395112" w:rsidRPr="00E91B0C">
        <w:rPr>
          <w:rFonts w:ascii="Garamond" w:hAnsi="Garamond"/>
          <w:szCs w:val="24"/>
          <w:lang w:val="sq-AL"/>
        </w:rPr>
        <w:t xml:space="preserve">i dërgoi një shkresë zyrtare kreut të Komisariatit të Policisë Vlorë, shefit të qarkut </w:t>
      </w:r>
      <w:r w:rsidR="00BD6880">
        <w:rPr>
          <w:rFonts w:ascii="Garamond" w:hAnsi="Garamond"/>
          <w:szCs w:val="24"/>
          <w:lang w:val="sq-AL"/>
        </w:rPr>
        <w:t>t</w:t>
      </w:r>
      <w:r w:rsidR="00395112" w:rsidRPr="00E91B0C">
        <w:rPr>
          <w:rFonts w:ascii="Garamond" w:hAnsi="Garamond"/>
          <w:szCs w:val="24"/>
          <w:lang w:val="sq-AL"/>
        </w:rPr>
        <w:t>ë rrethit Vlorë dhe për informacion edhe Drejtorit të Përgjithshëm të Policisë së Shtetit, duke i rekomanduar që të merrnin të gjitha masat e nevojshme për të ndaluar veprimet e paligjshme</w:t>
      </w:r>
      <w:r w:rsidR="00350DCD">
        <w:rPr>
          <w:rFonts w:ascii="Garamond" w:hAnsi="Garamond"/>
          <w:szCs w:val="24"/>
          <w:lang w:val="sq-AL"/>
        </w:rPr>
        <w:t>,</w:t>
      </w:r>
      <w:r w:rsidR="00395112" w:rsidRPr="00E91B0C">
        <w:rPr>
          <w:rFonts w:ascii="Garamond" w:hAnsi="Garamond"/>
          <w:szCs w:val="24"/>
          <w:lang w:val="sq-AL"/>
        </w:rPr>
        <w:t xml:space="preserve"> të cilat kishin rezultuar pas shkeljes së të drejtave mbi pronën të banorëve të Rezidencës. Avokati i Popullit pohoi se INUK</w:t>
      </w:r>
      <w:r w:rsidR="00537673">
        <w:rPr>
          <w:rFonts w:ascii="Garamond" w:hAnsi="Garamond"/>
          <w:szCs w:val="24"/>
          <w:lang w:val="sq-AL"/>
        </w:rPr>
        <w:t>-u</w:t>
      </w:r>
      <w:r w:rsidR="00395112" w:rsidRPr="00E91B0C">
        <w:rPr>
          <w:rFonts w:ascii="Garamond" w:hAnsi="Garamond"/>
          <w:szCs w:val="24"/>
          <w:lang w:val="sq-AL"/>
        </w:rPr>
        <w:t xml:space="preserve"> kishte konfiskuar godinën pa ndonjë akt formal. Përdorimi i rrethimit të ndërtesës, i cili </w:t>
      </w:r>
      <w:r w:rsidR="00C028B8">
        <w:rPr>
          <w:rFonts w:ascii="Garamond" w:hAnsi="Garamond"/>
          <w:szCs w:val="24"/>
          <w:lang w:val="sq-AL"/>
        </w:rPr>
        <w:t>u</w:t>
      </w:r>
      <w:r w:rsidR="00395112" w:rsidRPr="00E91B0C">
        <w:rPr>
          <w:rFonts w:ascii="Garamond" w:hAnsi="Garamond"/>
          <w:szCs w:val="24"/>
          <w:lang w:val="sq-AL"/>
        </w:rPr>
        <w:t>a ndalonte kërkuesve</w:t>
      </w:r>
      <w:r w:rsidR="00E91B0C">
        <w:rPr>
          <w:rFonts w:ascii="Garamond" w:hAnsi="Garamond"/>
          <w:szCs w:val="24"/>
          <w:lang w:val="sq-AL"/>
        </w:rPr>
        <w:t xml:space="preserve"> </w:t>
      </w:r>
      <w:r w:rsidR="00395112" w:rsidRPr="00E91B0C">
        <w:rPr>
          <w:rFonts w:ascii="Garamond" w:hAnsi="Garamond"/>
          <w:szCs w:val="24"/>
          <w:lang w:val="sq-AL"/>
        </w:rPr>
        <w:t>të shijonin pronat e tyre</w:t>
      </w:r>
      <w:r w:rsidR="00084F3F">
        <w:rPr>
          <w:rFonts w:ascii="Garamond" w:hAnsi="Garamond"/>
          <w:szCs w:val="24"/>
          <w:lang w:val="sq-AL"/>
        </w:rPr>
        <w:t>,</w:t>
      </w:r>
      <w:r w:rsidR="00395112" w:rsidRPr="00E91B0C">
        <w:rPr>
          <w:rFonts w:ascii="Garamond" w:hAnsi="Garamond"/>
          <w:szCs w:val="24"/>
          <w:lang w:val="sq-AL"/>
        </w:rPr>
        <w:t xml:space="preserve"> ishte i paligjshëm dhe për pasojë kishte rezultuar në shkelje të interesave të tyre ligjor</w:t>
      </w:r>
      <w:r w:rsidR="003C06FD">
        <w:rPr>
          <w:rFonts w:ascii="Garamond" w:hAnsi="Garamond"/>
          <w:szCs w:val="24"/>
          <w:lang w:val="sq-AL"/>
        </w:rPr>
        <w:t>ë</w:t>
      </w:r>
      <w:r w:rsidR="00395112" w:rsidRPr="00E91B0C">
        <w:rPr>
          <w:rFonts w:ascii="Garamond" w:hAnsi="Garamond"/>
          <w:szCs w:val="24"/>
          <w:lang w:val="sq-AL"/>
        </w:rPr>
        <w:t xml:space="preserve">. Për më tepër, përdorimi i shiritit të verdhë të policisë me shkrimin “skenë krimi”, nuk ishte i pavend, duke qenë se ngjarjet në çështjen në fjalë nuk përfshinin një skenë krimi. Në vijim, ai sugjeronte se shqyrtimi i çështjes dhe ndërmarrja e masave organizative ishin të nevojshme, me qëllimin për të siguruar se veprime të tilla nuk do të përsëriteshin në të ardhmen.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15" w:name="_Toc520459327"/>
      <w:bookmarkStart w:id="16" w:name="_Toc480367217"/>
      <w:bookmarkStart w:id="17" w:name="_Toc480559184"/>
      <w:bookmarkStart w:id="18" w:name="_Toc481504544"/>
      <w:r w:rsidRPr="00E91B0C">
        <w:rPr>
          <w:rFonts w:ascii="Garamond" w:hAnsi="Garamond"/>
          <w:szCs w:val="24"/>
          <w:lang w:val="sq-AL"/>
        </w:rPr>
        <w:t>D.</w:t>
      </w:r>
      <w:r w:rsidR="00E91B0C">
        <w:rPr>
          <w:rFonts w:ascii="Garamond" w:hAnsi="Garamond"/>
          <w:szCs w:val="24"/>
          <w:lang w:val="sq-AL"/>
        </w:rPr>
        <w:t xml:space="preserve"> </w:t>
      </w:r>
      <w:r w:rsidRPr="00E91B0C">
        <w:rPr>
          <w:rFonts w:ascii="Garamond" w:hAnsi="Garamond"/>
          <w:szCs w:val="24"/>
          <w:lang w:val="sq-AL"/>
        </w:rPr>
        <w:t>Procedimet në lidhje me themelin e çështjes për sa i përket konfiskimit të godinës</w:t>
      </w:r>
      <w:bookmarkEnd w:id="15"/>
      <w:r w:rsidRPr="00E91B0C">
        <w:rPr>
          <w:rFonts w:ascii="Garamond" w:hAnsi="Garamond"/>
          <w:szCs w:val="24"/>
          <w:lang w:val="sq-AL"/>
        </w:rPr>
        <w:t xml:space="preserve"> </w:t>
      </w:r>
      <w:bookmarkEnd w:id="16"/>
      <w:bookmarkEnd w:id="17"/>
      <w:bookmarkEnd w:id="18"/>
    </w:p>
    <w:p w:rsidR="00395112" w:rsidRPr="00E91B0C" w:rsidRDefault="00370A6C" w:rsidP="00395112">
      <w:pPr>
        <w:pStyle w:val="JuPara"/>
        <w:widowControl w:val="0"/>
        <w:rPr>
          <w:rFonts w:ascii="Garamond" w:hAnsi="Garamond"/>
          <w:szCs w:val="24"/>
          <w:lang w:val="sq-AL"/>
        </w:rPr>
      </w:pPr>
      <w:r>
        <w:rPr>
          <w:rFonts w:ascii="Garamond" w:hAnsi="Garamond"/>
          <w:szCs w:val="24"/>
          <w:lang w:val="sq-AL"/>
        </w:rPr>
        <w:t>25</w:t>
      </w:r>
      <w:r w:rsidR="00395112" w:rsidRPr="00E91B0C">
        <w:rPr>
          <w:rFonts w:ascii="Garamond" w:hAnsi="Garamond"/>
          <w:szCs w:val="24"/>
          <w:lang w:val="sq-AL"/>
        </w:rPr>
        <w:t>. Në një datë të papërcaktuar, por brenda 10 ditëve nga urdhri i përkohshëm, njëmbëdhjetë banorë</w:t>
      </w:r>
      <w:r w:rsidR="00084F3F">
        <w:rPr>
          <w:rFonts w:ascii="Garamond" w:hAnsi="Garamond"/>
          <w:szCs w:val="24"/>
          <w:lang w:val="sq-AL"/>
        </w:rPr>
        <w:t>,</w:t>
      </w:r>
      <w:r w:rsidR="00395112" w:rsidRPr="00E91B0C">
        <w:rPr>
          <w:rFonts w:ascii="Garamond" w:hAnsi="Garamond"/>
          <w:szCs w:val="24"/>
          <w:lang w:val="sq-AL"/>
        </w:rPr>
        <w:t xml:space="preserve"> duke përfshirë nëntë kërkues (E. Durolli, A. Deromemaj, V. Kacorri, P. Rakipaj, G. Calliku, V. Calliku, B. Rakipaj, Xh. Sharxhi dhe E. Ballanca) paraqitën një padi në themel në Gjykatën e Rrethit. Sipas vendimit të Gjykatës së Rrethit të datës 28 janar 2014 (shih paragrafin 26 më poshtë) rezultonte se objekti i padisë ishte i njëjtë me at</w:t>
      </w:r>
      <w:r w:rsidR="00084F3F">
        <w:rPr>
          <w:rFonts w:ascii="Garamond" w:hAnsi="Garamond"/>
          <w:szCs w:val="24"/>
          <w:lang w:val="sq-AL"/>
        </w:rPr>
        <w:t>ë</w:t>
      </w:r>
      <w:r w:rsidR="00395112" w:rsidRPr="00E91B0C">
        <w:rPr>
          <w:rFonts w:ascii="Garamond" w:hAnsi="Garamond"/>
          <w:szCs w:val="24"/>
          <w:lang w:val="sq-AL"/>
        </w:rPr>
        <w:t xml:space="preserve"> të paraqitura më 4 nëntor 2013 (shih paragrafin 16 më sipër). </w:t>
      </w:r>
    </w:p>
    <w:p w:rsidR="00395112" w:rsidRPr="00E91B0C" w:rsidRDefault="00395112" w:rsidP="00395112">
      <w:pPr>
        <w:pStyle w:val="JuPara"/>
        <w:widowControl w:val="0"/>
        <w:rPr>
          <w:rFonts w:ascii="Garamond" w:hAnsi="Garamond"/>
          <w:sz w:val="22"/>
          <w:lang w:val="sq-AL"/>
        </w:rPr>
      </w:pPr>
      <w:r w:rsidRPr="00E91B0C">
        <w:rPr>
          <w:rFonts w:ascii="Garamond" w:hAnsi="Garamond"/>
          <w:szCs w:val="24"/>
          <w:lang w:val="sq-AL"/>
        </w:rPr>
        <w:t>26. Më 28 janar 2014, Gjykata e Rrethit deklaroi se veprimet e ndërmarra nga INUK</w:t>
      </w:r>
      <w:r w:rsidR="00537673">
        <w:rPr>
          <w:rFonts w:ascii="Garamond" w:hAnsi="Garamond"/>
          <w:szCs w:val="24"/>
          <w:lang w:val="sq-AL"/>
        </w:rPr>
        <w:t>-u</w:t>
      </w:r>
      <w:r w:rsidRPr="00E91B0C">
        <w:rPr>
          <w:rFonts w:ascii="Garamond" w:hAnsi="Garamond"/>
          <w:szCs w:val="24"/>
          <w:lang w:val="sq-AL"/>
        </w:rPr>
        <w:t xml:space="preserve"> dhe INU</w:t>
      </w:r>
      <w:r w:rsidR="00537673">
        <w:rPr>
          <w:rFonts w:ascii="Garamond" w:hAnsi="Garamond"/>
          <w:szCs w:val="24"/>
          <w:lang w:val="sq-AL"/>
        </w:rPr>
        <w:t>-ja</w:t>
      </w:r>
      <w:r w:rsidRPr="00E91B0C">
        <w:rPr>
          <w:rFonts w:ascii="Garamond" w:hAnsi="Garamond"/>
          <w:szCs w:val="24"/>
          <w:lang w:val="sq-AL"/>
        </w:rPr>
        <w:t xml:space="preserve">, më 3 nëntor 2013, kishin qenë arbitrare dhe në një shkelje flagrante të Kushtetutës së Shqipërisë dhe të ligjit. Vendimi, për sa ka të bëjë me situatën, shpjegon si më poshtë vijon: </w:t>
      </w:r>
      <w:r w:rsidRPr="00E91B0C">
        <w:rPr>
          <w:rFonts w:ascii="Garamond" w:hAnsi="Garamond"/>
          <w:sz w:val="22"/>
          <w:lang w:val="sq-AL"/>
        </w:rPr>
        <w:t>“...</w:t>
      </w:r>
      <w:r w:rsidR="00537673">
        <w:rPr>
          <w:rFonts w:ascii="Garamond" w:hAnsi="Garamond"/>
          <w:sz w:val="22"/>
          <w:lang w:val="sq-AL"/>
        </w:rPr>
        <w:t xml:space="preserve"> </w:t>
      </w:r>
      <w:r w:rsidRPr="00E91B0C">
        <w:rPr>
          <w:rFonts w:ascii="Garamond" w:hAnsi="Garamond"/>
          <w:sz w:val="22"/>
          <w:lang w:val="sq-AL"/>
        </w:rPr>
        <w:t>INUK</w:t>
      </w:r>
      <w:r w:rsidR="00537673">
        <w:rPr>
          <w:rFonts w:ascii="Garamond" w:hAnsi="Garamond"/>
          <w:sz w:val="22"/>
          <w:lang w:val="sq-AL"/>
        </w:rPr>
        <w:t>-u</w:t>
      </w:r>
      <w:r w:rsidRPr="00E91B0C">
        <w:rPr>
          <w:rFonts w:ascii="Garamond" w:hAnsi="Garamond"/>
          <w:sz w:val="22"/>
          <w:lang w:val="sq-AL"/>
        </w:rPr>
        <w:t xml:space="preserve"> dhe INU</w:t>
      </w:r>
      <w:r w:rsidR="00537673">
        <w:rPr>
          <w:rFonts w:ascii="Garamond" w:hAnsi="Garamond"/>
          <w:sz w:val="22"/>
          <w:lang w:val="sq-AL"/>
        </w:rPr>
        <w:t xml:space="preserve">-ja, </w:t>
      </w:r>
      <w:r w:rsidRPr="00E91B0C">
        <w:rPr>
          <w:rFonts w:ascii="Garamond" w:hAnsi="Garamond"/>
          <w:sz w:val="22"/>
          <w:lang w:val="sq-AL"/>
        </w:rPr>
        <w:t>në mënyrë abuzive dhe pa asnjë vendim administrative për të justifikuar veprimet e tyre të paligjshme, ndërmorën veprime arbitrare me qëlli</w:t>
      </w:r>
      <w:r w:rsidR="008B2E1D">
        <w:rPr>
          <w:rFonts w:ascii="Garamond" w:hAnsi="Garamond"/>
          <w:sz w:val="22"/>
          <w:lang w:val="sq-AL"/>
        </w:rPr>
        <w:t>min për të shembur një pronë, ç</w:t>
      </w:r>
      <w:r w:rsidRPr="00E91B0C">
        <w:rPr>
          <w:rFonts w:ascii="Garamond" w:hAnsi="Garamond"/>
          <w:sz w:val="22"/>
          <w:lang w:val="sq-AL"/>
        </w:rPr>
        <w:t>ka ishte kërkuar në përputhje me ligjin. INUK</w:t>
      </w:r>
      <w:r w:rsidR="00537673">
        <w:rPr>
          <w:rFonts w:ascii="Garamond" w:hAnsi="Garamond"/>
          <w:sz w:val="22"/>
          <w:lang w:val="sq-AL"/>
        </w:rPr>
        <w:t>-u</w:t>
      </w:r>
      <w:r w:rsidRPr="00E91B0C">
        <w:rPr>
          <w:rFonts w:ascii="Garamond" w:hAnsi="Garamond"/>
          <w:sz w:val="22"/>
          <w:lang w:val="sq-AL"/>
        </w:rPr>
        <w:t xml:space="preserve"> nuk kishte asnjë arsye ligjore për ta ndërmarrë këtë masë administrative dhe për këtë arsye veprimet e tij ishin totalisht të paligjshme</w:t>
      </w:r>
      <w:r w:rsidR="00537673">
        <w:rPr>
          <w:rFonts w:ascii="Garamond" w:hAnsi="Garamond"/>
          <w:sz w:val="22"/>
          <w:lang w:val="sq-AL"/>
        </w:rPr>
        <w:t xml:space="preserve"> </w:t>
      </w:r>
      <w:r w:rsidRPr="00E91B0C">
        <w:rPr>
          <w:rFonts w:ascii="Garamond" w:hAnsi="Garamond"/>
          <w:sz w:val="22"/>
          <w:lang w:val="sq-AL"/>
        </w:rPr>
        <w:t>...</w:t>
      </w:r>
      <w:r w:rsidR="00537673">
        <w:rPr>
          <w:rFonts w:ascii="Garamond" w:hAnsi="Garamond"/>
          <w:sz w:val="22"/>
          <w:lang w:val="sq-AL"/>
        </w:rPr>
        <w:t xml:space="preserve"> </w:t>
      </w:r>
      <w:r w:rsidRPr="00E91B0C">
        <w:rPr>
          <w:rFonts w:ascii="Garamond" w:hAnsi="Garamond"/>
          <w:sz w:val="22"/>
          <w:lang w:val="sq-AL"/>
        </w:rPr>
        <w:t>masa administrative për shembjen e ndërtimit ishte autorizuar rregullisht nga autoritetet kompetente pa analizuar fillimisht në detaje paligjshmërinë e veprimeve dhe pa një vlerësim të situatës nga nja gjykatë e pavarur, ishte në kufijtë e paligjshmërisë ekstreme</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Autoritetet, në mënyrë të njëanshme dhe pa një hetim administrativ të plotë dhe të detajuar, rrethuan godinën</w:t>
      </w:r>
      <w:r w:rsidR="008A7DCB">
        <w:rPr>
          <w:rFonts w:ascii="Garamond" w:hAnsi="Garamond"/>
          <w:sz w:val="22"/>
          <w:lang w:val="sq-AL"/>
        </w:rPr>
        <w:t xml:space="preserve"> </w:t>
      </w:r>
      <w:r w:rsidRPr="00E91B0C">
        <w:rPr>
          <w:rFonts w:ascii="Garamond" w:hAnsi="Garamond"/>
          <w:sz w:val="22"/>
          <w:lang w:val="sq-AL"/>
        </w:rPr>
        <w:t>...</w:t>
      </w:r>
      <w:r w:rsidR="008A7DCB">
        <w:rPr>
          <w:rFonts w:ascii="Garamond" w:hAnsi="Garamond"/>
          <w:sz w:val="22"/>
          <w:lang w:val="sq-AL"/>
        </w:rPr>
        <w:t xml:space="preserve"> </w:t>
      </w:r>
      <w:r w:rsidRPr="00E91B0C">
        <w:rPr>
          <w:rFonts w:ascii="Garamond" w:hAnsi="Garamond"/>
          <w:sz w:val="22"/>
          <w:lang w:val="sq-AL"/>
        </w:rPr>
        <w:t xml:space="preserve">Autoritetet me veprimet e tyre arbitrare shkelën rëndë parimin e sigurisë ligjore, sipas së cilit asnjë nuk duhet të vuajë ndërhyrje në të drejtat e tij të dhëna nga ligji </w:t>
      </w:r>
      <w:r w:rsidRPr="00E91B0C">
        <w:rPr>
          <w:rFonts w:ascii="Garamond" w:hAnsi="Garamond"/>
          <w:sz w:val="22"/>
          <w:lang w:val="sq-AL"/>
        </w:rPr>
        <w:lastRenderedPageBreak/>
        <w:t xml:space="preserve">dhe ka pritshmërinë se asnjë autoritet </w:t>
      </w:r>
      <w:r w:rsidR="005D2A05" w:rsidRPr="00E91B0C">
        <w:rPr>
          <w:rFonts w:ascii="Garamond" w:hAnsi="Garamond"/>
          <w:sz w:val="22"/>
          <w:lang w:val="sq-AL"/>
        </w:rPr>
        <w:t xml:space="preserve">shtetëror </w:t>
      </w:r>
      <w:r w:rsidRPr="00E91B0C">
        <w:rPr>
          <w:rFonts w:ascii="Garamond" w:hAnsi="Garamond"/>
          <w:sz w:val="22"/>
          <w:lang w:val="sq-AL"/>
        </w:rPr>
        <w:t>nuk do të ndërmarrë ndonjë vendim ose veprim administrativ</w:t>
      </w:r>
      <w:r w:rsidR="00E449AB">
        <w:rPr>
          <w:rFonts w:ascii="Garamond" w:hAnsi="Garamond"/>
          <w:sz w:val="22"/>
          <w:lang w:val="sq-AL"/>
        </w:rPr>
        <w:t>,</w:t>
      </w:r>
      <w:r w:rsidRPr="00E91B0C">
        <w:rPr>
          <w:rFonts w:ascii="Garamond" w:hAnsi="Garamond"/>
          <w:sz w:val="22"/>
          <w:lang w:val="sq-AL"/>
        </w:rPr>
        <w:t xml:space="preserve"> me anë të të cilit të drejtat e përftuara nga ligji të mund të shkelen më vonë si pasojë e veprimeve të autoriteteve shtetërore</w:t>
      </w:r>
      <w:r w:rsidR="00537673">
        <w:rPr>
          <w:rFonts w:ascii="Garamond" w:hAnsi="Garamond"/>
          <w:sz w:val="22"/>
          <w:lang w:val="sq-AL"/>
        </w:rPr>
        <w:t xml:space="preserve"> </w:t>
      </w:r>
      <w:r w:rsidRPr="00E91B0C">
        <w:rPr>
          <w:rFonts w:ascii="Garamond" w:hAnsi="Garamond"/>
          <w:sz w:val="22"/>
          <w:lang w:val="sq-AL"/>
        </w:rPr>
        <w:t>...”</w:t>
      </w:r>
    </w:p>
    <w:p w:rsidR="00395112" w:rsidRPr="000D4269" w:rsidRDefault="00395112" w:rsidP="00395112">
      <w:pPr>
        <w:pStyle w:val="JuPara"/>
        <w:widowControl w:val="0"/>
        <w:rPr>
          <w:rFonts w:ascii="Garamond" w:hAnsi="Garamond"/>
          <w:szCs w:val="24"/>
          <w:lang w:val="sq-AL"/>
        </w:rPr>
      </w:pPr>
      <w:r w:rsidRPr="000D4269">
        <w:rPr>
          <w:rFonts w:ascii="Garamond" w:hAnsi="Garamond"/>
          <w:szCs w:val="24"/>
          <w:lang w:val="sq-AL"/>
        </w:rPr>
        <w:t xml:space="preserve">Sipas rrethanave, Gjykata e Rrethit e pranoi padinë. Kërkuesit, gjithsesi, e tërhoqën kërkesën e tyre që autoritetet të ndaloheshin në marrjen e ndonjë mase tjetër të mëtejshme, e cila tashmë nuk kishte asnjë vlerë, pasi Rezidenca Jon ishte shembur ndërkohë nga autoritetet. Në këtë mënyrë, Gjykata e Rrethit e ndërpreu shqyrtimin e kësaj pjese të padisë. </w:t>
      </w:r>
    </w:p>
    <w:p w:rsidR="00395112" w:rsidRPr="000D4269" w:rsidRDefault="00395112" w:rsidP="00395112">
      <w:pPr>
        <w:pStyle w:val="JuPara"/>
        <w:widowControl w:val="0"/>
        <w:rPr>
          <w:rFonts w:ascii="Garamond" w:hAnsi="Garamond"/>
          <w:szCs w:val="24"/>
          <w:lang w:val="sq-AL"/>
        </w:rPr>
      </w:pPr>
      <w:r w:rsidRPr="000D4269">
        <w:rPr>
          <w:rFonts w:ascii="Garamond" w:hAnsi="Garamond"/>
          <w:szCs w:val="24"/>
          <w:lang w:val="sq-AL"/>
        </w:rPr>
        <w:t xml:space="preserve">27. Më 6 maj 2016, pas një ankese të bërë nga autoritetet, Gjykata Administrative e Apelit la në fuqi vendimin e Gjykatës së Rrethit të datës 28 janar 2014. Sipas vendimit rezulton se kërkuesit kishin argumentuar se </w:t>
      </w:r>
      <w:r w:rsidR="00CD2D22" w:rsidRPr="000D4269">
        <w:rPr>
          <w:rFonts w:ascii="Garamond" w:hAnsi="Garamond"/>
          <w:szCs w:val="24"/>
          <w:lang w:val="sq-AL"/>
        </w:rPr>
        <w:t>INU-ja</w:t>
      </w:r>
      <w:r w:rsidRPr="000D4269">
        <w:rPr>
          <w:rFonts w:ascii="Garamond" w:hAnsi="Garamond"/>
          <w:szCs w:val="24"/>
          <w:lang w:val="sq-AL"/>
        </w:rPr>
        <w:t xml:space="preserve"> dhe </w:t>
      </w:r>
      <w:r w:rsidR="00CD2D22" w:rsidRPr="000D4269">
        <w:rPr>
          <w:rFonts w:ascii="Garamond" w:hAnsi="Garamond"/>
          <w:szCs w:val="24"/>
          <w:lang w:val="sq-AL"/>
        </w:rPr>
        <w:t>I</w:t>
      </w:r>
      <w:r w:rsidRPr="000D4269">
        <w:rPr>
          <w:rFonts w:ascii="Garamond" w:hAnsi="Garamond"/>
          <w:szCs w:val="24"/>
          <w:lang w:val="sq-AL"/>
        </w:rPr>
        <w:t>NU</w:t>
      </w:r>
      <w:r w:rsidR="00CD2D22" w:rsidRPr="000D4269">
        <w:rPr>
          <w:rFonts w:ascii="Garamond" w:hAnsi="Garamond"/>
          <w:szCs w:val="24"/>
          <w:lang w:val="sq-AL"/>
        </w:rPr>
        <w:t>K-ja</w:t>
      </w:r>
      <w:r w:rsidRPr="000D4269">
        <w:rPr>
          <w:rFonts w:ascii="Garamond" w:hAnsi="Garamond"/>
          <w:szCs w:val="24"/>
          <w:lang w:val="sq-AL"/>
        </w:rPr>
        <w:t xml:space="preserve"> kishin ndërmarrë veprime arbitrare, në mënyrë abuzive dhe pa asnjë vendim administrativ për të justifikuar veprimet e tyre të paligjshme, me qëllimin për të shembur një pronë të ligjshme. Gjykata Administrative e Apelit arsyetoi se rrethimi i ndërtesës dhe ndalimi i kërkuesve që të hynin në të kishin qenë arbitrare, jo në përputhje me ligjin dhe një shkelje e të drejtave të tyre mbi pronën. Më tej, ajo vërejti se NUCI ishte i detyruar t’i kompensonte kërkuesit për veprimet e tij të paligjshme, sipas </w:t>
      </w:r>
      <w:r w:rsidR="00536F0E" w:rsidRPr="000D4269">
        <w:rPr>
          <w:rFonts w:ascii="Garamond" w:hAnsi="Garamond"/>
          <w:szCs w:val="24"/>
          <w:lang w:val="sq-AL"/>
        </w:rPr>
        <w:t>aktit shtetëror për përgjegjësinë jokontraktuale</w:t>
      </w:r>
      <w:r w:rsidR="008B2E1D" w:rsidRPr="000D4269">
        <w:rPr>
          <w:rFonts w:ascii="Garamond" w:hAnsi="Garamond"/>
          <w:szCs w:val="24"/>
          <w:lang w:val="sq-AL"/>
        </w:rPr>
        <w:t xml:space="preserve"> </w:t>
      </w:r>
      <w:r w:rsidRPr="000D4269">
        <w:rPr>
          <w:rFonts w:ascii="Garamond" w:hAnsi="Garamond"/>
          <w:szCs w:val="24"/>
          <w:lang w:val="sq-AL"/>
        </w:rPr>
        <w:t>(shih “</w:t>
      </w:r>
      <w:r w:rsidR="00536F0E" w:rsidRPr="000D4269">
        <w:rPr>
          <w:rFonts w:ascii="Garamond" w:hAnsi="Garamond"/>
          <w:szCs w:val="24"/>
          <w:lang w:val="sq-AL"/>
        </w:rPr>
        <w:t xml:space="preserve">ligjin </w:t>
      </w:r>
      <w:r w:rsidRPr="000D4269">
        <w:rPr>
          <w:rFonts w:ascii="Garamond" w:hAnsi="Garamond"/>
          <w:szCs w:val="24"/>
          <w:lang w:val="sq-AL"/>
        </w:rPr>
        <w:t xml:space="preserve">dhe praktikën respektive </w:t>
      </w:r>
      <w:r w:rsidR="003C06FD" w:rsidRPr="000D4269">
        <w:rPr>
          <w:rFonts w:ascii="Garamond" w:hAnsi="Garamond"/>
          <w:szCs w:val="24"/>
          <w:lang w:val="sq-AL"/>
        </w:rPr>
        <w:t>vendës</w:t>
      </w:r>
      <w:r w:rsidRPr="000D4269">
        <w:rPr>
          <w:rFonts w:ascii="Garamond" w:hAnsi="Garamond"/>
          <w:szCs w:val="24"/>
          <w:lang w:val="sq-AL"/>
        </w:rPr>
        <w:t xml:space="preserve">e” më poshtë) dhe </w:t>
      </w:r>
      <w:r w:rsidR="001073BE" w:rsidRPr="000D4269">
        <w:rPr>
          <w:rFonts w:ascii="Garamond" w:hAnsi="Garamond"/>
          <w:szCs w:val="24"/>
          <w:lang w:val="sq-AL"/>
        </w:rPr>
        <w:t xml:space="preserve">nenit </w:t>
      </w:r>
      <w:r w:rsidRPr="000D4269">
        <w:rPr>
          <w:rFonts w:ascii="Garamond" w:hAnsi="Garamond"/>
          <w:szCs w:val="24"/>
          <w:lang w:val="sq-AL"/>
        </w:rPr>
        <w:t xml:space="preserve">608 të Kodit Civil. Vetëm pasi veprimet e ndërmarra nga autoritetet u deklaruan të paligjshme, kërkuesve iu dha e drejta të paraqisnin një kërkesë për dëmshpërblim sipas seksionit 14 të </w:t>
      </w:r>
      <w:r w:rsidR="001073BE" w:rsidRPr="000D4269">
        <w:rPr>
          <w:rFonts w:ascii="Garamond" w:hAnsi="Garamond"/>
          <w:szCs w:val="24"/>
          <w:lang w:val="sq-AL"/>
        </w:rPr>
        <w:t xml:space="preserve">aktit për inspektimin e ndërtesave </w:t>
      </w:r>
      <w:r w:rsidRPr="000D4269">
        <w:rPr>
          <w:rFonts w:ascii="Garamond" w:hAnsi="Garamond"/>
          <w:szCs w:val="24"/>
          <w:lang w:val="sq-AL"/>
        </w:rPr>
        <w:t>(shih “</w:t>
      </w:r>
      <w:r w:rsidR="002B6C39" w:rsidRPr="000D4269">
        <w:rPr>
          <w:rFonts w:ascii="Garamond" w:hAnsi="Garamond"/>
          <w:szCs w:val="24"/>
          <w:lang w:val="sq-AL"/>
        </w:rPr>
        <w:t xml:space="preserve">ligjin </w:t>
      </w:r>
      <w:r w:rsidRPr="000D4269">
        <w:rPr>
          <w:rFonts w:ascii="Garamond" w:hAnsi="Garamond"/>
          <w:szCs w:val="24"/>
          <w:lang w:val="sq-AL"/>
        </w:rPr>
        <w:t xml:space="preserve">dhe praktikën respektive </w:t>
      </w:r>
      <w:r w:rsidR="003C06FD" w:rsidRPr="000D4269">
        <w:rPr>
          <w:rFonts w:ascii="Garamond" w:hAnsi="Garamond"/>
          <w:szCs w:val="24"/>
          <w:lang w:val="sq-AL"/>
        </w:rPr>
        <w:t>vendës</w:t>
      </w:r>
      <w:r w:rsidRPr="000D4269">
        <w:rPr>
          <w:rFonts w:ascii="Garamond" w:hAnsi="Garamond"/>
          <w:szCs w:val="24"/>
          <w:lang w:val="sq-AL"/>
        </w:rPr>
        <w:t xml:space="preserve">e”). Megjithatë, ajo nuk mori një vendim për këtë çështje pasi nuk kishte qenë pjesë e padisë. Rezulton se procedimet janë pezull në Gjykatën e Lartë.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19" w:name="_Toc520459328"/>
      <w:bookmarkStart w:id="20" w:name="_Toc480367218"/>
      <w:bookmarkStart w:id="21" w:name="_Toc480559185"/>
      <w:bookmarkStart w:id="22" w:name="_Toc481504545"/>
      <w:r w:rsidRPr="00E91B0C">
        <w:rPr>
          <w:rFonts w:ascii="Garamond" w:hAnsi="Garamond"/>
          <w:szCs w:val="24"/>
          <w:lang w:val="sq-AL"/>
        </w:rPr>
        <w:t>E.</w:t>
      </w:r>
      <w:r w:rsidR="00E91B0C">
        <w:rPr>
          <w:rFonts w:ascii="Garamond" w:hAnsi="Garamond"/>
          <w:szCs w:val="24"/>
          <w:lang w:val="sq-AL"/>
        </w:rPr>
        <w:t xml:space="preserve"> </w:t>
      </w:r>
      <w:r w:rsidRPr="00E91B0C">
        <w:rPr>
          <w:rFonts w:ascii="Garamond" w:hAnsi="Garamond"/>
          <w:szCs w:val="24"/>
          <w:lang w:val="sq-AL"/>
        </w:rPr>
        <w:t>Procedimet administrative dhe gjyqësore në lidhje me shpronësimin dhe shembjen e godinës së kërkuesve</w:t>
      </w:r>
      <w:bookmarkEnd w:id="19"/>
      <w:r w:rsidRPr="00E91B0C">
        <w:rPr>
          <w:rFonts w:ascii="Garamond" w:hAnsi="Garamond"/>
          <w:szCs w:val="24"/>
          <w:lang w:val="sq-AL"/>
        </w:rPr>
        <w:t xml:space="preserve"> </w:t>
      </w:r>
      <w:bookmarkEnd w:id="20"/>
      <w:bookmarkEnd w:id="21"/>
      <w:bookmarkEnd w:id="22"/>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23" w:name="_Toc520459329"/>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Procedimet administrative</w:t>
      </w:r>
      <w:bookmarkEnd w:id="23"/>
    </w:p>
    <w:p w:rsidR="00395112" w:rsidRPr="00E91B0C" w:rsidRDefault="00370A6C" w:rsidP="00395112">
      <w:pPr>
        <w:pStyle w:val="JuPara"/>
        <w:widowControl w:val="0"/>
        <w:rPr>
          <w:rFonts w:ascii="Garamond" w:hAnsi="Garamond"/>
          <w:szCs w:val="24"/>
          <w:lang w:val="sq-AL"/>
        </w:rPr>
      </w:pPr>
      <w:r>
        <w:rPr>
          <w:rFonts w:ascii="Garamond" w:hAnsi="Garamond"/>
          <w:szCs w:val="24"/>
          <w:lang w:val="sq-AL"/>
        </w:rPr>
        <w:t>28</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Më 8 </w:t>
      </w:r>
      <w:r w:rsidR="00907A9F" w:rsidRPr="00E91B0C">
        <w:rPr>
          <w:rFonts w:ascii="Garamond" w:hAnsi="Garamond"/>
          <w:szCs w:val="24"/>
          <w:lang w:val="sq-AL"/>
        </w:rPr>
        <w:t xml:space="preserve">tetor </w:t>
      </w:r>
      <w:r w:rsidR="00395112" w:rsidRPr="00E91B0C">
        <w:rPr>
          <w:rFonts w:ascii="Garamond" w:hAnsi="Garamond"/>
          <w:szCs w:val="24"/>
          <w:lang w:val="sq-AL"/>
        </w:rPr>
        <w:t>2013, Këshilli Kombëtar</w:t>
      </w:r>
      <w:r w:rsidR="008B2E1D">
        <w:rPr>
          <w:rFonts w:ascii="Garamond" w:hAnsi="Garamond"/>
          <w:szCs w:val="24"/>
          <w:lang w:val="sq-AL"/>
        </w:rPr>
        <w:t xml:space="preserve"> për Rregullimin e Territorit (</w:t>
      </w:r>
      <w:r w:rsidR="00395112" w:rsidRPr="00E91B0C">
        <w:rPr>
          <w:rFonts w:ascii="Garamond" w:hAnsi="Garamond"/>
          <w:szCs w:val="24"/>
          <w:lang w:val="sq-AL"/>
        </w:rPr>
        <w:t>K</w:t>
      </w:r>
      <w:r w:rsidR="008B2E1D">
        <w:rPr>
          <w:rFonts w:ascii="Garamond" w:hAnsi="Garamond"/>
          <w:szCs w:val="24"/>
          <w:lang w:val="sq-AL"/>
        </w:rPr>
        <w:t>KRRT</w:t>
      </w:r>
      <w:r w:rsidR="00395112" w:rsidRPr="00E91B0C">
        <w:rPr>
          <w:rFonts w:ascii="Garamond" w:hAnsi="Garamond"/>
          <w:szCs w:val="24"/>
          <w:lang w:val="sq-AL"/>
        </w:rPr>
        <w:t>) miratoi vendimin për ndërmarrjen e masave emergjente për mbrojtjen dhe rehabilitimin e mjedisit në disa zon</w:t>
      </w:r>
      <w:r w:rsidR="00DD5217">
        <w:rPr>
          <w:rFonts w:ascii="Garamond" w:hAnsi="Garamond"/>
          <w:szCs w:val="24"/>
          <w:lang w:val="sq-AL"/>
        </w:rPr>
        <w:t>a</w:t>
      </w:r>
      <w:r w:rsidR="00395112" w:rsidRPr="00E91B0C">
        <w:rPr>
          <w:rFonts w:ascii="Garamond" w:hAnsi="Garamond"/>
          <w:szCs w:val="24"/>
          <w:lang w:val="sq-AL"/>
        </w:rPr>
        <w:t xml:space="preserve"> të rëndësisë kombëtare, së bashku me një procedurë për përgatitjen e një plani sektor</w:t>
      </w:r>
      <w:r w:rsidR="00894582">
        <w:rPr>
          <w:rFonts w:ascii="Garamond" w:hAnsi="Garamond"/>
          <w:szCs w:val="24"/>
          <w:lang w:val="sq-AL"/>
        </w:rPr>
        <w:t>i</w:t>
      </w:r>
      <w:r w:rsidR="00395112" w:rsidRPr="00E91B0C">
        <w:rPr>
          <w:rFonts w:ascii="Garamond" w:hAnsi="Garamond"/>
          <w:szCs w:val="24"/>
          <w:lang w:val="sq-AL"/>
        </w:rPr>
        <w:t>al të integruar</w:t>
      </w:r>
      <w:r w:rsidR="00DD5217">
        <w:rPr>
          <w:rFonts w:ascii="Garamond" w:hAnsi="Garamond"/>
          <w:szCs w:val="24"/>
          <w:lang w:val="sq-AL"/>
        </w:rPr>
        <w:t>,</w:t>
      </w:r>
      <w:r w:rsidR="00395112" w:rsidRPr="00E91B0C">
        <w:rPr>
          <w:rFonts w:ascii="Garamond" w:hAnsi="Garamond"/>
          <w:szCs w:val="24"/>
          <w:lang w:val="sq-AL"/>
        </w:rPr>
        <w:t xml:space="preserve"> në lidhje me shtrirjen e vijës bregdetare. Vendimi konstatonte se shtrirjet e vijës bregdetare ishin fusha të rëndësisë kombëtare, ku masat e një natyre emergjente duhej të ndërmerreshin me qëllimin për të mbrojtur dhe </w:t>
      </w:r>
      <w:r w:rsidR="00DD5217">
        <w:rPr>
          <w:rFonts w:ascii="Garamond" w:hAnsi="Garamond"/>
          <w:szCs w:val="24"/>
          <w:lang w:val="sq-AL"/>
        </w:rPr>
        <w:t xml:space="preserve">për të </w:t>
      </w:r>
      <w:r w:rsidR="00395112" w:rsidRPr="00E91B0C">
        <w:rPr>
          <w:rFonts w:ascii="Garamond" w:hAnsi="Garamond"/>
          <w:szCs w:val="24"/>
          <w:lang w:val="sq-AL"/>
        </w:rPr>
        <w:t>rehabilituar territorin dhe mjedisin. Për më tepër, u vendos se dhënia e lejeve të reja për zhvillimin e ndërtimeve për godina individuale përgjatë vijës bregdetare dhe në zona të tjera të rëndësisë kombëtare do të pezulloheshin në pritje të përgatitjes së planit të integruar sektor</w:t>
      </w:r>
      <w:r w:rsidR="005B1500">
        <w:rPr>
          <w:rFonts w:ascii="Garamond" w:hAnsi="Garamond"/>
          <w:szCs w:val="24"/>
          <w:lang w:val="sq-AL"/>
        </w:rPr>
        <w:t>i</w:t>
      </w:r>
      <w:r w:rsidR="00395112" w:rsidRPr="00E91B0C">
        <w:rPr>
          <w:rFonts w:ascii="Garamond" w:hAnsi="Garamond"/>
          <w:szCs w:val="24"/>
          <w:lang w:val="sq-AL"/>
        </w:rPr>
        <w:t xml:space="preserve">al. </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29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Më 27 nëntor 2013, Këshilli i Ministrave shpalli një vendim, i cili hyri në fuqi menjëherë, duke urdhëruar shpronësimin në inter</w:t>
      </w:r>
      <w:r w:rsidR="008B2E1D">
        <w:rPr>
          <w:rFonts w:ascii="Garamond" w:hAnsi="Garamond"/>
          <w:szCs w:val="24"/>
          <w:lang w:val="sq-AL"/>
        </w:rPr>
        <w:t>e</w:t>
      </w:r>
      <w:r w:rsidR="00395112" w:rsidRPr="00E91B0C">
        <w:rPr>
          <w:rFonts w:ascii="Garamond" w:hAnsi="Garamond"/>
          <w:szCs w:val="24"/>
          <w:lang w:val="sq-AL"/>
        </w:rPr>
        <w:t>sin publik të pronave private të paluajtshme të ndikuara nga rehabilitimi mjedisor i Ujit t</w:t>
      </w:r>
      <w:r w:rsidR="00D465F2">
        <w:rPr>
          <w:rFonts w:ascii="Garamond" w:hAnsi="Garamond"/>
          <w:szCs w:val="24"/>
          <w:lang w:val="sq-AL"/>
        </w:rPr>
        <w:t xml:space="preserve">ë Ftohtë, </w:t>
      </w:r>
      <w:r w:rsidR="00395112" w:rsidRPr="00E91B0C">
        <w:rPr>
          <w:rFonts w:ascii="Garamond" w:hAnsi="Garamond"/>
          <w:szCs w:val="24"/>
          <w:lang w:val="sq-AL"/>
        </w:rPr>
        <w:t>Tuneli; një vijë bregdetare e mbrojtur në Bashkinë Vlorë. Shpronësimi u bë në favor të Bashkisë Vlorë brenda tridhjetë ditëve të vendimit. Kompensimi total i akorduar ishte 462,919,230 Lekë (ALL) (rreth 3,456,600 euro (EUR)) për ndërtimin me sipërfaqe 8,121.39 met</w:t>
      </w:r>
      <w:r w:rsidR="00526792">
        <w:rPr>
          <w:rFonts w:ascii="Garamond" w:hAnsi="Garamond"/>
          <w:szCs w:val="24"/>
          <w:lang w:val="sq-AL"/>
        </w:rPr>
        <w:t>ra</w:t>
      </w:r>
      <w:r w:rsidR="00395112" w:rsidRPr="00E91B0C">
        <w:rPr>
          <w:rFonts w:ascii="Garamond" w:hAnsi="Garamond"/>
          <w:szCs w:val="24"/>
          <w:lang w:val="sq-AL"/>
        </w:rPr>
        <w:t xml:space="preserve"> katrorë në total, i cili do të ndahej midis pronarëve. Vendimi u mor sipas </w:t>
      </w:r>
      <w:r w:rsidR="00536F0E" w:rsidRPr="00E91B0C">
        <w:rPr>
          <w:rFonts w:ascii="Garamond" w:hAnsi="Garamond"/>
          <w:szCs w:val="24"/>
          <w:lang w:val="sq-AL"/>
        </w:rPr>
        <w:t>aktit të shpronësim</w:t>
      </w:r>
      <w:r w:rsidR="00395112" w:rsidRPr="00E91B0C">
        <w:rPr>
          <w:rFonts w:ascii="Garamond" w:hAnsi="Garamond"/>
          <w:szCs w:val="24"/>
          <w:lang w:val="sq-AL"/>
        </w:rPr>
        <w:t>it dhe në bazë të dy vendimeve të KKRRT-</w:t>
      </w:r>
      <w:r w:rsidR="00526792">
        <w:rPr>
          <w:rFonts w:ascii="Garamond" w:hAnsi="Garamond"/>
          <w:szCs w:val="24"/>
          <w:lang w:val="sq-AL"/>
        </w:rPr>
        <w:t>së</w:t>
      </w:r>
      <w:r w:rsidR="00395112" w:rsidRPr="00E91B0C">
        <w:rPr>
          <w:rFonts w:ascii="Garamond" w:hAnsi="Garamond"/>
          <w:szCs w:val="24"/>
          <w:lang w:val="sq-AL"/>
        </w:rPr>
        <w:t xml:space="preserve"> vendimi i sipërpërmendur i datës 8 tetor 2013 (shih paragrafin 28 më sipër) dhe një vendimi të mëparshëm të datës 23 qershor 2004, për miratimin e planit për qendrën e qytetit të Vlorës. Sipas vendimit, pas shpronësimit, pronarët e ligjshëm të pronës do të kompensoheshin (nga autoritetet) pasi të paraqisnin dokumentet e titujve të tyre të pronësisë. Afati për përfundimin e procedurës së shpronësimit u caktua data 28 dhjetor 2013.</w:t>
      </w:r>
      <w:r w:rsidR="00E91B0C">
        <w:rPr>
          <w:rFonts w:ascii="Garamond" w:hAnsi="Garamond"/>
          <w:szCs w:val="24"/>
          <w:lang w:val="sq-AL"/>
        </w:rPr>
        <w:t xml:space="preserve"> </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30</w:t>
      </w:r>
      <w:r w:rsidR="00395112" w:rsidRPr="00E91B0C">
        <w:rPr>
          <w:rFonts w:ascii="Garamond" w:hAnsi="Garamond"/>
          <w:szCs w:val="24"/>
          <w:lang w:val="sq-AL"/>
        </w:rPr>
        <w:t xml:space="preserve">. Vendimi u publikua në Fletoren Zyrtare më 3 dhjetor 2013. Rezulton se kërkuesit u bënë me dije për vendimin vetëm atë ditë, kur zëdhënësi për shtyp i </w:t>
      </w:r>
      <w:r w:rsidR="00F8762C" w:rsidRPr="00E91B0C">
        <w:rPr>
          <w:rFonts w:ascii="Garamond" w:hAnsi="Garamond"/>
          <w:szCs w:val="24"/>
          <w:lang w:val="sq-AL"/>
        </w:rPr>
        <w:t xml:space="preserve">ministrit </w:t>
      </w:r>
      <w:r w:rsidR="00395112" w:rsidRPr="00E91B0C">
        <w:rPr>
          <w:rFonts w:ascii="Garamond" w:hAnsi="Garamond"/>
          <w:szCs w:val="24"/>
          <w:lang w:val="sq-AL"/>
        </w:rPr>
        <w:t>të Brendshëm njoftoi</w:t>
      </w:r>
      <w:r w:rsidR="00526792">
        <w:rPr>
          <w:rFonts w:ascii="Garamond" w:hAnsi="Garamond"/>
          <w:szCs w:val="24"/>
          <w:lang w:val="sq-AL"/>
        </w:rPr>
        <w:t xml:space="preserve"> se Rezidenca Jon do të shembej, </w:t>
      </w:r>
      <w:r w:rsidR="00395112" w:rsidRPr="00E91B0C">
        <w:rPr>
          <w:rFonts w:ascii="Garamond" w:hAnsi="Garamond"/>
          <w:szCs w:val="24"/>
          <w:lang w:val="sq-AL"/>
        </w:rPr>
        <w:t>një proces i cili do të fillonte në ditën në vijim (4 dhjetor 2013).</w:t>
      </w:r>
      <w:r w:rsidR="00E91B0C">
        <w:rPr>
          <w:rFonts w:ascii="Garamond" w:hAnsi="Garamond"/>
          <w:szCs w:val="24"/>
          <w:lang w:val="sq-AL"/>
        </w:rPr>
        <w:t xml:space="preserve"> </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31</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Më 2 dhjetor 2013, kryetari i </w:t>
      </w:r>
      <w:r w:rsidR="0088661C" w:rsidRPr="00E91B0C">
        <w:rPr>
          <w:rFonts w:ascii="Garamond" w:hAnsi="Garamond"/>
          <w:szCs w:val="24"/>
          <w:lang w:val="sq-AL"/>
        </w:rPr>
        <w:t xml:space="preserve">Bashkisë </w:t>
      </w:r>
      <w:r w:rsidR="00395112" w:rsidRPr="00E91B0C">
        <w:rPr>
          <w:rFonts w:ascii="Garamond" w:hAnsi="Garamond"/>
          <w:szCs w:val="24"/>
          <w:lang w:val="sq-AL"/>
        </w:rPr>
        <w:t>Vlorë, kërkoi ndihmën e INUK</w:t>
      </w:r>
      <w:r w:rsidR="00537673">
        <w:rPr>
          <w:rFonts w:ascii="Garamond" w:hAnsi="Garamond"/>
          <w:szCs w:val="24"/>
          <w:lang w:val="sq-AL"/>
        </w:rPr>
        <w:t>-ut</w:t>
      </w:r>
      <w:r w:rsidR="00395112" w:rsidRPr="00E91B0C">
        <w:rPr>
          <w:rFonts w:ascii="Garamond" w:hAnsi="Garamond"/>
          <w:szCs w:val="24"/>
          <w:lang w:val="sq-AL"/>
        </w:rPr>
        <w:t xml:space="preserve"> për shembjen e Rezi</w:t>
      </w:r>
      <w:r w:rsidR="00CF46F8">
        <w:rPr>
          <w:rFonts w:ascii="Garamond" w:hAnsi="Garamond"/>
          <w:szCs w:val="24"/>
          <w:lang w:val="sq-AL"/>
        </w:rPr>
        <w:t xml:space="preserve">dencës Jon, </w:t>
      </w:r>
      <w:r w:rsidR="00395112" w:rsidRPr="00E91B0C">
        <w:rPr>
          <w:rFonts w:ascii="Garamond" w:hAnsi="Garamond"/>
          <w:szCs w:val="24"/>
          <w:lang w:val="sq-AL"/>
        </w:rPr>
        <w:t>sipas vendimit të datës 27 nëntor 2013. Në po të njëjtën ditë, INUK</w:t>
      </w:r>
      <w:r w:rsidR="00537673">
        <w:rPr>
          <w:rFonts w:ascii="Garamond" w:hAnsi="Garamond"/>
          <w:szCs w:val="24"/>
          <w:lang w:val="sq-AL"/>
        </w:rPr>
        <w:t>-u</w:t>
      </w:r>
      <w:r w:rsidR="00395112" w:rsidRPr="00E91B0C">
        <w:rPr>
          <w:rFonts w:ascii="Garamond" w:hAnsi="Garamond"/>
          <w:szCs w:val="24"/>
          <w:lang w:val="sq-AL"/>
        </w:rPr>
        <w:t xml:space="preserve"> kërkoi ndihmën e policisë së Vlorës për shembjen, e cila ishte planifikuar të fillonte në orën 8 të paradites, në mëngjesin e ditës tjetër. E gjithë godina u shemb nga data 4 dhjetor 2013 dhe 8 dhjetor 2013 (shih edhe paragrafin 15 më sipër). </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32</w:t>
      </w:r>
      <w:r w:rsidR="00395112" w:rsidRPr="00E91B0C">
        <w:rPr>
          <w:rFonts w:ascii="Garamond" w:hAnsi="Garamond"/>
          <w:szCs w:val="24"/>
          <w:lang w:val="sq-AL"/>
        </w:rPr>
        <w:t xml:space="preserve">. Më 29 </w:t>
      </w:r>
      <w:r w:rsidR="00537673" w:rsidRPr="00E91B0C">
        <w:rPr>
          <w:rFonts w:ascii="Garamond" w:hAnsi="Garamond"/>
          <w:szCs w:val="24"/>
          <w:lang w:val="sq-AL"/>
        </w:rPr>
        <w:t>janar</w:t>
      </w:r>
      <w:r w:rsidR="00537673">
        <w:rPr>
          <w:rFonts w:ascii="Garamond" w:hAnsi="Garamond"/>
          <w:szCs w:val="24"/>
          <w:lang w:val="sq-AL"/>
        </w:rPr>
        <w:t xml:space="preserve"> </w:t>
      </w:r>
      <w:r w:rsidR="00395112" w:rsidRPr="00E91B0C">
        <w:rPr>
          <w:rFonts w:ascii="Garamond" w:hAnsi="Garamond"/>
          <w:szCs w:val="24"/>
          <w:lang w:val="sq-AL"/>
        </w:rPr>
        <w:t>2014, ZRRPP</w:t>
      </w:r>
      <w:r w:rsidR="00537673">
        <w:rPr>
          <w:rFonts w:ascii="Garamond" w:hAnsi="Garamond"/>
          <w:szCs w:val="24"/>
          <w:lang w:val="sq-AL"/>
        </w:rPr>
        <w:t>-ja</w:t>
      </w:r>
      <w:r w:rsidR="00395112" w:rsidRPr="00E91B0C">
        <w:rPr>
          <w:rFonts w:ascii="Garamond" w:hAnsi="Garamond"/>
          <w:szCs w:val="24"/>
          <w:lang w:val="sq-AL"/>
        </w:rPr>
        <w:t xml:space="preserve">, në përgjigje të shkresës së dërguar nga njëri prej kërkuesve, </w:t>
      </w:r>
      <w:r w:rsidR="00EB18BA">
        <w:rPr>
          <w:rFonts w:ascii="Garamond" w:hAnsi="Garamond"/>
          <w:szCs w:val="24"/>
          <w:lang w:val="sq-AL"/>
        </w:rPr>
        <w:t>i</w:t>
      </w:r>
      <w:r w:rsidR="00395112" w:rsidRPr="00E91B0C">
        <w:rPr>
          <w:rFonts w:ascii="Garamond" w:hAnsi="Garamond"/>
          <w:szCs w:val="24"/>
          <w:lang w:val="sq-AL"/>
        </w:rPr>
        <w:t xml:space="preserve"> cil</w:t>
      </w:r>
      <w:r w:rsidR="00EB18BA">
        <w:rPr>
          <w:rFonts w:ascii="Garamond" w:hAnsi="Garamond"/>
          <w:szCs w:val="24"/>
          <w:lang w:val="sq-AL"/>
        </w:rPr>
        <w:t>i</w:t>
      </w:r>
      <w:r w:rsidR="00395112" w:rsidRPr="00E91B0C">
        <w:rPr>
          <w:rFonts w:ascii="Garamond" w:hAnsi="Garamond"/>
          <w:szCs w:val="24"/>
          <w:lang w:val="sq-AL"/>
        </w:rPr>
        <w:t xml:space="preserve"> kërkonte kopjen e certifikatës së </w:t>
      </w:r>
      <w:r w:rsidR="00EB18BA">
        <w:rPr>
          <w:rFonts w:ascii="Garamond" w:hAnsi="Garamond"/>
          <w:szCs w:val="24"/>
          <w:lang w:val="sq-AL"/>
        </w:rPr>
        <w:t>tij</w:t>
      </w:r>
      <w:r w:rsidR="00395112" w:rsidRPr="00E91B0C">
        <w:rPr>
          <w:rFonts w:ascii="Garamond" w:hAnsi="Garamond"/>
          <w:szCs w:val="24"/>
          <w:lang w:val="sq-AL"/>
        </w:rPr>
        <w:t xml:space="preserve"> të pronësisë, u shpreh se duke qenë se godina ishte shembur, nuk ishte e mundur të lëshohej një certifikatë pronësie për një pronë e cila nuk ekzistonte më.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33. Më 9 prill 2014, Këshilli i Ministrave lëshoi një tjetër vendim, “Për disa ndryshime në vendimin e Këshillit të Ministrave, të datës 27 nëntor 2013”, duke ndryshuar vendimin e tij të mëparshëm të datës </w:t>
      </w:r>
      <w:r w:rsidRPr="00E91B0C">
        <w:rPr>
          <w:rFonts w:ascii="Garamond" w:hAnsi="Garamond"/>
          <w:szCs w:val="24"/>
          <w:lang w:val="sq-AL"/>
        </w:rPr>
        <w:lastRenderedPageBreak/>
        <w:t xml:space="preserve">27 nëntor 2013, duke </w:t>
      </w:r>
      <w:r w:rsidR="00F33CCD">
        <w:rPr>
          <w:rFonts w:ascii="Garamond" w:hAnsi="Garamond"/>
          <w:szCs w:val="24"/>
          <w:lang w:val="sq-AL"/>
        </w:rPr>
        <w:t>u</w:t>
      </w:r>
      <w:r w:rsidRPr="00E91B0C">
        <w:rPr>
          <w:rFonts w:ascii="Garamond" w:hAnsi="Garamond"/>
          <w:szCs w:val="24"/>
          <w:lang w:val="sq-AL"/>
        </w:rPr>
        <w:t xml:space="preserve"> dhënë kërkuesve një total prej 441,168,600 lekë</w:t>
      </w:r>
      <w:r w:rsidR="00F33CCD">
        <w:rPr>
          <w:rFonts w:ascii="Garamond" w:hAnsi="Garamond"/>
          <w:szCs w:val="24"/>
          <w:lang w:val="sq-AL"/>
        </w:rPr>
        <w:t>sh</w:t>
      </w:r>
      <w:r w:rsidRPr="00E91B0C">
        <w:rPr>
          <w:rFonts w:ascii="Garamond" w:hAnsi="Garamond"/>
          <w:szCs w:val="24"/>
          <w:lang w:val="sq-AL"/>
        </w:rPr>
        <w:t xml:space="preserve"> si kompensim për sipërfaqen e truallit prej 7,739.80</w:t>
      </w:r>
      <w:r w:rsidR="008B2E1D">
        <w:rPr>
          <w:rFonts w:ascii="Garamond" w:hAnsi="Garamond"/>
          <w:szCs w:val="24"/>
          <w:lang w:val="sq-AL"/>
        </w:rPr>
        <w:t xml:space="preserve"> </w:t>
      </w:r>
      <w:r w:rsidRPr="00E91B0C">
        <w:rPr>
          <w:rFonts w:ascii="Garamond" w:hAnsi="Garamond"/>
          <w:szCs w:val="24"/>
          <w:lang w:val="sq-AL"/>
        </w:rPr>
        <w:t>met</w:t>
      </w:r>
      <w:r w:rsidR="008E5A5C">
        <w:rPr>
          <w:rFonts w:ascii="Garamond" w:hAnsi="Garamond"/>
          <w:szCs w:val="24"/>
          <w:lang w:val="sq-AL"/>
        </w:rPr>
        <w:t>ra</w:t>
      </w:r>
      <w:r w:rsidRPr="00E91B0C">
        <w:rPr>
          <w:rFonts w:ascii="Garamond" w:hAnsi="Garamond"/>
          <w:szCs w:val="24"/>
          <w:lang w:val="sq-AL"/>
        </w:rPr>
        <w:t xml:space="preserve"> katrorë</w:t>
      </w:r>
      <w:r w:rsidR="00E77D71">
        <w:rPr>
          <w:rFonts w:ascii="Garamond" w:hAnsi="Garamond"/>
          <w:szCs w:val="24"/>
          <w:lang w:val="sq-AL"/>
        </w:rPr>
        <w:t>sh</w:t>
      </w:r>
      <w:r w:rsidRPr="00E91B0C">
        <w:rPr>
          <w:rFonts w:ascii="Garamond" w:hAnsi="Garamond"/>
          <w:szCs w:val="24"/>
          <w:lang w:val="sq-AL"/>
        </w:rPr>
        <w:t xml:space="preserve">. Afati për përfundimin e procedurës së shpronësimit u përcaktua data 30 prill 2014. Ndaj këtij vendimi nuk u paraqit asnjë apelim.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34. Më 12 prill 2017, Departamenti i Menaxhimit të Buxhetit në Ministrinë e Financave i dërgoi </w:t>
      </w:r>
      <w:r w:rsidR="0018461E" w:rsidRPr="00E91B0C">
        <w:rPr>
          <w:rFonts w:ascii="Garamond" w:hAnsi="Garamond"/>
          <w:szCs w:val="24"/>
          <w:lang w:val="sq-AL"/>
        </w:rPr>
        <w:t xml:space="preserve">agjentit të qeverisë </w:t>
      </w:r>
      <w:r w:rsidRPr="00E91B0C">
        <w:rPr>
          <w:rFonts w:ascii="Garamond" w:hAnsi="Garamond"/>
          <w:szCs w:val="24"/>
          <w:lang w:val="sq-AL"/>
        </w:rPr>
        <w:t xml:space="preserve">një letër, ku shprehej se Ministria e Financave kishte miratuar një fond prej 362,919 lekësh dhe 100,000 lekësh (rreth 3,460 euro në total) për zbatimin e vendimit të Këshillit të Ministrave të datës 27 nëntor 2013. Kërkuesve nuk </w:t>
      </w:r>
      <w:r w:rsidR="009470D3">
        <w:rPr>
          <w:rFonts w:ascii="Garamond" w:hAnsi="Garamond"/>
          <w:szCs w:val="24"/>
          <w:lang w:val="sq-AL"/>
        </w:rPr>
        <w:t>u</w:t>
      </w:r>
      <w:r w:rsidRPr="00E91B0C">
        <w:rPr>
          <w:rFonts w:ascii="Garamond" w:hAnsi="Garamond"/>
          <w:szCs w:val="24"/>
          <w:lang w:val="sq-AL"/>
        </w:rPr>
        <w:t xml:space="preserve"> është bërë asnjë pagesë.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24" w:name="_Toc520459330"/>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Procedimet gjyqësore</w:t>
      </w:r>
      <w:bookmarkEnd w:id="24"/>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 xml:space="preserve">Procedimet në </w:t>
      </w:r>
      <w:r w:rsidR="00B17652" w:rsidRPr="00E91B0C">
        <w:rPr>
          <w:rFonts w:ascii="Garamond" w:hAnsi="Garamond"/>
          <w:sz w:val="24"/>
          <w:szCs w:val="24"/>
          <w:lang w:val="sq-AL"/>
        </w:rPr>
        <w:t xml:space="preserve">Gjykatën </w:t>
      </w:r>
      <w:r w:rsidRPr="00E91B0C">
        <w:rPr>
          <w:rFonts w:ascii="Garamond" w:hAnsi="Garamond"/>
          <w:sz w:val="24"/>
          <w:szCs w:val="24"/>
          <w:lang w:val="sq-AL"/>
        </w:rPr>
        <w:t xml:space="preserve">e </w:t>
      </w:r>
      <w:r w:rsidR="00B17652" w:rsidRPr="00E91B0C">
        <w:rPr>
          <w:rFonts w:ascii="Garamond" w:hAnsi="Garamond"/>
          <w:sz w:val="24"/>
          <w:szCs w:val="24"/>
          <w:lang w:val="sq-AL"/>
        </w:rPr>
        <w:t xml:space="preserve">Rrethit </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35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Më 26 dhjetor 2013, njëzet e një banorë, duke përfshirë të gjithë kërkuesit, paraqitën një padi në Gjykatën e Rrethit kundër vendimit të Këshillit të Ministrave të datës 27 nëntor 2013, duke kundërshtuar vlerën e kompensimit të dhënë dhe përllogaritjen</w:t>
      </w:r>
      <w:r w:rsidR="00E91B0C">
        <w:rPr>
          <w:rFonts w:ascii="Garamond" w:hAnsi="Garamond"/>
          <w:szCs w:val="24"/>
          <w:lang w:val="sq-AL"/>
        </w:rPr>
        <w:t xml:space="preserve"> </w:t>
      </w:r>
      <w:r w:rsidR="00395112" w:rsidRPr="00E91B0C">
        <w:rPr>
          <w:rFonts w:ascii="Garamond" w:hAnsi="Garamond"/>
          <w:szCs w:val="24"/>
          <w:lang w:val="sq-AL"/>
        </w:rPr>
        <w:t>e sipërfaqes së saktë të pronës, e cila ishte shpronësuar, sipas vendimit të lëshuar si rezultat i një procedure shpronësimi në shkelje flagrante të ligjit. Gjithashtu, ata kërkuan që Këshilli i Ministrave të ndryshonte shumën e kompensimit (në 57,000 lekë për metër katror) dhe të kompensonte çdo pronar bazuar në përmasën e saktë të pronës, duke korresponduar në një shumë për kompensim të drejtë</w:t>
      </w:r>
      <w:r w:rsidR="00B17652">
        <w:rPr>
          <w:rFonts w:ascii="Garamond" w:hAnsi="Garamond"/>
          <w:szCs w:val="24"/>
          <w:lang w:val="sq-AL"/>
        </w:rPr>
        <w:t>,</w:t>
      </w:r>
      <w:r w:rsidR="00395112" w:rsidRPr="00E91B0C">
        <w:rPr>
          <w:rFonts w:ascii="Garamond" w:hAnsi="Garamond"/>
          <w:szCs w:val="24"/>
          <w:lang w:val="sq-AL"/>
        </w:rPr>
        <w:t xml:space="preserve"> në përputhje me ligjin dhe të përllogaritur nga një ekspert i caktuar nga gjykata. Duke marrë në konsideratë edhe mundësinë e zhvillimit të pronës. Në padinë e tyre, kërkuesit shpreheshin se shpronësimi kishte qenë i paligjshëm dhe se kishte ndodhur një shpronësim </w:t>
      </w:r>
      <w:r w:rsidR="00395112" w:rsidRPr="00E91B0C">
        <w:rPr>
          <w:rFonts w:ascii="Garamond" w:hAnsi="Garamond"/>
          <w:i/>
          <w:szCs w:val="24"/>
          <w:lang w:val="sq-AL"/>
        </w:rPr>
        <w:t xml:space="preserve">de facto. </w:t>
      </w:r>
      <w:r w:rsidR="00395112" w:rsidRPr="00E91B0C">
        <w:rPr>
          <w:rFonts w:ascii="Garamond" w:hAnsi="Garamond"/>
          <w:szCs w:val="24"/>
          <w:lang w:val="sq-AL"/>
        </w:rPr>
        <w:t>Po ashtu, ata shpreheshin se veprimet e datës 3 nëntor 2013, të INUK</w:t>
      </w:r>
      <w:r w:rsidR="009470D3">
        <w:rPr>
          <w:rFonts w:ascii="Garamond" w:hAnsi="Garamond"/>
          <w:szCs w:val="24"/>
          <w:lang w:val="sq-AL"/>
        </w:rPr>
        <w:t>-ut</w:t>
      </w:r>
      <w:r w:rsidR="00395112" w:rsidRPr="00E91B0C">
        <w:rPr>
          <w:rFonts w:ascii="Garamond" w:hAnsi="Garamond"/>
          <w:szCs w:val="24"/>
          <w:lang w:val="sq-AL"/>
        </w:rPr>
        <w:t xml:space="preserve"> dhe të INU</w:t>
      </w:r>
      <w:r w:rsidR="00B17652">
        <w:rPr>
          <w:rFonts w:ascii="Garamond" w:hAnsi="Garamond"/>
          <w:szCs w:val="24"/>
          <w:lang w:val="sq-AL"/>
        </w:rPr>
        <w:t>-së</w:t>
      </w:r>
      <w:r w:rsidR="00395112" w:rsidRPr="00E91B0C">
        <w:rPr>
          <w:rFonts w:ascii="Garamond" w:hAnsi="Garamond"/>
          <w:szCs w:val="24"/>
          <w:lang w:val="sq-AL"/>
        </w:rPr>
        <w:t xml:space="preserve"> kishin qenë abuzive dhe ishin marrë pa ndonjë vendim administrativ për të justifikuar veprimet e tyre të paligjshme me qëllimin prishjen e një prone të ligjshme. Më tej, ata pohonin se edhe pse autoritetet kishin lëshuar një urdhër të përkohshëm dhe Avokati i Popullit k</w:t>
      </w:r>
      <w:r w:rsidR="00AE2C40">
        <w:rPr>
          <w:rFonts w:ascii="Garamond" w:hAnsi="Garamond"/>
          <w:szCs w:val="24"/>
          <w:lang w:val="sq-AL"/>
        </w:rPr>
        <w:t>i</w:t>
      </w:r>
      <w:r w:rsidR="00395112" w:rsidRPr="00E91B0C">
        <w:rPr>
          <w:rFonts w:ascii="Garamond" w:hAnsi="Garamond"/>
          <w:szCs w:val="24"/>
          <w:lang w:val="sq-AL"/>
        </w:rPr>
        <w:t xml:space="preserve">shte njohur edhe paligjshmërinë e veprimeve të autoriteteve dhe kishte rekomanduar që në të ardhmen të mos përsëriteshin veprime të ngjashme, pa pritur më parë vendimin e Gjykatës së Rrethit, gjithsesi, ata kishin miratuar vendimin e Këshillit të Ministrave të datës 27 nëntor 2013.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36. Më 6 mars 2014, Gjykata e Rrethit pranoi padinë e kërkuesve. Ajo arsyetoi se shpronësimi kishte qenë i paligjshëm për faktin se vendimi i Këshillit të Ministrave, i datës 27 nëntor 2013, ishte miratuar në shkelje të rënda procedurale të </w:t>
      </w:r>
      <w:r w:rsidR="00536F0E" w:rsidRPr="00E91B0C">
        <w:rPr>
          <w:rFonts w:ascii="Garamond" w:hAnsi="Garamond"/>
          <w:szCs w:val="24"/>
          <w:lang w:val="sq-AL"/>
        </w:rPr>
        <w:t xml:space="preserve">aktit të shpronësimit (shih “ligji </w:t>
      </w:r>
      <w:r w:rsidRPr="00E91B0C">
        <w:rPr>
          <w:rFonts w:ascii="Garamond" w:hAnsi="Garamond"/>
          <w:szCs w:val="24"/>
          <w:lang w:val="sq-AL"/>
        </w:rPr>
        <w:t xml:space="preserve">dhe praktika përkatëse </w:t>
      </w:r>
      <w:r w:rsidR="003C06FD">
        <w:rPr>
          <w:rFonts w:ascii="Garamond" w:hAnsi="Garamond"/>
          <w:szCs w:val="24"/>
          <w:lang w:val="sq-AL"/>
        </w:rPr>
        <w:t>vendës</w:t>
      </w:r>
      <w:r w:rsidRPr="00E91B0C">
        <w:rPr>
          <w:rFonts w:ascii="Garamond" w:hAnsi="Garamond"/>
          <w:szCs w:val="24"/>
          <w:lang w:val="sq-AL"/>
        </w:rPr>
        <w:t>e” më poshtë) dhe një sërë aktesh nënligjor</w:t>
      </w:r>
      <w:r w:rsidR="003C06FD">
        <w:rPr>
          <w:rFonts w:ascii="Garamond" w:hAnsi="Garamond"/>
          <w:szCs w:val="24"/>
          <w:lang w:val="sq-AL"/>
        </w:rPr>
        <w:t>e</w:t>
      </w:r>
      <w:r w:rsidRP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37. Në lidhje </w:t>
      </w:r>
      <w:r w:rsidR="00AE2C40">
        <w:rPr>
          <w:rFonts w:ascii="Garamond" w:hAnsi="Garamond"/>
          <w:szCs w:val="24"/>
          <w:lang w:val="sq-AL"/>
        </w:rPr>
        <w:t>me</w:t>
      </w:r>
      <w:r w:rsidRPr="00E91B0C">
        <w:rPr>
          <w:rFonts w:ascii="Garamond" w:hAnsi="Garamond"/>
          <w:szCs w:val="24"/>
          <w:lang w:val="sq-AL"/>
        </w:rPr>
        <w:t xml:space="preserve"> faktet e çështjes, Gjykata e Rrethit përmendi se veprimet e ndërmarra më 3 nëntor 2013, të cilat konsistonin në rrethimin e godinës për shembjen e saj, kishin qenë arbitrare dhe ishin ndërmarrë në shkelje të ligjit </w:t>
      </w:r>
      <w:r w:rsidR="003C06FD">
        <w:rPr>
          <w:rFonts w:ascii="Garamond" w:hAnsi="Garamond"/>
          <w:szCs w:val="24"/>
          <w:lang w:val="sq-AL"/>
        </w:rPr>
        <w:t>vendës</w:t>
      </w:r>
      <w:r w:rsidRPr="00E91B0C">
        <w:rPr>
          <w:rFonts w:ascii="Garamond" w:hAnsi="Garamond"/>
          <w:szCs w:val="24"/>
          <w:lang w:val="sq-AL"/>
        </w:rPr>
        <w:t>, sipas qëndrimit të saj në vendimin e datës 28 janar 2014 (shih paragrafin 26 më sipër). Gjithashtu, ajo përsëriti faktin se Avokati i Popullit kishte rekomanduar të ndërmerreshin masat e nevojshme</w:t>
      </w:r>
      <w:r w:rsidR="00F70D75">
        <w:rPr>
          <w:rFonts w:ascii="Garamond" w:hAnsi="Garamond"/>
          <w:szCs w:val="24"/>
          <w:lang w:val="sq-AL"/>
        </w:rPr>
        <w:t>,</w:t>
      </w:r>
      <w:r w:rsidRPr="00E91B0C">
        <w:rPr>
          <w:rFonts w:ascii="Garamond" w:hAnsi="Garamond"/>
          <w:szCs w:val="24"/>
          <w:lang w:val="sq-AL"/>
        </w:rPr>
        <w:t xml:space="preserve"> në mënyrë që veprime të ngjashme arbitrare të mos përsëriteshin në të ardhmen. Gjithsesi, ajo vërejti se autoritetet kishin miratuar vendimin e Këshillit të Ministrave të datës 27 nëntor 2013, pa pritur vendimin për themelin e çështjes.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38.</w:t>
      </w:r>
      <w:r w:rsidR="00E91B0C">
        <w:rPr>
          <w:rFonts w:ascii="Garamond" w:hAnsi="Garamond"/>
          <w:szCs w:val="24"/>
          <w:lang w:val="sq-AL"/>
        </w:rPr>
        <w:t xml:space="preserve"> </w:t>
      </w:r>
      <w:r w:rsidRPr="00E91B0C">
        <w:rPr>
          <w:rFonts w:ascii="Garamond" w:hAnsi="Garamond"/>
          <w:szCs w:val="24"/>
          <w:lang w:val="sq-AL"/>
        </w:rPr>
        <w:t xml:space="preserve">Në lidhje me argumentet ligjore nëse ndërhyrja kishte qenë e ligjshme, Gjykata e Rrethit arsyetonte se autoritetet nuk kishin respektuar procedurën e plotë të shpronësimit sipas parashikimit në seksionet 9 deri në 16 dhe 20 deri në 21 të </w:t>
      </w:r>
      <w:r w:rsidR="00536F0E" w:rsidRPr="00E91B0C">
        <w:rPr>
          <w:rFonts w:ascii="Garamond" w:hAnsi="Garamond"/>
          <w:szCs w:val="24"/>
          <w:lang w:val="sq-AL"/>
        </w:rPr>
        <w:t>aktit të shpronësimit</w:t>
      </w:r>
      <w:r w:rsidRPr="00E91B0C">
        <w:rPr>
          <w:rFonts w:ascii="Garamond" w:hAnsi="Garamond"/>
          <w:szCs w:val="24"/>
          <w:lang w:val="sq-AL"/>
        </w:rPr>
        <w:t xml:space="preserve">. Ministria kompetente nuk kishte informuar pronarët e pronës ose kompaninë e ndërtimit për shpronësimin, për këtë arsye ata dhe çdo palë e tretë tjetër ishin privuar nga mundësia për ta kundërshtuar atë. Sipas pretendimeve të tyre të paraqitura përpara </w:t>
      </w:r>
      <w:r w:rsidR="00F70D75" w:rsidRPr="00E91B0C">
        <w:rPr>
          <w:rFonts w:ascii="Garamond" w:hAnsi="Garamond"/>
          <w:szCs w:val="24"/>
          <w:lang w:val="sq-AL"/>
        </w:rPr>
        <w:t>G</w:t>
      </w:r>
      <w:r w:rsidRPr="00E91B0C">
        <w:rPr>
          <w:rFonts w:ascii="Garamond" w:hAnsi="Garamond"/>
          <w:szCs w:val="24"/>
          <w:lang w:val="sq-AL"/>
        </w:rPr>
        <w:t xml:space="preserve">jykatës së </w:t>
      </w:r>
      <w:r w:rsidR="00F70D75" w:rsidRPr="00E91B0C">
        <w:rPr>
          <w:rFonts w:ascii="Garamond" w:hAnsi="Garamond"/>
          <w:szCs w:val="24"/>
          <w:lang w:val="sq-AL"/>
        </w:rPr>
        <w:t>R</w:t>
      </w:r>
      <w:r w:rsidRPr="00E91B0C">
        <w:rPr>
          <w:rFonts w:ascii="Garamond" w:hAnsi="Garamond"/>
          <w:szCs w:val="24"/>
          <w:lang w:val="sq-AL"/>
        </w:rPr>
        <w:t>rethit, kërkuesit kishin mësuar për vendimin e shpronësimit vetëm me anë të medias, teksa godina po shembej. Edhe më pas, kërkuesit nuk u informuan kurrë, edhe pse ishte një kërkesë ligjore. Një gjë e tillë do t’i kishte dhënë atyre kohë të arsyeshme të largoheshin nga godina</w:t>
      </w:r>
      <w:r w:rsidR="00E91B0C">
        <w:rPr>
          <w:rFonts w:ascii="Garamond" w:hAnsi="Garamond"/>
          <w:szCs w:val="24"/>
          <w:lang w:val="sq-AL"/>
        </w:rPr>
        <w:t xml:space="preserve"> </w:t>
      </w:r>
      <w:r w:rsidRPr="00E91B0C">
        <w:rPr>
          <w:rFonts w:ascii="Garamond" w:hAnsi="Garamond"/>
          <w:szCs w:val="24"/>
          <w:lang w:val="sq-AL"/>
        </w:rPr>
        <w:t>dhe t’i çonin sendet e tyre në vende të tjera. Autoritetet kishin vijuar me shembjen e pronës</w:t>
      </w:r>
      <w:r w:rsidR="00EA01DB">
        <w:rPr>
          <w:rFonts w:ascii="Garamond" w:hAnsi="Garamond"/>
          <w:szCs w:val="24"/>
          <w:lang w:val="sq-AL"/>
        </w:rPr>
        <w:t xml:space="preserve"> pa pasur të gjithë informacioni</w:t>
      </w:r>
      <w:r w:rsidRPr="00E91B0C">
        <w:rPr>
          <w:rFonts w:ascii="Garamond" w:hAnsi="Garamond"/>
          <w:szCs w:val="24"/>
          <w:lang w:val="sq-AL"/>
        </w:rPr>
        <w:t xml:space="preserve"> se kush ishin banorët. Nga dokumentet në dosjen e çështjes, ishte e qartë se ministria përkatëse i kishte kërkuar Bashkisë së Vlorës për informacione rreth banorëve të Rezidencës Jon vetëm një muaj pasi ishte shembur godina dhe më shumë se dyzet e pesë ditë pasi ishte lëshuar vendimi për shpronësimin. Më tej, ajo argumentoi se shpronësimi ishte fshehur si një shpronësim formal </w:t>
      </w:r>
      <w:r w:rsidR="00EA01DB">
        <w:rPr>
          <w:rFonts w:ascii="Garamond" w:hAnsi="Garamond"/>
          <w:szCs w:val="24"/>
          <w:lang w:val="sq-AL"/>
        </w:rPr>
        <w:t xml:space="preserve">i </w:t>
      </w:r>
      <w:r w:rsidRPr="00E91B0C">
        <w:rPr>
          <w:rFonts w:ascii="Garamond" w:hAnsi="Garamond"/>
          <w:szCs w:val="24"/>
          <w:lang w:val="sq-AL"/>
        </w:rPr>
        <w:t xml:space="preserve">ndërmarrë në përputhje me parashikimet ligjore në fuqi, por në realitet, serioziteti i shkeljeve kishte qenë i tillë aq sa për ta bërë atë një “shpronësim </w:t>
      </w:r>
      <w:r w:rsidRPr="00E91B0C">
        <w:rPr>
          <w:rFonts w:ascii="Garamond" w:hAnsi="Garamond"/>
          <w:i/>
          <w:szCs w:val="24"/>
          <w:lang w:val="sq-AL"/>
        </w:rPr>
        <w:t>de facto</w:t>
      </w:r>
      <w:r w:rsidRPr="00E91B0C">
        <w:rPr>
          <w:rFonts w:ascii="Garamond" w:hAnsi="Garamond"/>
          <w:szCs w:val="24"/>
          <w:lang w:val="sq-AL"/>
        </w:rPr>
        <w:t xml:space="preserve">”. Vendimi i Këshillit të Ministrave për të shpronësuar pronën kishte qenë një akt formal, qëllimi i vetëm i të cilit ishte fshehja e natyrës aktuale të shpronësimit. Për më tepër, si rezultat i shembjes së menjëhershme të godinës, ku autoritetet nuk respektuan afatet e parashikuara në ligj, kërkuesve iu ishte ndaluar të ktheheshin në situatën e tyre të mëparshme, edhe pse vendimi i Këshillit të Ministrave ishte shfuqizuar. Gjykata e Rrethit argumentoi se </w:t>
      </w:r>
      <w:r w:rsidRPr="00E91B0C">
        <w:rPr>
          <w:rFonts w:ascii="Garamond" w:hAnsi="Garamond"/>
          <w:szCs w:val="24"/>
          <w:lang w:val="sq-AL"/>
        </w:rPr>
        <w:lastRenderedPageBreak/>
        <w:t xml:space="preserve">mosrespektimi i ligjit </w:t>
      </w:r>
      <w:r w:rsidR="003C06FD">
        <w:rPr>
          <w:rFonts w:ascii="Garamond" w:hAnsi="Garamond"/>
          <w:szCs w:val="24"/>
          <w:lang w:val="sq-AL"/>
        </w:rPr>
        <w:t>vendës</w:t>
      </w:r>
      <w:r w:rsidRPr="00E91B0C">
        <w:rPr>
          <w:rFonts w:ascii="Garamond" w:hAnsi="Garamond"/>
          <w:szCs w:val="24"/>
          <w:lang w:val="sq-AL"/>
        </w:rPr>
        <w:t xml:space="preserve">, në lidhje me procedurën e shpronësimit kishte përkeqësuar situatën e kërkuesve dhe për këtë arsye, shkelja e të drejtave mbi pronën kishte qenë kaq serioze saqë ishte e papranueshme në një </w:t>
      </w:r>
      <w:r w:rsidR="00EA01DB" w:rsidRPr="00E91B0C">
        <w:rPr>
          <w:rFonts w:ascii="Garamond" w:hAnsi="Garamond"/>
          <w:szCs w:val="24"/>
          <w:lang w:val="sq-AL"/>
        </w:rPr>
        <w:t xml:space="preserve">shtet </w:t>
      </w:r>
      <w:r w:rsidRPr="00E91B0C">
        <w:rPr>
          <w:rFonts w:ascii="Garamond" w:hAnsi="Garamond"/>
          <w:szCs w:val="24"/>
          <w:lang w:val="sq-AL"/>
        </w:rPr>
        <w:t xml:space="preserve">të qeverisur nga shteti i së drejtës. Ajo arsyetoi se sipas praktikës gjyqësore të Gjykatës (referuar vendimit </w:t>
      </w:r>
      <w:r w:rsidRPr="00E91B0C">
        <w:rPr>
          <w:rFonts w:ascii="Garamond" w:hAnsi="Garamond"/>
          <w:i/>
          <w:szCs w:val="24"/>
          <w:lang w:val="sq-AL"/>
        </w:rPr>
        <w:t>Guiso-Gallisay kundër Italisë</w:t>
      </w:r>
      <w:r w:rsidRPr="00E91B0C">
        <w:rPr>
          <w:rFonts w:ascii="Garamond" w:hAnsi="Garamond"/>
          <w:szCs w:val="24"/>
          <w:lang w:val="sq-AL"/>
        </w:rPr>
        <w:t xml:space="preserve"> (kompensim i drejtë) [DHM], nr. 58858/00</w:t>
      </w:r>
      <w:r w:rsidRPr="00E91B0C">
        <w:rPr>
          <w:rFonts w:ascii="Garamond" w:hAnsi="Garamond"/>
          <w:snapToGrid w:val="0"/>
          <w:szCs w:val="24"/>
          <w:lang w:val="sq-AL"/>
        </w:rPr>
        <w:t>, §§ 94</w:t>
      </w:r>
      <w:r w:rsidR="008B2E1D">
        <w:rPr>
          <w:rFonts w:ascii="Garamond" w:hAnsi="Garamond"/>
          <w:snapToGrid w:val="0"/>
          <w:szCs w:val="24"/>
          <w:lang w:val="sq-AL"/>
        </w:rPr>
        <w:t>–</w:t>
      </w:r>
      <w:r w:rsidRPr="00E91B0C">
        <w:rPr>
          <w:rFonts w:ascii="Garamond" w:hAnsi="Garamond"/>
          <w:snapToGrid w:val="0"/>
          <w:szCs w:val="24"/>
          <w:lang w:val="sq-AL"/>
        </w:rPr>
        <w:t xml:space="preserve">95, 22 dhjetor 2009), në çështjet e shpronësimit të paligjshëm, gjykatat </w:t>
      </w:r>
      <w:r w:rsidR="003C06FD">
        <w:rPr>
          <w:rFonts w:ascii="Garamond" w:hAnsi="Garamond"/>
          <w:snapToGrid w:val="0"/>
          <w:szCs w:val="24"/>
          <w:lang w:val="sq-AL"/>
        </w:rPr>
        <w:t>vendës</w:t>
      </w:r>
      <w:r w:rsidRPr="00E91B0C">
        <w:rPr>
          <w:rFonts w:ascii="Garamond" w:hAnsi="Garamond"/>
          <w:snapToGrid w:val="0"/>
          <w:szCs w:val="24"/>
          <w:lang w:val="sq-AL"/>
        </w:rPr>
        <w:t>e kishin një detyrim strikt për të dhënë kompensim më të lartë se</w:t>
      </w:r>
      <w:r w:rsidR="00EA01DB">
        <w:rPr>
          <w:rFonts w:ascii="Garamond" w:hAnsi="Garamond"/>
          <w:snapToGrid w:val="0"/>
          <w:szCs w:val="24"/>
          <w:lang w:val="sq-AL"/>
        </w:rPr>
        <w:t xml:space="preserve"> </w:t>
      </w:r>
      <w:r w:rsidRPr="00E91B0C">
        <w:rPr>
          <w:rFonts w:ascii="Garamond" w:hAnsi="Garamond"/>
          <w:snapToGrid w:val="0"/>
          <w:szCs w:val="24"/>
          <w:lang w:val="sq-AL"/>
        </w:rPr>
        <w:t>sa në çështjet e shpronësimit të ligjshëm. Për më tepër, për sa i përket ekzistencës së çdo qëllimi legjitim në interesin publik, Gjykata e Rrethit konstatonte se nuk kishte ekzistuar asnjë plan rregullator infrastrukture ose ekologjik (mjedisor)</w:t>
      </w:r>
      <w:r w:rsidR="00EA01DB">
        <w:rPr>
          <w:rFonts w:ascii="Garamond" w:hAnsi="Garamond"/>
          <w:snapToGrid w:val="0"/>
          <w:szCs w:val="24"/>
          <w:lang w:val="sq-AL"/>
        </w:rPr>
        <w:t xml:space="preserve"> i</w:t>
      </w:r>
      <w:r w:rsidRPr="00E91B0C">
        <w:rPr>
          <w:rFonts w:ascii="Garamond" w:hAnsi="Garamond"/>
          <w:snapToGrid w:val="0"/>
          <w:szCs w:val="24"/>
          <w:lang w:val="sq-AL"/>
        </w:rPr>
        <w:t xml:space="preserve"> miratuar me ligj, si edhe nuk kishte pasur asnjë plan për zhvillimin e zonës së mbrojtur. Gjykata e Rrethit theksoi se vendim i KKRRT</w:t>
      </w:r>
      <w:r w:rsidR="00FA74FE">
        <w:rPr>
          <w:rFonts w:ascii="Garamond" w:hAnsi="Garamond"/>
          <w:snapToGrid w:val="0"/>
          <w:szCs w:val="24"/>
          <w:lang w:val="sq-AL"/>
        </w:rPr>
        <w:t>-së, i datës 8 tetor 2013</w:t>
      </w:r>
      <w:r w:rsidRPr="00E91B0C">
        <w:rPr>
          <w:rFonts w:ascii="Garamond" w:hAnsi="Garamond"/>
          <w:snapToGrid w:val="0"/>
          <w:szCs w:val="24"/>
          <w:lang w:val="sq-AL"/>
        </w:rPr>
        <w:t xml:space="preserve"> dhe 23 qershor 2004, nuk parashikonte shembjen e godinës së ligjshme ose shpronësimin </w:t>
      </w:r>
      <w:r w:rsidR="00FA74FE">
        <w:rPr>
          <w:rFonts w:ascii="Garamond" w:hAnsi="Garamond"/>
          <w:snapToGrid w:val="0"/>
          <w:szCs w:val="24"/>
          <w:lang w:val="sq-AL"/>
        </w:rPr>
        <w:t>e saj</w:t>
      </w:r>
      <w:r w:rsidRPr="00E91B0C">
        <w:rPr>
          <w:rFonts w:ascii="Garamond" w:hAnsi="Garamond"/>
          <w:snapToGrid w:val="0"/>
          <w:szCs w:val="24"/>
          <w:lang w:val="sq-AL"/>
        </w:rPr>
        <w:t xml:space="preserve"> ose pavlefshmërinë e autorizimeve të dhëna</w:t>
      </w:r>
      <w:r w:rsidR="00896E0E">
        <w:rPr>
          <w:rFonts w:ascii="Garamond" w:hAnsi="Garamond"/>
          <w:snapToGrid w:val="0"/>
          <w:szCs w:val="24"/>
          <w:lang w:val="sq-AL"/>
        </w:rPr>
        <w:t>,</w:t>
      </w:r>
      <w:r w:rsidRPr="00E91B0C">
        <w:rPr>
          <w:rFonts w:ascii="Garamond" w:hAnsi="Garamond"/>
          <w:snapToGrid w:val="0"/>
          <w:szCs w:val="24"/>
          <w:lang w:val="sq-AL"/>
        </w:rPr>
        <w:t xml:space="preserve"> si edhe të ndërtimeve tashmë të realizuara. Sipas arsyetimeve më sipër, Gjykata e Rrethit vendosi të ndryshonte vendimin e Këshillit të Ministrave të datës 27 nëntor 2013, në lidhje me sipërfaqen e saktë totale të pronës së shpronësuar, si edhe sasinë në total të kompensimit</w:t>
      </w:r>
      <w:r w:rsidR="00896E0E">
        <w:rPr>
          <w:rFonts w:ascii="Garamond" w:hAnsi="Garamond"/>
          <w:snapToGrid w:val="0"/>
          <w:szCs w:val="24"/>
          <w:lang w:val="sq-AL"/>
        </w:rPr>
        <w:t>,</w:t>
      </w:r>
      <w:r w:rsidRPr="00E91B0C">
        <w:rPr>
          <w:rFonts w:ascii="Garamond" w:hAnsi="Garamond"/>
          <w:snapToGrid w:val="0"/>
          <w:szCs w:val="24"/>
          <w:lang w:val="sq-AL"/>
        </w:rPr>
        <w:t xml:space="preserve"> si</w:t>
      </w:r>
      <w:r w:rsidR="00E91B0C">
        <w:rPr>
          <w:rFonts w:ascii="Garamond" w:hAnsi="Garamond"/>
          <w:snapToGrid w:val="0"/>
          <w:szCs w:val="24"/>
          <w:lang w:val="sq-AL"/>
        </w:rPr>
        <w:t xml:space="preserve"> </w:t>
      </w:r>
      <w:r w:rsidRPr="00E91B0C">
        <w:rPr>
          <w:rFonts w:ascii="Garamond" w:hAnsi="Garamond"/>
          <w:snapToGrid w:val="0"/>
          <w:szCs w:val="24"/>
          <w:lang w:val="sq-AL"/>
        </w:rPr>
        <w:t>edhe shumat që do t’i paguheshin çdo kërkuesi. Më konkretisht, Gjykata e Rrethit rriti kompensimin në total, i cili do t’</w:t>
      </w:r>
      <w:r w:rsidR="00FA74FE">
        <w:rPr>
          <w:rFonts w:ascii="Garamond" w:hAnsi="Garamond"/>
          <w:snapToGrid w:val="0"/>
          <w:szCs w:val="24"/>
          <w:lang w:val="sq-AL"/>
        </w:rPr>
        <w:t>u</w:t>
      </w:r>
      <w:r w:rsidRPr="00E91B0C">
        <w:rPr>
          <w:rFonts w:ascii="Garamond" w:hAnsi="Garamond"/>
          <w:snapToGrid w:val="0"/>
          <w:szCs w:val="24"/>
          <w:lang w:val="sq-AL"/>
        </w:rPr>
        <w:t xml:space="preserve"> jepej kërkuesve, në </w:t>
      </w:r>
      <w:r w:rsidRPr="00E91B0C">
        <w:rPr>
          <w:rFonts w:ascii="Garamond" w:hAnsi="Garamond"/>
          <w:szCs w:val="24"/>
          <w:lang w:val="sq-AL"/>
        </w:rPr>
        <w:t xml:space="preserve">1,580,712,321 lekë, bazuar në raportin e ekspertëve të porositur nga gjykata. Gjykata e Rrethit konstatoi se autoritetet kishin shkelur hapur procedurën e parashikuar në Kushtetutë dhe në ligjin </w:t>
      </w:r>
      <w:r w:rsidR="003C06FD">
        <w:rPr>
          <w:rFonts w:ascii="Garamond" w:hAnsi="Garamond"/>
          <w:szCs w:val="24"/>
          <w:lang w:val="sq-AL"/>
        </w:rPr>
        <w:t>vendës</w:t>
      </w:r>
      <w:r w:rsidR="00FA74FE">
        <w:rPr>
          <w:rFonts w:ascii="Garamond" w:hAnsi="Garamond"/>
          <w:szCs w:val="24"/>
          <w:lang w:val="sq-AL"/>
        </w:rPr>
        <w:t>,</w:t>
      </w:r>
      <w:r w:rsidRPr="00E91B0C">
        <w:rPr>
          <w:rFonts w:ascii="Garamond" w:hAnsi="Garamond"/>
          <w:szCs w:val="24"/>
          <w:lang w:val="sq-AL"/>
        </w:rPr>
        <w:t xml:space="preserve"> në lidhje me përcaktimin e kompensimit që duhej të paguhej në çështjet e shpronësimit. Për këtë arsye, përllogaritja nga Këshilli i Ministrave, në vendimin e tij të datës 27 nëntor 2013</w:t>
      </w:r>
      <w:r w:rsidR="00FA74FE">
        <w:rPr>
          <w:rFonts w:ascii="Garamond" w:hAnsi="Garamond"/>
          <w:szCs w:val="24"/>
          <w:lang w:val="sq-AL"/>
        </w:rPr>
        <w:t>,</w:t>
      </w:r>
      <w:r w:rsidRPr="00E91B0C">
        <w:rPr>
          <w:rFonts w:ascii="Garamond" w:hAnsi="Garamond"/>
          <w:szCs w:val="24"/>
          <w:lang w:val="sq-AL"/>
        </w:rPr>
        <w:t xml:space="preserve"> nuk ishte marrë në respektim të ligjit. Ajo e pranoi raportin me arsyetimin se vlerësimi i pronës bazohej në vlerën e tregut të hapur, duke ndjekur metoda bashkëkohore vlerësimi për pronat e paluajtshme, të tilla si krahasimi i drejtpërdrejtë dhe gjendja e zhvillimit të pronës</w:t>
      </w:r>
      <w:r w:rsidR="00896E0E">
        <w:rPr>
          <w:rFonts w:ascii="Garamond" w:hAnsi="Garamond"/>
          <w:szCs w:val="24"/>
          <w:lang w:val="sq-AL"/>
        </w:rPr>
        <w:t>,</w:t>
      </w:r>
      <w:r w:rsidRPr="00E91B0C">
        <w:rPr>
          <w:rFonts w:ascii="Garamond" w:hAnsi="Garamond"/>
          <w:szCs w:val="24"/>
          <w:lang w:val="sq-AL"/>
        </w:rPr>
        <w:t xml:space="preserve"> si edhe duke marrë në konsideratë vendndodhjen e pronës, zhvillimin e pronës, zhvillimin e saj aktual bazuar në dokumentet ligjor</w:t>
      </w:r>
      <w:r w:rsidR="00F8762C">
        <w:rPr>
          <w:rFonts w:ascii="Garamond" w:hAnsi="Garamond"/>
          <w:szCs w:val="24"/>
          <w:lang w:val="sq-AL"/>
        </w:rPr>
        <w:t>e</w:t>
      </w:r>
      <w:r w:rsidRPr="00E91B0C">
        <w:rPr>
          <w:rFonts w:ascii="Garamond" w:hAnsi="Garamond"/>
          <w:szCs w:val="24"/>
          <w:lang w:val="sq-AL"/>
        </w:rPr>
        <w:t>, si edhe duke analizuar vlerat e shitjeve dhe të qirave për pronat e ngjashme. Gjithashtu, ekspertët u përpoqën të analizonin rëniet dhe rritjet në çmimet e tregut të shitjeve dhe të blerjeve për pronat e ngjashme. Sipas raportit të ekspertëve, çmimi për metër katror ishte EUR 1,155 (161,700 lekë)</w:t>
      </w:r>
      <w:r w:rsidR="009C4F67">
        <w:rPr>
          <w:rFonts w:ascii="Garamond" w:hAnsi="Garamond"/>
          <w:szCs w:val="24"/>
          <w:lang w:val="sq-AL"/>
        </w:rPr>
        <w:t xml:space="preserve"> </w:t>
      </w:r>
      <w:r w:rsidRPr="00E91B0C">
        <w:rPr>
          <w:rFonts w:ascii="Garamond" w:hAnsi="Garamond"/>
          <w:szCs w:val="24"/>
          <w:lang w:val="sq-AL"/>
        </w:rPr>
        <w:t>për apartamentet dhe EUR 2,000 (280,000 lekë)</w:t>
      </w:r>
      <w:r w:rsidR="005B1500">
        <w:rPr>
          <w:rFonts w:ascii="Garamond" w:hAnsi="Garamond"/>
          <w:szCs w:val="24"/>
          <w:lang w:val="sq-AL"/>
        </w:rPr>
        <w:t xml:space="preserve"> </w:t>
      </w:r>
      <w:r w:rsidRPr="00E91B0C">
        <w:rPr>
          <w:rFonts w:ascii="Garamond" w:hAnsi="Garamond"/>
          <w:szCs w:val="24"/>
          <w:lang w:val="sq-AL"/>
        </w:rPr>
        <w:t>për mjediset e bizneseve. Çmimi përllogaritej duke përdorur vlerën mesatare të tregut gjatë periudhës nga viti 2013 deri në janar 2014, bazuar në vendimin e Këshillit të Ministrave “</w:t>
      </w:r>
      <w:r w:rsidR="009C4F67" w:rsidRPr="00E91B0C">
        <w:rPr>
          <w:rFonts w:ascii="Garamond" w:hAnsi="Garamond"/>
          <w:szCs w:val="24"/>
          <w:lang w:val="sq-AL"/>
        </w:rPr>
        <w:t xml:space="preserve">Për </w:t>
      </w:r>
      <w:r w:rsidRPr="00E91B0C">
        <w:rPr>
          <w:rFonts w:ascii="Garamond" w:hAnsi="Garamond"/>
          <w:szCs w:val="24"/>
          <w:lang w:val="sq-AL"/>
        </w:rPr>
        <w:t xml:space="preserve">metodat e vlerësimit për pronat e paluajtshme në Shqipëri”, ku parashikohej se përllogaritje të tilla bëhen në përputhje me standardet ndërkombëtare të vlerësimit.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39. Gjykata e Rrethit rillogariti edhe sipërfaqen e pronës së shpronësuar, duke deklaruar se në fakt ajo ishte 8,396 met</w:t>
      </w:r>
      <w:r w:rsidR="009C4F67">
        <w:rPr>
          <w:rFonts w:ascii="Garamond" w:hAnsi="Garamond"/>
          <w:szCs w:val="24"/>
          <w:lang w:val="sq-AL"/>
        </w:rPr>
        <w:t>ra</w:t>
      </w:r>
      <w:r w:rsidRPr="00E91B0C">
        <w:rPr>
          <w:rFonts w:ascii="Garamond" w:hAnsi="Garamond"/>
          <w:szCs w:val="24"/>
          <w:lang w:val="sq-AL"/>
        </w:rPr>
        <w:t xml:space="preserve"> katrorë. Më tej, ajo përfshiu të gjithë pronarët e Rezidencës Jon në listën e palëve që do të kompensoheshin, duke qenë se disa prej kërkuesve ishin përjashtuar nga lista sipas </w:t>
      </w:r>
      <w:r w:rsidR="009C4F67" w:rsidRPr="00E91B0C">
        <w:rPr>
          <w:rFonts w:ascii="Garamond" w:hAnsi="Garamond"/>
          <w:szCs w:val="24"/>
          <w:lang w:val="sq-AL"/>
        </w:rPr>
        <w:t xml:space="preserve">vendimit </w:t>
      </w:r>
      <w:r w:rsidRPr="00E91B0C">
        <w:rPr>
          <w:rFonts w:ascii="Garamond" w:hAnsi="Garamond"/>
          <w:szCs w:val="24"/>
          <w:lang w:val="sq-AL"/>
        </w:rPr>
        <w:t>të Këshillit të Ministrave të datës 27 nëntor 2013. Në fund, gjykata vendosi se kompensimi duhej të paguhej nga Këshilli i Ministrave dhe Bashkia Vlorë në tr</w:t>
      </w:r>
      <w:r w:rsidR="003C06FD">
        <w:rPr>
          <w:rFonts w:ascii="Garamond" w:hAnsi="Garamond"/>
          <w:szCs w:val="24"/>
          <w:lang w:val="sq-AL"/>
        </w:rPr>
        <w:t>i</w:t>
      </w:r>
      <w:r w:rsidRPr="00E91B0C">
        <w:rPr>
          <w:rFonts w:ascii="Garamond" w:hAnsi="Garamond"/>
          <w:szCs w:val="24"/>
          <w:lang w:val="sq-AL"/>
        </w:rPr>
        <w:t xml:space="preserve"> këste brenda një periudhe prej tetëmbëdhjetë muajsh që prej momentit kur vendimi i gjykatës u bë i formës së prerë. Si Këshilli i Ministrave edhe Bashkia Vlorë ishin të detyruar të paguanin bashkërisht kostot dhe shpenzimet gjyqësore</w:t>
      </w:r>
      <w:r w:rsidR="004D7F7D">
        <w:rPr>
          <w:rFonts w:ascii="Garamond" w:hAnsi="Garamond"/>
          <w:szCs w:val="24"/>
          <w:lang w:val="sq-AL"/>
        </w:rPr>
        <w:t>,</w:t>
      </w:r>
      <w:r w:rsidRPr="00E91B0C">
        <w:rPr>
          <w:rFonts w:ascii="Garamond" w:hAnsi="Garamond"/>
          <w:szCs w:val="24"/>
          <w:lang w:val="sq-AL"/>
        </w:rPr>
        <w:t xml:space="preserve"> duke përfshirë tarifën e ekspertëve, tarifën gjyqësore për regjistrimin e padisë (11,409,852 lekë)</w:t>
      </w:r>
      <w:r w:rsidR="004D7F7D">
        <w:rPr>
          <w:rFonts w:ascii="Garamond" w:hAnsi="Garamond"/>
          <w:szCs w:val="24"/>
          <w:lang w:val="sq-AL"/>
        </w:rPr>
        <w:t xml:space="preserve"> </w:t>
      </w:r>
      <w:r w:rsidRPr="00E91B0C">
        <w:rPr>
          <w:rFonts w:ascii="Garamond" w:hAnsi="Garamond"/>
          <w:szCs w:val="24"/>
          <w:lang w:val="sq-AL"/>
        </w:rPr>
        <w:t>dhe tarifën e avokatëve për përfaqësimin e G. Calliku, V. Calliku, M. Mecaj, A. Deromemaj, E. Durolli, M. Hanxhari, P. Rakipaj, B. Rakipaj, K. Kapedani (kërkues në procedimet përpara Gjykatës), J. Ismailaj dhe</w:t>
      </w:r>
      <w:r w:rsidR="008B2E1D">
        <w:rPr>
          <w:rFonts w:ascii="Garamond" w:hAnsi="Garamond"/>
          <w:szCs w:val="24"/>
          <w:lang w:val="sq-AL"/>
        </w:rPr>
        <w:t xml:space="preserve"> </w:t>
      </w:r>
      <w:r w:rsidRPr="00E91B0C">
        <w:rPr>
          <w:rFonts w:ascii="Garamond" w:hAnsi="Garamond"/>
          <w:szCs w:val="24"/>
          <w:lang w:val="sq-AL"/>
        </w:rPr>
        <w:t>S. Ismailaj (nuk janë kërkues përpara Gjykatës),</w:t>
      </w:r>
      <w:r w:rsidR="005B1500">
        <w:rPr>
          <w:rFonts w:ascii="Garamond" w:hAnsi="Garamond"/>
          <w:szCs w:val="24"/>
          <w:lang w:val="sq-AL"/>
        </w:rPr>
        <w:t xml:space="preserve"> </w:t>
      </w:r>
      <w:r w:rsidRPr="00E91B0C">
        <w:rPr>
          <w:rFonts w:ascii="Garamond" w:hAnsi="Garamond"/>
          <w:szCs w:val="24"/>
          <w:lang w:val="sq-AL"/>
        </w:rPr>
        <w:t>të cilat arrinin në vlerën 12,000 euro (1,680,000 lekë) në total.</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Procedime në Gjykatën e Apelit</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40</w:t>
      </w:r>
      <w:r w:rsidR="00395112" w:rsidRPr="00E91B0C">
        <w:rPr>
          <w:rFonts w:ascii="Garamond" w:hAnsi="Garamond"/>
          <w:szCs w:val="24"/>
          <w:lang w:val="sq-AL"/>
        </w:rPr>
        <w:t xml:space="preserve">. Në një datë të paspecifikuar, pas kësaj, kërkuesit apeluan pjesën e vendimit të Gjykatës së rrethit, të datës 6 mars 2014, në lidhje me shumën e kompensimit dhe mënyrën në të cilën ajo do të paguhej. Ata argumentuan se raporti i ekspertit nuk reflektonte vlerën e tregut për </w:t>
      </w:r>
      <w:r w:rsidR="00395112" w:rsidRPr="000507EB">
        <w:rPr>
          <w:rFonts w:ascii="Garamond" w:hAnsi="Garamond"/>
          <w:spacing w:val="-4"/>
          <w:szCs w:val="24"/>
          <w:lang w:val="sq-AL"/>
        </w:rPr>
        <w:t>pronën, vlerë e cila ishte shumë më e lartë se</w:t>
      </w:r>
      <w:r w:rsidR="00A35253" w:rsidRPr="000507EB">
        <w:rPr>
          <w:rFonts w:ascii="Garamond" w:hAnsi="Garamond"/>
          <w:spacing w:val="-4"/>
          <w:szCs w:val="24"/>
          <w:lang w:val="sq-AL"/>
        </w:rPr>
        <w:t xml:space="preserve"> </w:t>
      </w:r>
      <w:r w:rsidR="00395112" w:rsidRPr="000507EB">
        <w:rPr>
          <w:rFonts w:ascii="Garamond" w:hAnsi="Garamond"/>
          <w:spacing w:val="-4"/>
          <w:szCs w:val="24"/>
          <w:lang w:val="sq-AL"/>
        </w:rPr>
        <w:t>sa vlera e sugjeruar dhe se standardet e vlerësimit për pronat e shpronësuara nuk ishin respektuar. Më konkretisht, ekspertët nuk kishin respektuar kriteret dhe standardet e parashikuara nga Grupi E</w:t>
      </w:r>
      <w:r w:rsidR="008B2E1D" w:rsidRPr="000507EB">
        <w:rPr>
          <w:rFonts w:ascii="Garamond" w:hAnsi="Garamond"/>
          <w:spacing w:val="-4"/>
          <w:szCs w:val="24"/>
          <w:lang w:val="sq-AL"/>
        </w:rPr>
        <w:t>v</w:t>
      </w:r>
      <w:r w:rsidR="00395112" w:rsidRPr="000507EB">
        <w:rPr>
          <w:rFonts w:ascii="Garamond" w:hAnsi="Garamond"/>
          <w:spacing w:val="-4"/>
          <w:szCs w:val="24"/>
          <w:lang w:val="sq-AL"/>
        </w:rPr>
        <w:t>ropian i Shoqatave të Vlerësuesve (TEGOVA) dhe në standardet e vlerësimit bazuar në interesat financiarë dhe ligjorë të kërkuesve. Prona kishte pasur një vlerë më të lartë në kohën kur u shpronësua. Ekspertët nuk kishin përcaktuar vlerën e komponentëve specifikë të formulës përkatëse të përllogaritjes ose vlerën e tregut për çdo apartament, për të reflektuar vlerën e tregut të godinës. Ata nuk kishin marrë në konsideratë as të gjitha të dhënat zyrtare në marrëveshjet e blerjes për apartamentet. Ata u ankuan edhe për gabimet faktike dhe ato në përllogaritje në raportin e ekspertit dhe kërkuan të përgatitej një tjetër. Edhe Prokuroria e Përgjithshme dorëzoi një ankesë.</w:t>
      </w:r>
      <w:r w:rsidR="00395112" w:rsidRPr="00E91B0C">
        <w:rPr>
          <w:rFonts w:ascii="Garamond" w:hAnsi="Garamond"/>
          <w:szCs w:val="24"/>
          <w:lang w:val="sq-AL"/>
        </w:rPr>
        <w:t xml:space="preserve"> </w:t>
      </w:r>
    </w:p>
    <w:p w:rsidR="00BB373C" w:rsidRDefault="00395112" w:rsidP="00922378">
      <w:pPr>
        <w:pStyle w:val="JuPara"/>
        <w:widowControl w:val="0"/>
        <w:rPr>
          <w:rFonts w:ascii="Garamond" w:hAnsi="Garamond"/>
          <w:szCs w:val="24"/>
          <w:lang w:val="sq-AL"/>
        </w:rPr>
      </w:pPr>
      <w:r w:rsidRPr="00E91B0C">
        <w:rPr>
          <w:rFonts w:ascii="Garamond" w:hAnsi="Garamond"/>
          <w:szCs w:val="24"/>
          <w:lang w:val="sq-AL"/>
        </w:rPr>
        <w:lastRenderedPageBreak/>
        <w:t>41. Më 23 shtator 2014, Gjykata Administrative e Apelit la në fuqi pjesërisht vendimin e Gjykatës së Rrethit të datës 6 mars 2014. Ajo nënvizoi faktet e çështjes siç ish</w:t>
      </w:r>
      <w:r w:rsidR="00A35253">
        <w:rPr>
          <w:rFonts w:ascii="Garamond" w:hAnsi="Garamond"/>
          <w:szCs w:val="24"/>
          <w:lang w:val="sq-AL"/>
        </w:rPr>
        <w:t>in</w:t>
      </w:r>
      <w:r w:rsidRPr="00E91B0C">
        <w:rPr>
          <w:rFonts w:ascii="Garamond" w:hAnsi="Garamond"/>
          <w:szCs w:val="24"/>
          <w:lang w:val="sq-AL"/>
        </w:rPr>
        <w:t xml:space="preserve"> konstatuar edhe nga Gjykata e Rrethit dhe la në fuqi shumën e kompensimit të dhënë, përmasën e truallit dhe listën e pronarëve në fjalë. Ajo vendosi se kërkuesit duhet të kompensoheshin individualisht, bazuar në përmasën e pronës së tyre. Shuma në total e kompensimit (1,580,712,321 lekë) do të ndahej si më poshtë vijon: 161,700 lekë (EUR 1,155) për metër katror për apartamentet me sipërfaqe 1,831.63 metr</w:t>
      </w:r>
      <w:r w:rsidR="00A35253">
        <w:rPr>
          <w:rFonts w:ascii="Garamond" w:hAnsi="Garamond"/>
          <w:szCs w:val="24"/>
          <w:lang w:val="sq-AL"/>
        </w:rPr>
        <w:t>a</w:t>
      </w:r>
      <w:r w:rsidRPr="00E91B0C">
        <w:rPr>
          <w:rFonts w:ascii="Garamond" w:hAnsi="Garamond"/>
          <w:szCs w:val="24"/>
          <w:lang w:val="sq-AL"/>
        </w:rPr>
        <w:t xml:space="preserve"> katrorë në total. Ajo vendosi se vlera e përllogaritur në raportin e ekspertit përfaqësonte vlerën reale dhe kompensimin e drejtë</w:t>
      </w:r>
      <w:r w:rsidR="00A35253">
        <w:rPr>
          <w:rFonts w:ascii="Garamond" w:hAnsi="Garamond"/>
          <w:szCs w:val="24"/>
          <w:lang w:val="sq-AL"/>
        </w:rPr>
        <w:t>,</w:t>
      </w:r>
      <w:r w:rsidRPr="00E91B0C">
        <w:rPr>
          <w:rFonts w:ascii="Garamond" w:hAnsi="Garamond"/>
          <w:szCs w:val="24"/>
          <w:lang w:val="sq-AL"/>
        </w:rPr>
        <w:t xml:space="preserve"> në përputhje me Kushtetutën, Konventën E</w:t>
      </w:r>
      <w:r w:rsidR="008B2E1D">
        <w:rPr>
          <w:rFonts w:ascii="Garamond" w:hAnsi="Garamond"/>
          <w:szCs w:val="24"/>
          <w:lang w:val="sq-AL"/>
        </w:rPr>
        <w:t>v</w:t>
      </w:r>
      <w:r w:rsidRPr="00E91B0C">
        <w:rPr>
          <w:rFonts w:ascii="Garamond" w:hAnsi="Garamond"/>
          <w:szCs w:val="24"/>
          <w:lang w:val="sq-AL"/>
        </w:rPr>
        <w:t xml:space="preserve">ropiane, </w:t>
      </w:r>
      <w:r w:rsidR="00536F0E" w:rsidRPr="00E91B0C">
        <w:rPr>
          <w:rFonts w:ascii="Garamond" w:hAnsi="Garamond"/>
          <w:szCs w:val="24"/>
          <w:lang w:val="sq-AL"/>
        </w:rPr>
        <w:t xml:space="preserve">aktin e shpronësimit </w:t>
      </w:r>
      <w:r w:rsidRPr="00E91B0C">
        <w:rPr>
          <w:rFonts w:ascii="Garamond" w:hAnsi="Garamond"/>
          <w:szCs w:val="24"/>
          <w:lang w:val="sq-AL"/>
        </w:rPr>
        <w:t>dhe akte të tjer</w:t>
      </w:r>
      <w:r w:rsidR="00536F0E">
        <w:rPr>
          <w:rFonts w:ascii="Garamond" w:hAnsi="Garamond"/>
          <w:szCs w:val="24"/>
          <w:lang w:val="sq-AL"/>
        </w:rPr>
        <w:t>a</w:t>
      </w:r>
      <w:r w:rsidRPr="00E91B0C">
        <w:rPr>
          <w:rFonts w:ascii="Garamond" w:hAnsi="Garamond"/>
          <w:szCs w:val="24"/>
          <w:lang w:val="sq-AL"/>
        </w:rPr>
        <w:t xml:space="preserve"> nënligjor</w:t>
      </w:r>
      <w:r w:rsidR="00A35253">
        <w:rPr>
          <w:rFonts w:ascii="Garamond" w:hAnsi="Garamond"/>
          <w:szCs w:val="24"/>
          <w:lang w:val="sq-AL"/>
        </w:rPr>
        <w:t>e</w:t>
      </w:r>
      <w:r w:rsidRPr="00E91B0C">
        <w:rPr>
          <w:rFonts w:ascii="Garamond" w:hAnsi="Garamond"/>
          <w:szCs w:val="24"/>
          <w:lang w:val="sq-AL"/>
        </w:rPr>
        <w:t>. Ajo vendosi se kompensimi duhej të paguhej nga Këshilli i Ministrave në një pagesë të vetme. Këshilli i Ministrave kishte</w:t>
      </w:r>
      <w:r w:rsidR="00A35253">
        <w:rPr>
          <w:rFonts w:ascii="Garamond" w:hAnsi="Garamond"/>
          <w:szCs w:val="24"/>
          <w:lang w:val="sq-AL"/>
        </w:rPr>
        <w:t>,</w:t>
      </w:r>
      <w:r w:rsidRPr="00E91B0C">
        <w:rPr>
          <w:rFonts w:ascii="Garamond" w:hAnsi="Garamond"/>
          <w:szCs w:val="24"/>
          <w:lang w:val="sq-AL"/>
        </w:rPr>
        <w:t xml:space="preserve"> gjithashtu</w:t>
      </w:r>
      <w:r w:rsidR="00A35253">
        <w:rPr>
          <w:rFonts w:ascii="Garamond" w:hAnsi="Garamond"/>
          <w:szCs w:val="24"/>
          <w:lang w:val="sq-AL"/>
        </w:rPr>
        <w:t>,</w:t>
      </w:r>
      <w:r w:rsidRPr="00E91B0C">
        <w:rPr>
          <w:rFonts w:ascii="Garamond" w:hAnsi="Garamond"/>
          <w:szCs w:val="24"/>
          <w:lang w:val="sq-AL"/>
        </w:rPr>
        <w:t xml:space="preserve"> detyrimin të paguante kostot dhe shpenzimet ligjore.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c)</w:t>
      </w:r>
      <w:r w:rsidR="00E91B0C">
        <w:rPr>
          <w:rFonts w:ascii="Garamond" w:hAnsi="Garamond"/>
          <w:sz w:val="24"/>
          <w:szCs w:val="24"/>
          <w:lang w:val="sq-AL"/>
        </w:rPr>
        <w:t xml:space="preserve"> </w:t>
      </w:r>
      <w:r w:rsidRPr="00E91B0C">
        <w:rPr>
          <w:rFonts w:ascii="Garamond" w:hAnsi="Garamond"/>
          <w:sz w:val="24"/>
          <w:szCs w:val="24"/>
          <w:lang w:val="sq-AL"/>
        </w:rPr>
        <w:t>Procedimet në Gjykatën e Lartë</w:t>
      </w:r>
    </w:p>
    <w:p w:rsidR="00395112" w:rsidRPr="00E91B0C" w:rsidRDefault="00D73B27" w:rsidP="00395112">
      <w:pPr>
        <w:pStyle w:val="JuPara"/>
        <w:widowControl w:val="0"/>
        <w:rPr>
          <w:rFonts w:ascii="Garamond" w:hAnsi="Garamond"/>
          <w:szCs w:val="24"/>
          <w:lang w:val="sq-AL"/>
        </w:rPr>
      </w:pPr>
      <w:r>
        <w:rPr>
          <w:rFonts w:ascii="Garamond" w:hAnsi="Garamond"/>
          <w:szCs w:val="24"/>
          <w:lang w:val="sq-AL"/>
        </w:rPr>
        <w:t>42</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Si kërkuesit edhe Prokuroria e Përgjithshme apeluan në Gjykatën e Lartë kundër vendimeve të gjykatave më të ul</w:t>
      </w:r>
      <w:r w:rsidR="008B2E1D">
        <w:rPr>
          <w:rFonts w:ascii="Garamond" w:hAnsi="Garamond"/>
          <w:szCs w:val="24"/>
          <w:lang w:val="sq-AL"/>
        </w:rPr>
        <w:t>ë</w:t>
      </w:r>
      <w:r w:rsidR="00395112" w:rsidRPr="00E91B0C">
        <w:rPr>
          <w:rFonts w:ascii="Garamond" w:hAnsi="Garamond"/>
          <w:szCs w:val="24"/>
          <w:lang w:val="sq-AL"/>
        </w:rPr>
        <w:t xml:space="preserve">ta. Kërkuesit kërkuan një shumë më të lartë kompensimi për pronën e tyre të shpronësuar. Megjithatë, Këshilli i Ministrave kërkoi që të pezullohej ekzekutimi i vendimit.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43. Më 15 janar 2015, Gjykata e Lartë, bazuar në </w:t>
      </w:r>
      <w:r w:rsidR="001073BE" w:rsidRPr="00E91B0C">
        <w:rPr>
          <w:rFonts w:ascii="Garamond" w:hAnsi="Garamond"/>
          <w:szCs w:val="24"/>
          <w:lang w:val="sq-AL"/>
        </w:rPr>
        <w:t xml:space="preserve">nenin </w:t>
      </w:r>
      <w:r w:rsidRPr="00E91B0C">
        <w:rPr>
          <w:rFonts w:ascii="Garamond" w:hAnsi="Garamond"/>
          <w:szCs w:val="24"/>
          <w:lang w:val="sq-AL"/>
        </w:rPr>
        <w:t>479 të KPC</w:t>
      </w:r>
      <w:r w:rsidR="001073BE">
        <w:rPr>
          <w:rFonts w:ascii="Garamond" w:hAnsi="Garamond"/>
          <w:szCs w:val="24"/>
          <w:lang w:val="sq-AL"/>
        </w:rPr>
        <w:t>-së</w:t>
      </w:r>
      <w:r w:rsidRPr="00E91B0C">
        <w:rPr>
          <w:rFonts w:ascii="Garamond" w:hAnsi="Garamond"/>
          <w:szCs w:val="24"/>
          <w:lang w:val="sq-AL"/>
        </w:rPr>
        <w:t>, pranoi që kërkesa e Këshillit të Ministrave dhe procedimet të pezulloheshin. Në dosjen e çështjes nuk ka asnjë informacion se për çfarë arsyesh Këshilli i Ministrave apeloi kundër vendimeve të gjykatave më të ul</w:t>
      </w:r>
      <w:r w:rsidR="005B1500">
        <w:rPr>
          <w:rFonts w:ascii="Garamond" w:hAnsi="Garamond"/>
          <w:szCs w:val="24"/>
          <w:lang w:val="sq-AL"/>
        </w:rPr>
        <w:t>ë</w:t>
      </w:r>
      <w:r w:rsidRPr="00E91B0C">
        <w:rPr>
          <w:rFonts w:ascii="Garamond" w:hAnsi="Garamond"/>
          <w:szCs w:val="24"/>
          <w:lang w:val="sq-AL"/>
        </w:rPr>
        <w:t xml:space="preserve">ta dhe kërkoi një pezullim të ekzekutimit.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25" w:name="_Toc520459331"/>
      <w:bookmarkStart w:id="26" w:name="_Toc480367219"/>
      <w:bookmarkStart w:id="27" w:name="_Toc480559186"/>
      <w:bookmarkStart w:id="28" w:name="_Toc481504546"/>
      <w:r w:rsidRPr="00E91B0C">
        <w:rPr>
          <w:rFonts w:ascii="Garamond" w:hAnsi="Garamond"/>
          <w:szCs w:val="24"/>
          <w:lang w:val="sq-AL"/>
        </w:rPr>
        <w:t>F.</w:t>
      </w:r>
      <w:r w:rsidR="00E91B0C">
        <w:rPr>
          <w:rFonts w:ascii="Garamond" w:hAnsi="Garamond"/>
          <w:szCs w:val="24"/>
          <w:lang w:val="sq-AL"/>
        </w:rPr>
        <w:t xml:space="preserve"> </w:t>
      </w:r>
      <w:r w:rsidRPr="00E91B0C">
        <w:rPr>
          <w:rFonts w:ascii="Garamond" w:hAnsi="Garamond"/>
          <w:szCs w:val="24"/>
          <w:lang w:val="sq-AL"/>
        </w:rPr>
        <w:t>Procedimet penale kundër zyrtarëve shtetëror</w:t>
      </w:r>
      <w:bookmarkEnd w:id="25"/>
      <w:r w:rsidR="00BA49FA">
        <w:rPr>
          <w:rFonts w:ascii="Garamond" w:hAnsi="Garamond"/>
          <w:szCs w:val="24"/>
          <w:lang w:val="sq-AL"/>
        </w:rPr>
        <w:t>ë</w:t>
      </w:r>
      <w:r w:rsidRPr="00E91B0C">
        <w:rPr>
          <w:rFonts w:ascii="Garamond" w:hAnsi="Garamond"/>
          <w:szCs w:val="24"/>
          <w:lang w:val="sq-AL"/>
        </w:rPr>
        <w:t xml:space="preserve"> </w:t>
      </w:r>
      <w:bookmarkEnd w:id="26"/>
      <w:bookmarkEnd w:id="27"/>
      <w:bookmarkEnd w:id="28"/>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44</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Nga letra e Avokatit të Popullit, </w:t>
      </w:r>
      <w:r w:rsidR="00BA49FA">
        <w:rPr>
          <w:rFonts w:ascii="Garamond" w:hAnsi="Garamond"/>
          <w:szCs w:val="24"/>
          <w:lang w:val="sq-AL"/>
        </w:rPr>
        <w:t>e</w:t>
      </w:r>
      <w:r w:rsidR="00395112" w:rsidRPr="00E91B0C">
        <w:rPr>
          <w:rFonts w:ascii="Garamond" w:hAnsi="Garamond"/>
          <w:szCs w:val="24"/>
          <w:lang w:val="sq-AL"/>
        </w:rPr>
        <w:t xml:space="preserve"> datës 13 </w:t>
      </w:r>
      <w:r w:rsidR="00BA49FA">
        <w:rPr>
          <w:rFonts w:ascii="Garamond" w:hAnsi="Garamond"/>
          <w:szCs w:val="24"/>
          <w:lang w:val="sq-AL"/>
        </w:rPr>
        <w:t>nëntor 2013</w:t>
      </w:r>
      <w:r w:rsidR="00395112" w:rsidRPr="00E91B0C">
        <w:rPr>
          <w:rFonts w:ascii="Garamond" w:hAnsi="Garamond"/>
          <w:szCs w:val="24"/>
          <w:lang w:val="sq-AL"/>
        </w:rPr>
        <w:t xml:space="preserve"> (shih paragrafin 24 më sipër), rezulton se më 18 shkurt 2011, INUK</w:t>
      </w:r>
      <w:r w:rsidR="009470D3">
        <w:rPr>
          <w:rFonts w:ascii="Garamond" w:hAnsi="Garamond"/>
          <w:szCs w:val="24"/>
          <w:lang w:val="sq-AL"/>
        </w:rPr>
        <w:t>-u</w:t>
      </w:r>
      <w:r w:rsidR="00395112" w:rsidRPr="00E91B0C">
        <w:rPr>
          <w:rFonts w:ascii="Garamond" w:hAnsi="Garamond"/>
          <w:szCs w:val="24"/>
          <w:lang w:val="sq-AL"/>
        </w:rPr>
        <w:t xml:space="preserve"> paraqiti një padi penale në Prokurorinë e Rrethit Vlorë kundër kreut të Departamentit të Urbanizimit Vlorë, duke pretenduar për parregullsi në procedime, të cilat kanë rezultuar në dhënien e lejes së ndërtimit më 17 gusht 2010. Çështja u dërgua për gjykim në Gjykatën e Rrethit Vlorë. Nuk ka asnjë informacion për rezultatin e atyre procedimeve.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45. Më 4 nëntor 2013, kërkuesi </w:t>
      </w:r>
      <w:r w:rsidR="009470D3">
        <w:rPr>
          <w:rFonts w:ascii="Garamond" w:hAnsi="Garamond"/>
          <w:szCs w:val="24"/>
          <w:lang w:val="sq-AL"/>
        </w:rPr>
        <w:t>i</w:t>
      </w:r>
      <w:r w:rsidRPr="00E91B0C">
        <w:rPr>
          <w:rFonts w:ascii="Garamond" w:hAnsi="Garamond"/>
          <w:szCs w:val="24"/>
          <w:lang w:val="sq-AL"/>
        </w:rPr>
        <w:t xml:space="preserve"> parë dhe një banor tjetër dorëzuan dy padi penale të veçanta në Prokurorinë e Rrethit, duke pretenduar për abuzim me pushtetin nga ana e punonjësve të INUK</w:t>
      </w:r>
      <w:r w:rsidR="009470D3">
        <w:rPr>
          <w:rFonts w:ascii="Garamond" w:hAnsi="Garamond"/>
          <w:szCs w:val="24"/>
          <w:lang w:val="sq-AL"/>
        </w:rPr>
        <w:t>-ut</w:t>
      </w:r>
      <w:r w:rsidRPr="00E91B0C">
        <w:rPr>
          <w:rFonts w:ascii="Garamond" w:hAnsi="Garamond"/>
          <w:szCs w:val="24"/>
          <w:lang w:val="sq-AL"/>
        </w:rPr>
        <w:t xml:space="preserve"> dhe policëve të Policisë së Shtetit të përfshirë në konfiskimin e Rezidencës Jon</w:t>
      </w:r>
      <w:r w:rsidR="00BA49FA">
        <w:rPr>
          <w:rFonts w:ascii="Garamond" w:hAnsi="Garamond"/>
          <w:szCs w:val="24"/>
          <w:lang w:val="sq-AL"/>
        </w:rPr>
        <w:t>,</w:t>
      </w:r>
      <w:r w:rsidRPr="00E91B0C">
        <w:rPr>
          <w:rFonts w:ascii="Garamond" w:hAnsi="Garamond"/>
          <w:szCs w:val="24"/>
          <w:lang w:val="sq-AL"/>
        </w:rPr>
        <w:t xml:space="preserve"> më 3 dhe 4 nëntor 2013. Ata u ankuan s</w:t>
      </w:r>
      <w:r w:rsidR="00BA49FA">
        <w:rPr>
          <w:rFonts w:ascii="Garamond" w:hAnsi="Garamond"/>
          <w:szCs w:val="24"/>
          <w:lang w:val="sq-AL"/>
        </w:rPr>
        <w:t>e</w:t>
      </w:r>
      <w:r w:rsidRPr="00E91B0C">
        <w:rPr>
          <w:rFonts w:ascii="Garamond" w:hAnsi="Garamond"/>
          <w:szCs w:val="24"/>
          <w:lang w:val="sq-AL"/>
        </w:rPr>
        <w:t xml:space="preserve"> nuk ishin lejuar të hynin në shtëpitë e tyre, se Policia e Shtetit e kishte rrethuar ndërtesën me shirita të skenave të krimit dhe se në godinë kishin hyrë inspektorët e INUK</w:t>
      </w:r>
      <w:r w:rsidR="009470D3">
        <w:rPr>
          <w:rFonts w:ascii="Garamond" w:hAnsi="Garamond"/>
          <w:szCs w:val="24"/>
          <w:lang w:val="sq-AL"/>
        </w:rPr>
        <w:t>-ut</w:t>
      </w:r>
      <w:r w:rsidRPr="00E91B0C">
        <w:rPr>
          <w:rFonts w:ascii="Garamond" w:hAnsi="Garamond"/>
          <w:szCs w:val="24"/>
          <w:lang w:val="sq-AL"/>
        </w:rPr>
        <w:t xml:space="preserve">. Gjithashtu, ata </w:t>
      </w:r>
      <w:r w:rsidR="00BA49FA">
        <w:rPr>
          <w:rFonts w:ascii="Garamond" w:hAnsi="Garamond"/>
          <w:szCs w:val="24"/>
          <w:lang w:val="sq-AL"/>
        </w:rPr>
        <w:t>u</w:t>
      </w:r>
      <w:r w:rsidRPr="00E91B0C">
        <w:rPr>
          <w:rFonts w:ascii="Garamond" w:hAnsi="Garamond"/>
          <w:szCs w:val="24"/>
          <w:lang w:val="sq-AL"/>
        </w:rPr>
        <w:t xml:space="preserve"> kërkuan autoriteteve të merrnin masa t’i jepnin fund ndërhyrjes arbitrare në të drejtat e tyre mbi pronën, ndërhyrje e cila vijonte ende në ditën kur ata dorëzuan padinë penale.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46. Në shkurt 2014, Prokurori i Rrethit vendosi të mos fillonte procedimet penale, me argumentimin se fakti i kallëzuar nuk parashikohet nga ligji si vepër penale. Ajo arsyetonte se punonjësit e INUK</w:t>
      </w:r>
      <w:r w:rsidR="009470D3">
        <w:rPr>
          <w:rFonts w:ascii="Garamond" w:hAnsi="Garamond"/>
          <w:szCs w:val="24"/>
          <w:lang w:val="sq-AL"/>
        </w:rPr>
        <w:t>-ut</w:t>
      </w:r>
      <w:r w:rsidRPr="00E91B0C">
        <w:rPr>
          <w:rFonts w:ascii="Garamond" w:hAnsi="Garamond"/>
          <w:szCs w:val="24"/>
          <w:lang w:val="sq-AL"/>
        </w:rPr>
        <w:t xml:space="preserve">, bazuar në ligjin </w:t>
      </w:r>
      <w:r w:rsidR="003C06FD">
        <w:rPr>
          <w:rFonts w:ascii="Garamond" w:hAnsi="Garamond"/>
          <w:szCs w:val="24"/>
          <w:lang w:val="sq-AL"/>
        </w:rPr>
        <w:t>vendës</w:t>
      </w:r>
      <w:r w:rsidRPr="00E91B0C">
        <w:rPr>
          <w:rFonts w:ascii="Garamond" w:hAnsi="Garamond"/>
          <w:szCs w:val="24"/>
          <w:lang w:val="sq-AL"/>
        </w:rPr>
        <w:t>, kishin të drejtën të realizonin inspektimin dhe të verifikonin rregullsinë e dokumenteve në lidhje me miratimin e lejes së ndërtimit dhe zbatimin e standardeve të saj teknike nga kompania e ndërtimit. Në përputhje me rrethanat, ata kishin të drejtën të hynin në mjediset e Rezidencës Jon. Gjithashtu, oficerët e Policisë së Shtetit kishin të drejtën të bashkëpunonin me dhe të mbështesnin NUCI</w:t>
      </w:r>
      <w:r w:rsidR="009470D3">
        <w:rPr>
          <w:rFonts w:ascii="Garamond" w:hAnsi="Garamond"/>
          <w:szCs w:val="24"/>
          <w:lang w:val="sq-AL"/>
        </w:rPr>
        <w:t>-n</w:t>
      </w:r>
      <w:r w:rsidRPr="00E91B0C">
        <w:rPr>
          <w:rFonts w:ascii="Garamond" w:hAnsi="Garamond"/>
          <w:szCs w:val="24"/>
          <w:lang w:val="sq-AL"/>
        </w:rPr>
        <w:t>. Pas realiz</w:t>
      </w:r>
      <w:r w:rsidR="007852D1">
        <w:rPr>
          <w:rFonts w:ascii="Garamond" w:hAnsi="Garamond"/>
          <w:szCs w:val="24"/>
          <w:lang w:val="sq-AL"/>
        </w:rPr>
        <w:t>i</w:t>
      </w:r>
      <w:r w:rsidRPr="00E91B0C">
        <w:rPr>
          <w:rFonts w:ascii="Garamond" w:hAnsi="Garamond"/>
          <w:szCs w:val="24"/>
          <w:lang w:val="sq-AL"/>
        </w:rPr>
        <w:t>mit të inspektimit nga autoritetet, kishin nisur procedimet penale, kështu dyshimi për mosrespektim të rregullave dhe të kushteve të urbanizimit kishin qenë reale. Prokuroria e Rrethit, në vijim, arsyetoi se një nga kërkuesit kishte th</w:t>
      </w:r>
      <w:r w:rsidR="007852D1">
        <w:rPr>
          <w:rFonts w:ascii="Garamond" w:hAnsi="Garamond"/>
          <w:szCs w:val="24"/>
          <w:lang w:val="sq-AL"/>
        </w:rPr>
        <w:t>ë</w:t>
      </w:r>
      <w:r w:rsidRPr="00E91B0C">
        <w:rPr>
          <w:rFonts w:ascii="Garamond" w:hAnsi="Garamond"/>
          <w:szCs w:val="24"/>
          <w:lang w:val="sq-AL"/>
        </w:rPr>
        <w:t xml:space="preserve">në se kur ishte kthyer në godinë, ditën pasardhëse, kishte parë punonjës të Policisë së Shtetit brenda dhe ishte lejuar të hynte në apartamentin e tij lirisht, pasi iu kishte treguar certifikatën e pronësisë. Kjo deklaratë ishte konfirmuar edhe nga informacioni i dhënë nga NUCI dhe policia e Vlorës.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47. Më 18 dhjetor 2013, Prokurori i Rrethit, në vijim të një kërkese të dorëzuar nga Task</w:t>
      </w:r>
      <w:r w:rsidR="009470D3">
        <w:rPr>
          <w:rFonts w:ascii="Garamond" w:hAnsi="Garamond"/>
          <w:szCs w:val="24"/>
          <w:lang w:val="sq-AL"/>
        </w:rPr>
        <w:t>-</w:t>
      </w:r>
      <w:r w:rsidRPr="00E91B0C">
        <w:rPr>
          <w:rFonts w:ascii="Garamond" w:hAnsi="Garamond"/>
          <w:szCs w:val="24"/>
          <w:lang w:val="sq-AL"/>
        </w:rPr>
        <w:t xml:space="preserve">Forca për Mbrojtjen e Territorit (një organ në autoritetin e </w:t>
      </w:r>
      <w:r w:rsidR="007852D1" w:rsidRPr="00E91B0C">
        <w:rPr>
          <w:rFonts w:ascii="Garamond" w:hAnsi="Garamond"/>
          <w:szCs w:val="24"/>
          <w:lang w:val="sq-AL"/>
        </w:rPr>
        <w:t xml:space="preserve">ministrit </w:t>
      </w:r>
      <w:r w:rsidRPr="00E91B0C">
        <w:rPr>
          <w:rFonts w:ascii="Garamond" w:hAnsi="Garamond"/>
          <w:szCs w:val="24"/>
          <w:lang w:val="sq-AL"/>
        </w:rPr>
        <w:t>të Brendshëm) nisi një hetim penal kundër gjashtë nëpunësve zyrtarë (disa prej të cilëve punonjës të ZRRPP</w:t>
      </w:r>
      <w:r w:rsidR="009470D3">
        <w:rPr>
          <w:rFonts w:ascii="Garamond" w:hAnsi="Garamond"/>
          <w:szCs w:val="24"/>
          <w:lang w:val="sq-AL"/>
        </w:rPr>
        <w:t>-së</w:t>
      </w:r>
      <w:r w:rsidRPr="00E91B0C">
        <w:rPr>
          <w:rFonts w:ascii="Garamond" w:hAnsi="Garamond"/>
          <w:szCs w:val="24"/>
          <w:lang w:val="sq-AL"/>
        </w:rPr>
        <w:t>, të tjerë punonjës të Bashkisë Vlorë) për abuzim të mundshëm me pushtetin, për shkak të parregullsisë në procedime</w:t>
      </w:r>
      <w:r w:rsidR="00BF0C38">
        <w:rPr>
          <w:rFonts w:ascii="Garamond" w:hAnsi="Garamond"/>
          <w:szCs w:val="24"/>
          <w:lang w:val="sq-AL"/>
        </w:rPr>
        <w:t>,</w:t>
      </w:r>
      <w:r w:rsidRPr="00E91B0C">
        <w:rPr>
          <w:rFonts w:ascii="Garamond" w:hAnsi="Garamond"/>
          <w:szCs w:val="24"/>
          <w:lang w:val="sq-AL"/>
        </w:rPr>
        <w:t xml:space="preserve"> në lidhje me rikthimin e pronës së kërkuesve dhe procedimet vijuese në lidhje me lëshimin e lejes së ndërtimit. Më 20 prill 2016, Gjykata e Apelit Vlorë përfundoi procedimet në lidhje me katër prej nëpunësve zyrtarë, ndërsa dy të tjerët u liruan. Procedimet tashmë janë pezull në Gjykatën e Lartë, pas apelimit të bërë nga Prokurori i Rrethit.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29" w:name="_Toc480367220"/>
      <w:bookmarkStart w:id="30" w:name="_Toc480559187"/>
      <w:bookmarkStart w:id="31" w:name="_Toc481504547"/>
      <w:bookmarkStart w:id="32" w:name="_Toc520459332"/>
      <w:r w:rsidRPr="00E91B0C">
        <w:rPr>
          <w:rFonts w:ascii="Garamond" w:hAnsi="Garamond"/>
          <w:szCs w:val="24"/>
          <w:lang w:val="sq-AL"/>
        </w:rPr>
        <w:t>G.</w:t>
      </w:r>
      <w:r w:rsidR="00E91B0C">
        <w:rPr>
          <w:rFonts w:ascii="Garamond" w:hAnsi="Garamond"/>
          <w:szCs w:val="24"/>
          <w:lang w:val="sq-AL"/>
        </w:rPr>
        <w:t xml:space="preserve"> </w:t>
      </w:r>
      <w:r w:rsidRPr="00E91B0C">
        <w:rPr>
          <w:rFonts w:ascii="Garamond" w:hAnsi="Garamond"/>
          <w:szCs w:val="24"/>
          <w:lang w:val="sq-AL"/>
        </w:rPr>
        <w:t>Informacione të tjera të parashtruara nga palët</w:t>
      </w:r>
      <w:bookmarkEnd w:id="29"/>
      <w:bookmarkEnd w:id="30"/>
      <w:bookmarkEnd w:id="31"/>
      <w:bookmarkEnd w:id="32"/>
    </w:p>
    <w:p w:rsidR="00395112" w:rsidRPr="00E91B0C" w:rsidRDefault="000A3D24" w:rsidP="00BB373C">
      <w:pPr>
        <w:pStyle w:val="JuPara"/>
        <w:widowControl w:val="0"/>
        <w:rPr>
          <w:rFonts w:ascii="Garamond" w:hAnsi="Garamond"/>
          <w:sz w:val="22"/>
          <w:lang w:val="sq-AL"/>
        </w:rPr>
      </w:pPr>
      <w:r>
        <w:rPr>
          <w:rFonts w:ascii="Garamond" w:hAnsi="Garamond"/>
          <w:szCs w:val="24"/>
          <w:lang w:val="sq-AL"/>
        </w:rPr>
        <w:t>48</w:t>
      </w:r>
      <w:r w:rsidR="00395112" w:rsidRPr="00E91B0C">
        <w:rPr>
          <w:rFonts w:ascii="Garamond" w:hAnsi="Garamond"/>
          <w:szCs w:val="24"/>
          <w:lang w:val="sq-AL"/>
        </w:rPr>
        <w:t>.</w:t>
      </w:r>
      <w:r w:rsidR="00E91B0C">
        <w:rPr>
          <w:rFonts w:ascii="Garamond" w:hAnsi="Garamond"/>
          <w:szCs w:val="24"/>
          <w:lang w:val="sq-AL"/>
        </w:rPr>
        <w:t xml:space="preserve"> </w:t>
      </w:r>
      <w:r w:rsidR="00BF0C38">
        <w:rPr>
          <w:rFonts w:ascii="Garamond" w:hAnsi="Garamond"/>
          <w:szCs w:val="24"/>
          <w:lang w:val="sq-AL"/>
        </w:rPr>
        <w:t>Më 14 gusht 2013</w:t>
      </w:r>
      <w:r w:rsidR="00395112" w:rsidRPr="00E91B0C">
        <w:rPr>
          <w:rFonts w:ascii="Garamond" w:hAnsi="Garamond"/>
          <w:szCs w:val="24"/>
          <w:lang w:val="sq-AL"/>
        </w:rPr>
        <w:t xml:space="preserve"> u publikua një artikull në faqen zyrtare të Bashkisë Vlorë, i cili </w:t>
      </w:r>
      <w:r w:rsidR="00395112" w:rsidRPr="00E91B0C">
        <w:rPr>
          <w:rFonts w:ascii="Garamond" w:hAnsi="Garamond"/>
          <w:i/>
          <w:szCs w:val="24"/>
          <w:lang w:val="sq-AL"/>
        </w:rPr>
        <w:t>inter alia</w:t>
      </w:r>
      <w:r w:rsidR="00395112" w:rsidRPr="00E91B0C">
        <w:rPr>
          <w:rFonts w:ascii="Garamond" w:hAnsi="Garamond"/>
          <w:szCs w:val="24"/>
          <w:lang w:val="sq-AL"/>
        </w:rPr>
        <w:t xml:space="preserve"> thekson si më poshtë: </w:t>
      </w:r>
      <w:r w:rsidR="00395112" w:rsidRPr="00E91B0C">
        <w:rPr>
          <w:rFonts w:ascii="Garamond" w:hAnsi="Garamond"/>
          <w:sz w:val="22"/>
          <w:lang w:val="sq-AL"/>
        </w:rPr>
        <w:t>“Sot, Bashkia e Vlorës ndërmori një masë për shembjen e godinave të paligjshme në Plazhin e Vjetër të Vlorës. Kryetari i Bashkisë së Vlorës deklaroi se tr</w:t>
      </w:r>
      <w:r w:rsidR="003C06FD">
        <w:rPr>
          <w:rFonts w:ascii="Garamond" w:hAnsi="Garamond"/>
          <w:sz w:val="22"/>
          <w:lang w:val="sq-AL"/>
        </w:rPr>
        <w:t>i</w:t>
      </w:r>
      <w:r w:rsidR="00395112" w:rsidRPr="00E91B0C">
        <w:rPr>
          <w:rFonts w:ascii="Garamond" w:hAnsi="Garamond"/>
          <w:sz w:val="22"/>
          <w:lang w:val="sq-AL"/>
        </w:rPr>
        <w:t xml:space="preserve"> javë më parë, Bashkia kishte prishur 130 </w:t>
      </w:r>
      <w:r w:rsidR="00395112" w:rsidRPr="00E91B0C">
        <w:rPr>
          <w:rFonts w:ascii="Garamond" w:hAnsi="Garamond"/>
          <w:sz w:val="22"/>
          <w:lang w:val="sq-AL"/>
        </w:rPr>
        <w:lastRenderedPageBreak/>
        <w:t>godina të tjera të paligjshme në Radhimë, një fshat në qytetin e Vlorës. Këto veprime synonin të pastronin dhe të lironin territorin i cili ishte zënë në mënyrë të paligjshme, si edhe menaxhimin e territorit urban. Gjithashtu, ai deklaroi se procesi për shembjen e godinave të paligjshme do të vijonte në të gjithë vijën bregdetare të Vlorës. Faza e dytë do të mbulonte rivlerësimin e ndërtimeve të ligjshme, të cilat nuk janë ndërtuar në përputhje me planifikimin rregullator dhe perspektivën turistike të Vlorës</w:t>
      </w:r>
      <w:r w:rsidR="0018461E">
        <w:rPr>
          <w:rFonts w:ascii="Garamond" w:hAnsi="Garamond"/>
          <w:sz w:val="22"/>
          <w:lang w:val="sq-AL"/>
        </w:rPr>
        <w:t xml:space="preserve"> ... B</w:t>
      </w:r>
      <w:r w:rsidR="00395112" w:rsidRPr="00E91B0C">
        <w:rPr>
          <w:rFonts w:ascii="Garamond" w:hAnsi="Garamond"/>
          <w:sz w:val="22"/>
          <w:lang w:val="sq-AL"/>
        </w:rPr>
        <w:t>ashkia e Vlorës</w:t>
      </w:r>
      <w:r w:rsidR="00BF0C38">
        <w:rPr>
          <w:rFonts w:ascii="Garamond" w:hAnsi="Garamond"/>
          <w:sz w:val="22"/>
          <w:lang w:val="sq-AL"/>
        </w:rPr>
        <w:t>,</w:t>
      </w:r>
      <w:r w:rsidR="00395112" w:rsidRPr="00E91B0C">
        <w:rPr>
          <w:rFonts w:ascii="Garamond" w:hAnsi="Garamond"/>
          <w:sz w:val="22"/>
          <w:lang w:val="sq-AL"/>
        </w:rPr>
        <w:t xml:space="preserve"> në bashkëpunim me </w:t>
      </w:r>
      <w:r w:rsidR="0018461E" w:rsidRPr="00E91B0C">
        <w:rPr>
          <w:rFonts w:ascii="Garamond" w:hAnsi="Garamond"/>
          <w:sz w:val="22"/>
          <w:lang w:val="sq-AL"/>
        </w:rPr>
        <w:t xml:space="preserve">qeverinë </w:t>
      </w:r>
      <w:r w:rsidR="00395112" w:rsidRPr="00E91B0C">
        <w:rPr>
          <w:rFonts w:ascii="Garamond" w:hAnsi="Garamond"/>
          <w:sz w:val="22"/>
          <w:lang w:val="sq-AL"/>
        </w:rPr>
        <w:t xml:space="preserve">e re do të parashikojë forma ligjore kompensimi ose, nëse është e nevojshme, dëmshpërblim financiar. Në këtë kategori, ishin [dy ose tre] ndërtesa, midis të tjerave, [të cilat] pengonin zbatimin e projektit të ndërtimit të [shëtitores </w:t>
      </w:r>
      <w:r w:rsidR="00BF0C38">
        <w:rPr>
          <w:rFonts w:ascii="Garamond" w:hAnsi="Garamond"/>
          <w:sz w:val="22"/>
          <w:lang w:val="sq-AL"/>
        </w:rPr>
        <w:t>s</w:t>
      </w:r>
      <w:r w:rsidR="00395112" w:rsidRPr="00E91B0C">
        <w:rPr>
          <w:rFonts w:ascii="Garamond" w:hAnsi="Garamond"/>
          <w:sz w:val="22"/>
          <w:lang w:val="sq-AL"/>
        </w:rPr>
        <w:t>ë] Lungomares.”</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49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Më 2 nëntor 2013, u publikua një artikull në një portal </w:t>
      </w:r>
      <w:r w:rsidR="00395112" w:rsidRPr="008B2E1D">
        <w:rPr>
          <w:rFonts w:ascii="Garamond" w:hAnsi="Garamond"/>
          <w:i/>
          <w:szCs w:val="24"/>
          <w:lang w:val="sq-AL"/>
        </w:rPr>
        <w:t>online</w:t>
      </w:r>
      <w:r w:rsidR="00395112" w:rsidRPr="00E91B0C">
        <w:rPr>
          <w:rFonts w:ascii="Garamond" w:hAnsi="Garamond"/>
          <w:szCs w:val="24"/>
          <w:lang w:val="sq-AL"/>
        </w:rPr>
        <w:t xml:space="preserve">, </w:t>
      </w:r>
      <w:r w:rsidR="00395112" w:rsidRPr="00E91B0C">
        <w:rPr>
          <w:rFonts w:ascii="Garamond" w:hAnsi="Garamond"/>
          <w:i/>
          <w:szCs w:val="24"/>
          <w:lang w:val="sq-AL"/>
        </w:rPr>
        <w:t>Shqiptarja.com</w:t>
      </w:r>
      <w:r w:rsidR="00395112" w:rsidRPr="00E91B0C">
        <w:rPr>
          <w:rFonts w:ascii="Garamond" w:hAnsi="Garamond"/>
          <w:szCs w:val="24"/>
          <w:lang w:val="sq-AL"/>
        </w:rPr>
        <w:t xml:space="preserve">, ku pohohej se autoritetet në Vlorë po vijonin me shembjen e godinave në zonën, ku do të ndërtohej shëtitorja. Autoritetet kishin lëshuar leje paraprake për godinat, të cilat operonin si bare dhe restorante gjatë verës.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50. Më 4 nëntor 2013, në një portal </w:t>
      </w:r>
      <w:r w:rsidRPr="008B2E1D">
        <w:rPr>
          <w:rFonts w:ascii="Garamond" w:hAnsi="Garamond"/>
          <w:i/>
          <w:szCs w:val="24"/>
          <w:lang w:val="sq-AL"/>
        </w:rPr>
        <w:t>online</w:t>
      </w:r>
      <w:r w:rsidRPr="00E91B0C">
        <w:rPr>
          <w:rFonts w:ascii="Garamond" w:hAnsi="Garamond"/>
          <w:szCs w:val="24"/>
          <w:lang w:val="sq-AL"/>
        </w:rPr>
        <w:t xml:space="preserve">, </w:t>
      </w:r>
      <w:r w:rsidRPr="00E91B0C">
        <w:rPr>
          <w:rFonts w:ascii="Garamond" w:hAnsi="Garamond"/>
          <w:i/>
          <w:szCs w:val="24"/>
          <w:lang w:val="sq-AL"/>
        </w:rPr>
        <w:t>Tema,</w:t>
      </w:r>
      <w:r w:rsidRPr="00E91B0C">
        <w:rPr>
          <w:rFonts w:ascii="Garamond" w:hAnsi="Garamond"/>
          <w:szCs w:val="24"/>
          <w:lang w:val="sq-AL"/>
        </w:rPr>
        <w:t xml:space="preserve"> u publikua një artikull, ku pohohej se banorët e Rezidencës Jon e kishin të pamundur të hynin në godinë. Artikulli përmendte se sipas INUK</w:t>
      </w:r>
      <w:r w:rsidR="009470D3">
        <w:rPr>
          <w:rFonts w:ascii="Garamond" w:hAnsi="Garamond"/>
          <w:szCs w:val="24"/>
          <w:lang w:val="sq-AL"/>
        </w:rPr>
        <w:t>-ut</w:t>
      </w:r>
      <w:r w:rsidRPr="00E91B0C">
        <w:rPr>
          <w:rFonts w:ascii="Garamond" w:hAnsi="Garamond"/>
          <w:szCs w:val="24"/>
          <w:lang w:val="sq-AL"/>
        </w:rPr>
        <w:t xml:space="preserve">, godina ishte konfiskuar, kështu që autoritetet mund të inspektonin lejen e ndërtimit, dokumentacionin përkatës për ndërtimin dhe nëse leja e ndërtimit ishte dhënë ose jo në përputhje me ligjin. Ministria e Brendshme, e kontaktuar nga </w:t>
      </w:r>
      <w:r w:rsidRPr="00E91B0C">
        <w:rPr>
          <w:rFonts w:ascii="Garamond" w:hAnsi="Garamond"/>
          <w:i/>
          <w:szCs w:val="24"/>
          <w:lang w:val="sq-AL"/>
        </w:rPr>
        <w:t xml:space="preserve">Vizion Plus </w:t>
      </w:r>
      <w:r w:rsidRPr="00E91B0C">
        <w:rPr>
          <w:rFonts w:ascii="Garamond" w:hAnsi="Garamond"/>
          <w:szCs w:val="24"/>
          <w:lang w:val="sq-AL"/>
        </w:rPr>
        <w:t xml:space="preserve">(një stacion televiziv kombëtar) kishte shpjeguar se policia kishte marrë pjesë në veprimet e ndërmarra </w:t>
      </w:r>
      <w:r w:rsidR="00276606">
        <w:rPr>
          <w:rFonts w:ascii="Garamond" w:hAnsi="Garamond"/>
          <w:szCs w:val="24"/>
          <w:lang w:val="sq-AL"/>
        </w:rPr>
        <w:t>m</w:t>
      </w:r>
      <w:r w:rsidRPr="00E91B0C">
        <w:rPr>
          <w:rFonts w:ascii="Garamond" w:hAnsi="Garamond"/>
          <w:szCs w:val="24"/>
          <w:lang w:val="sq-AL"/>
        </w:rPr>
        <w:t>ë 3 nëntor 2013, në mbështetje të INUK</w:t>
      </w:r>
      <w:r w:rsidR="009470D3">
        <w:rPr>
          <w:rFonts w:ascii="Garamond" w:hAnsi="Garamond"/>
          <w:szCs w:val="24"/>
          <w:lang w:val="sq-AL"/>
        </w:rPr>
        <w:t>-ut</w:t>
      </w:r>
      <w:r w:rsidRPr="00E91B0C">
        <w:rPr>
          <w:rFonts w:ascii="Garamond" w:hAnsi="Garamond"/>
          <w:szCs w:val="24"/>
          <w:lang w:val="sq-AL"/>
        </w:rPr>
        <w:t xml:space="preserve">. Kryetari i INUK kishte deklaruar se ata po shqyrtonin ende çështjen dhe nëse do të rezultonte ndonjë e metë, atëherë </w:t>
      </w:r>
      <w:r w:rsidR="00276606">
        <w:rPr>
          <w:rFonts w:ascii="Garamond" w:hAnsi="Garamond"/>
          <w:szCs w:val="24"/>
          <w:lang w:val="sq-AL"/>
        </w:rPr>
        <w:t>Task-</w:t>
      </w:r>
      <w:r w:rsidR="00276606" w:rsidRPr="00E91B0C">
        <w:rPr>
          <w:rFonts w:ascii="Garamond" w:hAnsi="Garamond"/>
          <w:szCs w:val="24"/>
          <w:lang w:val="sq-AL"/>
        </w:rPr>
        <w:t xml:space="preserve">Forca </w:t>
      </w:r>
      <w:r w:rsidRPr="00E91B0C">
        <w:rPr>
          <w:rFonts w:ascii="Garamond" w:hAnsi="Garamond"/>
          <w:szCs w:val="24"/>
          <w:lang w:val="sq-AL"/>
        </w:rPr>
        <w:t xml:space="preserve">do të vendoste nëse do ta shembte ose jo godinën.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51. Nga të dhënat e parashtruara nga kërkuesit, rezulton se më 4 dhjetor 2013, një kanal televiziv lokal transmetoi në buletinin e tij të lajmeve, se INUK</w:t>
      </w:r>
      <w:r w:rsidR="009470D3">
        <w:rPr>
          <w:rFonts w:ascii="Garamond" w:hAnsi="Garamond"/>
          <w:szCs w:val="24"/>
          <w:lang w:val="sq-AL"/>
        </w:rPr>
        <w:t>-u</w:t>
      </w:r>
      <w:r w:rsidRPr="00E91B0C">
        <w:rPr>
          <w:rFonts w:ascii="Garamond" w:hAnsi="Garamond"/>
          <w:szCs w:val="24"/>
          <w:lang w:val="sq-AL"/>
        </w:rPr>
        <w:t xml:space="preserve">, i mbështetur nga policët, kishte filluar procedurën për shembjen e godinës. Sipas transmetimit, atë ditë, shembja konsiderohej të ishte e pjesshme dhe banorëve të godinës iu ishin dhënë pesë ditë për të hequr pasuritë e tyre të luajtshme nga apartamentet e tyre. Pronarët e mjediseve </w:t>
      </w:r>
      <w:r w:rsidR="00893087" w:rsidRPr="00E91B0C">
        <w:rPr>
          <w:rFonts w:ascii="Garamond" w:hAnsi="Garamond"/>
          <w:szCs w:val="24"/>
          <w:lang w:val="sq-AL"/>
        </w:rPr>
        <w:t>rezidenciale</w:t>
      </w:r>
      <w:r w:rsidRPr="00E91B0C">
        <w:rPr>
          <w:rFonts w:ascii="Garamond" w:hAnsi="Garamond"/>
          <w:szCs w:val="24"/>
          <w:lang w:val="sq-AL"/>
        </w:rPr>
        <w:t xml:space="preserve"> nuk i kishin hequr pasuritë e tyre të luajtshme, m</w:t>
      </w:r>
      <w:r w:rsidR="00B01DE6">
        <w:rPr>
          <w:rFonts w:ascii="Garamond" w:hAnsi="Garamond"/>
          <w:szCs w:val="24"/>
          <w:lang w:val="sq-AL"/>
        </w:rPr>
        <w:t>e</w:t>
      </w:r>
      <w:r w:rsidRPr="00E91B0C">
        <w:rPr>
          <w:rFonts w:ascii="Garamond" w:hAnsi="Garamond"/>
          <w:szCs w:val="24"/>
          <w:lang w:val="sq-AL"/>
        </w:rPr>
        <w:t xml:space="preserve"> arsyetimin se autoritetet nuk i kishin vlerësuar siç duhet apartamentet e tyre, ndërsa pronarët e mjediseve të biznesit i kishin hequr rregullisht pasuritë e tyre të luajtshme. Autoritetet i kishin vlerësuar apartamentet e tyre me vlerën pre</w:t>
      </w:r>
      <w:r w:rsidR="00B01DE6">
        <w:rPr>
          <w:rFonts w:ascii="Garamond" w:hAnsi="Garamond"/>
          <w:szCs w:val="24"/>
          <w:lang w:val="sq-AL"/>
        </w:rPr>
        <w:t>j</w:t>
      </w:r>
      <w:r w:rsidRPr="00E91B0C">
        <w:rPr>
          <w:rFonts w:ascii="Garamond" w:hAnsi="Garamond"/>
          <w:szCs w:val="24"/>
          <w:lang w:val="sq-AL"/>
        </w:rPr>
        <w:t xml:space="preserve"> 350 euro</w:t>
      </w:r>
      <w:r w:rsidR="00B01DE6">
        <w:rPr>
          <w:rFonts w:ascii="Garamond" w:hAnsi="Garamond"/>
          <w:szCs w:val="24"/>
          <w:lang w:val="sq-AL"/>
        </w:rPr>
        <w:t>sh</w:t>
      </w:r>
      <w:r w:rsidRPr="00E91B0C">
        <w:rPr>
          <w:rFonts w:ascii="Garamond" w:hAnsi="Garamond"/>
          <w:szCs w:val="24"/>
          <w:lang w:val="sq-AL"/>
        </w:rPr>
        <w:t xml:space="preserve"> për metër katror, ndërsa ata kishin paguar 1300 euro për metër katror, në momentin kur i kishin blerë ata. Megjithatë, sipas transmetimit televiziv, konstatohej se procedura për shembjen e pronës tashmë kishte filluar nga autoritetet, pasi Rezidenca Jon ishte bllokuar për një kohë të gjatë.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52. Më 20 qershor 2016, një portal </w:t>
      </w:r>
      <w:r w:rsidRPr="008B2E1D">
        <w:rPr>
          <w:rFonts w:ascii="Garamond" w:hAnsi="Garamond"/>
          <w:i/>
          <w:szCs w:val="24"/>
          <w:lang w:val="sq-AL"/>
        </w:rPr>
        <w:t>online</w:t>
      </w:r>
      <w:r w:rsidRPr="00E91B0C">
        <w:rPr>
          <w:rFonts w:ascii="Garamond" w:hAnsi="Garamond"/>
          <w:szCs w:val="24"/>
          <w:lang w:val="sq-AL"/>
        </w:rPr>
        <w:t xml:space="preserve">, </w:t>
      </w:r>
      <w:r w:rsidRPr="00E91B0C">
        <w:rPr>
          <w:rFonts w:ascii="Garamond" w:hAnsi="Garamond"/>
          <w:i/>
          <w:szCs w:val="24"/>
          <w:lang w:val="sq-AL"/>
        </w:rPr>
        <w:t>Vizionplus.tv</w:t>
      </w:r>
      <w:r w:rsidRPr="00E91B0C">
        <w:rPr>
          <w:rFonts w:ascii="Garamond" w:hAnsi="Garamond"/>
          <w:szCs w:val="24"/>
          <w:lang w:val="sq-AL"/>
        </w:rPr>
        <w:t>, publikoi një artikull ku pohohej se Inspektorati Kombëtar për Mbrojtj</w:t>
      </w:r>
      <w:r w:rsidR="009470D3">
        <w:rPr>
          <w:rFonts w:ascii="Garamond" w:hAnsi="Garamond"/>
          <w:szCs w:val="24"/>
          <w:lang w:val="sq-AL"/>
        </w:rPr>
        <w:t>en e Territorit (“IKMT”, ish-</w:t>
      </w:r>
      <w:r w:rsidRPr="00E91B0C">
        <w:rPr>
          <w:rFonts w:ascii="Garamond" w:hAnsi="Garamond"/>
          <w:szCs w:val="24"/>
          <w:lang w:val="sq-AL"/>
        </w:rPr>
        <w:t>INUK</w:t>
      </w:r>
      <w:r w:rsidR="00E5001C">
        <w:rPr>
          <w:rFonts w:ascii="Garamond" w:hAnsi="Garamond"/>
          <w:szCs w:val="24"/>
          <w:lang w:val="sq-AL"/>
        </w:rPr>
        <w:t>-u</w:t>
      </w:r>
      <w:r w:rsidRPr="00E91B0C">
        <w:rPr>
          <w:rFonts w:ascii="Garamond" w:hAnsi="Garamond"/>
          <w:szCs w:val="24"/>
          <w:lang w:val="sq-AL"/>
        </w:rPr>
        <w:t>) kishte ndërmarrë procedimet për shembjen e ndërtimeve të paligjshme, për të mundësuar zbatimin e projektit të Lungomares. Një godinë dykatëshe tashmë ishte shembur të hënën dhe ndërsa në dy ditët në vijim do të shembeshi</w:t>
      </w:r>
      <w:r w:rsidR="00E5001C">
        <w:rPr>
          <w:rFonts w:ascii="Garamond" w:hAnsi="Garamond"/>
          <w:szCs w:val="24"/>
          <w:lang w:val="sq-AL"/>
        </w:rPr>
        <w:t>n edhe dy godina (bare) të tjer</w:t>
      </w:r>
      <w:r w:rsidR="00133376">
        <w:rPr>
          <w:rFonts w:ascii="Garamond" w:hAnsi="Garamond"/>
          <w:szCs w:val="24"/>
          <w:lang w:val="sq-AL"/>
        </w:rPr>
        <w:t>a</w:t>
      </w:r>
      <w:r w:rsidRP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53. Më 29 qershor 2016, një portal </w:t>
      </w:r>
      <w:r w:rsidRPr="008B2E1D">
        <w:rPr>
          <w:rFonts w:ascii="Garamond" w:hAnsi="Garamond"/>
          <w:i/>
          <w:szCs w:val="24"/>
          <w:lang w:val="sq-AL"/>
        </w:rPr>
        <w:t>online</w:t>
      </w:r>
      <w:r w:rsidRPr="00E91B0C">
        <w:rPr>
          <w:rFonts w:ascii="Garamond" w:hAnsi="Garamond"/>
          <w:szCs w:val="24"/>
          <w:lang w:val="sq-AL"/>
        </w:rPr>
        <w:t xml:space="preserve">, </w:t>
      </w:r>
      <w:r w:rsidRPr="00E91B0C">
        <w:rPr>
          <w:rFonts w:ascii="Garamond" w:hAnsi="Garamond"/>
          <w:i/>
          <w:szCs w:val="24"/>
          <w:lang w:val="sq-AL"/>
        </w:rPr>
        <w:t>JavaNe</w:t>
      </w:r>
      <w:r w:rsidR="00133376">
        <w:rPr>
          <w:rFonts w:ascii="Garamond" w:hAnsi="Garamond"/>
          <w:i/>
          <w:szCs w:val="24"/>
          <w:lang w:val="sq-AL"/>
        </w:rPr>
        <w:t>w</w:t>
      </w:r>
      <w:r w:rsidRPr="00E91B0C">
        <w:rPr>
          <w:rFonts w:ascii="Garamond" w:hAnsi="Garamond"/>
          <w:i/>
          <w:szCs w:val="24"/>
          <w:lang w:val="sq-AL"/>
        </w:rPr>
        <w:t>s</w:t>
      </w:r>
      <w:r w:rsidR="00133376">
        <w:rPr>
          <w:rFonts w:ascii="Garamond" w:hAnsi="Garamond"/>
          <w:i/>
          <w:szCs w:val="24"/>
          <w:lang w:val="sq-AL"/>
        </w:rPr>
        <w:t xml:space="preserve">, </w:t>
      </w:r>
      <w:r w:rsidRPr="00E91B0C">
        <w:rPr>
          <w:rFonts w:ascii="Garamond" w:hAnsi="Garamond"/>
          <w:szCs w:val="24"/>
          <w:lang w:val="sq-AL"/>
        </w:rPr>
        <w:t>publikoi një artikull ku pohohej se IKMT</w:t>
      </w:r>
      <w:r w:rsidR="009470D3">
        <w:rPr>
          <w:rFonts w:ascii="Garamond" w:hAnsi="Garamond"/>
          <w:szCs w:val="24"/>
          <w:lang w:val="sq-AL"/>
        </w:rPr>
        <w:t>-ja</w:t>
      </w:r>
      <w:r w:rsidRPr="00E91B0C">
        <w:rPr>
          <w:rFonts w:ascii="Garamond" w:hAnsi="Garamond"/>
          <w:szCs w:val="24"/>
          <w:lang w:val="sq-AL"/>
        </w:rPr>
        <w:t xml:space="preserve"> kishte nisur një operacion në qytetin e Vlorës për zbatimin e projektit të Lungomares. IKMT</w:t>
      </w:r>
      <w:r w:rsidR="009470D3">
        <w:rPr>
          <w:rFonts w:ascii="Garamond" w:hAnsi="Garamond"/>
          <w:szCs w:val="24"/>
          <w:lang w:val="sq-AL"/>
        </w:rPr>
        <w:t>-ja</w:t>
      </w:r>
      <w:r w:rsidRPr="00E91B0C">
        <w:rPr>
          <w:rFonts w:ascii="Garamond" w:hAnsi="Garamond"/>
          <w:szCs w:val="24"/>
          <w:lang w:val="sq-AL"/>
        </w:rPr>
        <w:t xml:space="preserve"> tashmë kishte shembur nj</w:t>
      </w:r>
      <w:r w:rsidR="00E5001C">
        <w:rPr>
          <w:rFonts w:ascii="Garamond" w:hAnsi="Garamond"/>
          <w:szCs w:val="24"/>
          <w:lang w:val="sq-AL"/>
        </w:rPr>
        <w:t>ë godinë njëkatëshe. Gjithashtu</w:t>
      </w:r>
      <w:r w:rsidRPr="00E91B0C">
        <w:rPr>
          <w:rFonts w:ascii="Garamond" w:hAnsi="Garamond"/>
          <w:szCs w:val="24"/>
          <w:lang w:val="sq-AL"/>
        </w:rPr>
        <w:t xml:space="preserve"> do të shembte edhe një godinë tjetër. Gjatë pjesës së parë të operacionit, IKMT</w:t>
      </w:r>
      <w:r w:rsidR="009470D3">
        <w:rPr>
          <w:rFonts w:ascii="Garamond" w:hAnsi="Garamond"/>
          <w:szCs w:val="24"/>
          <w:lang w:val="sq-AL"/>
        </w:rPr>
        <w:t>-ja</w:t>
      </w:r>
      <w:r w:rsidRPr="00E91B0C">
        <w:rPr>
          <w:rFonts w:ascii="Garamond" w:hAnsi="Garamond"/>
          <w:szCs w:val="24"/>
          <w:lang w:val="sq-AL"/>
        </w:rPr>
        <w:t xml:space="preserve"> kishte shembur tr</w:t>
      </w:r>
      <w:r w:rsidR="003C06FD">
        <w:rPr>
          <w:rFonts w:ascii="Garamond" w:hAnsi="Garamond"/>
          <w:szCs w:val="24"/>
          <w:lang w:val="sq-AL"/>
        </w:rPr>
        <w:t>i</w:t>
      </w:r>
      <w:r w:rsidRPr="00E91B0C">
        <w:rPr>
          <w:rFonts w:ascii="Garamond" w:hAnsi="Garamond"/>
          <w:szCs w:val="24"/>
          <w:lang w:val="sq-AL"/>
        </w:rPr>
        <w:t xml:space="preserve"> godina të tjera. </w:t>
      </w:r>
    </w:p>
    <w:p w:rsidR="00395112" w:rsidRPr="00E91B0C" w:rsidRDefault="00395112" w:rsidP="00192C69">
      <w:pPr>
        <w:pStyle w:val="JuPara"/>
        <w:widowControl w:val="0"/>
        <w:rPr>
          <w:rFonts w:ascii="Garamond" w:hAnsi="Garamond"/>
          <w:sz w:val="22"/>
          <w:lang w:val="sq-AL"/>
        </w:rPr>
      </w:pPr>
      <w:r w:rsidRPr="00E91B0C">
        <w:rPr>
          <w:rFonts w:ascii="Garamond" w:hAnsi="Garamond"/>
          <w:szCs w:val="24"/>
          <w:lang w:val="sq-AL"/>
        </w:rPr>
        <w:t>54. Më 31 mars 2017, IKMT</w:t>
      </w:r>
      <w:r w:rsidR="009470D3">
        <w:rPr>
          <w:rFonts w:ascii="Garamond" w:hAnsi="Garamond"/>
          <w:szCs w:val="24"/>
          <w:lang w:val="sq-AL"/>
        </w:rPr>
        <w:t>-ja</w:t>
      </w:r>
      <w:r w:rsidRPr="00E91B0C">
        <w:rPr>
          <w:rFonts w:ascii="Garamond" w:hAnsi="Garamond"/>
          <w:szCs w:val="24"/>
          <w:lang w:val="sq-AL"/>
        </w:rPr>
        <w:t xml:space="preserve"> i kishte dërguar një shkresë </w:t>
      </w:r>
      <w:r w:rsidR="009470D3" w:rsidRPr="00E91B0C">
        <w:rPr>
          <w:rFonts w:ascii="Garamond" w:hAnsi="Garamond"/>
          <w:szCs w:val="24"/>
          <w:lang w:val="sq-AL"/>
        </w:rPr>
        <w:t xml:space="preserve">agjentit </w:t>
      </w:r>
      <w:r w:rsidRPr="00E91B0C">
        <w:rPr>
          <w:rFonts w:ascii="Garamond" w:hAnsi="Garamond"/>
          <w:szCs w:val="24"/>
          <w:lang w:val="sq-AL"/>
        </w:rPr>
        <w:t xml:space="preserve">të </w:t>
      </w:r>
      <w:r w:rsidR="0018461E" w:rsidRPr="00E91B0C">
        <w:rPr>
          <w:rFonts w:ascii="Garamond" w:hAnsi="Garamond"/>
          <w:szCs w:val="24"/>
          <w:lang w:val="sq-AL"/>
        </w:rPr>
        <w:t>qeverisë</w:t>
      </w:r>
      <w:r w:rsidRPr="00E91B0C">
        <w:rPr>
          <w:rFonts w:ascii="Garamond" w:hAnsi="Garamond"/>
          <w:szCs w:val="24"/>
          <w:lang w:val="sq-AL"/>
        </w:rPr>
        <w:t xml:space="preserve">. Për sa ka të bëjë me situatën, shkresa përmban si më poshtë: </w:t>
      </w:r>
      <w:r w:rsidRPr="00E91B0C">
        <w:rPr>
          <w:rFonts w:ascii="Garamond" w:hAnsi="Garamond"/>
          <w:sz w:val="22"/>
          <w:lang w:val="sq-AL"/>
        </w:rPr>
        <w:t>“...</w:t>
      </w:r>
      <w:r w:rsidR="008B2E1D">
        <w:rPr>
          <w:rFonts w:ascii="Garamond" w:hAnsi="Garamond"/>
          <w:sz w:val="22"/>
          <w:lang w:val="sq-AL"/>
        </w:rPr>
        <w:t xml:space="preserve"> </w:t>
      </w:r>
      <w:r w:rsidRPr="00E91B0C">
        <w:rPr>
          <w:rFonts w:ascii="Garamond" w:hAnsi="Garamond"/>
          <w:sz w:val="22"/>
          <w:lang w:val="sq-AL"/>
        </w:rPr>
        <w:t>INUK</w:t>
      </w:r>
      <w:r w:rsidR="009470D3">
        <w:rPr>
          <w:rFonts w:ascii="Garamond" w:hAnsi="Garamond"/>
          <w:sz w:val="22"/>
          <w:lang w:val="sq-AL"/>
        </w:rPr>
        <w:t xml:space="preserve">-u </w:t>
      </w:r>
      <w:r w:rsidRPr="00E91B0C">
        <w:rPr>
          <w:rFonts w:ascii="Garamond" w:hAnsi="Garamond"/>
          <w:sz w:val="22"/>
          <w:lang w:val="sq-AL"/>
        </w:rPr>
        <w:t xml:space="preserve">kishte ushtruar funksionin e tij në përputhje me ligjin </w:t>
      </w:r>
      <w:r w:rsidR="003C06FD">
        <w:rPr>
          <w:rFonts w:ascii="Garamond" w:hAnsi="Garamond"/>
          <w:sz w:val="22"/>
          <w:lang w:val="sq-AL"/>
        </w:rPr>
        <w:t>vendës</w:t>
      </w:r>
      <w:r w:rsidRPr="00E91B0C">
        <w:rPr>
          <w:rFonts w:ascii="Garamond" w:hAnsi="Garamond"/>
          <w:sz w:val="22"/>
          <w:lang w:val="sq-AL"/>
        </w:rPr>
        <w:t>. Më 3 nëntor 2013, INUK</w:t>
      </w:r>
      <w:r w:rsidR="009470D3">
        <w:rPr>
          <w:rFonts w:ascii="Garamond" w:hAnsi="Garamond"/>
          <w:sz w:val="22"/>
          <w:lang w:val="sq-AL"/>
        </w:rPr>
        <w:t>-u</w:t>
      </w:r>
      <w:r w:rsidRPr="00E91B0C">
        <w:rPr>
          <w:rFonts w:ascii="Garamond" w:hAnsi="Garamond"/>
          <w:sz w:val="22"/>
          <w:lang w:val="sq-AL"/>
        </w:rPr>
        <w:t>, në prani të një përfaqësuesi të Departamentit të Urbanizimit Vlorë, inspektoi kantierin e ndërtimit të Rezidencës Jon. Të gjitha procedurat e mbetura, të ndjekura nga INUK</w:t>
      </w:r>
      <w:r w:rsidR="009470D3">
        <w:rPr>
          <w:rFonts w:ascii="Garamond" w:hAnsi="Garamond"/>
          <w:sz w:val="22"/>
          <w:lang w:val="sq-AL"/>
        </w:rPr>
        <w:t>-u</w:t>
      </w:r>
      <w:r w:rsidRPr="00E91B0C">
        <w:rPr>
          <w:rFonts w:ascii="Garamond" w:hAnsi="Garamond"/>
          <w:sz w:val="22"/>
          <w:lang w:val="sq-AL"/>
        </w:rPr>
        <w:t>, bazoheshin në vendimin e Këshillit të Ministrave të datës 27 nëntor 2013. Bazuar në procedurën e shpronësimit, Bashkia Vlorë, më 2 dhjetor 2013, kishte kërkuar bashkëpunimin e INUK</w:t>
      </w:r>
      <w:r w:rsidR="009470D3">
        <w:rPr>
          <w:rFonts w:ascii="Garamond" w:hAnsi="Garamond"/>
          <w:sz w:val="22"/>
          <w:lang w:val="sq-AL"/>
        </w:rPr>
        <w:t>-ut</w:t>
      </w:r>
      <w:r w:rsidRPr="00E91B0C">
        <w:rPr>
          <w:rFonts w:ascii="Garamond" w:hAnsi="Garamond"/>
          <w:sz w:val="22"/>
          <w:lang w:val="sq-AL"/>
        </w:rPr>
        <w:t xml:space="preserve"> me zbatimin e vendimit të Këshillit të Ministrave për të shembur pronat e paluajtshme, të cilat do të shpronësoheshin. Bazuar në këtë kërkesë, INUK</w:t>
      </w:r>
      <w:r w:rsidR="009470D3">
        <w:rPr>
          <w:rFonts w:ascii="Garamond" w:hAnsi="Garamond"/>
          <w:sz w:val="22"/>
          <w:lang w:val="sq-AL"/>
        </w:rPr>
        <w:t>-u</w:t>
      </w:r>
      <w:r w:rsidRPr="00E91B0C">
        <w:rPr>
          <w:rFonts w:ascii="Garamond" w:hAnsi="Garamond"/>
          <w:sz w:val="22"/>
          <w:lang w:val="sq-AL"/>
        </w:rPr>
        <w:t xml:space="preserve"> kishte realizuar shembjen e godinës në bashkëpunim me Ministrinë e Brendshme, Ministrinë e Mbrojtjes, Ministrinë e Mjedisit dhe Bashkinë Vlorë</w:t>
      </w:r>
      <w:r w:rsidR="00E5001C">
        <w:rPr>
          <w:rFonts w:ascii="Garamond" w:hAnsi="Garamond"/>
          <w:sz w:val="22"/>
          <w:lang w:val="sq-AL"/>
        </w:rPr>
        <w:t xml:space="preserve"> ... </w:t>
      </w:r>
      <w:r w:rsidRPr="00E91B0C">
        <w:rPr>
          <w:rFonts w:ascii="Garamond" w:hAnsi="Garamond"/>
          <w:sz w:val="22"/>
          <w:lang w:val="sq-AL"/>
        </w:rPr>
        <w:t>Në çështjen në fjalë, INUK</w:t>
      </w:r>
      <w:r w:rsidR="009470D3">
        <w:rPr>
          <w:rFonts w:ascii="Garamond" w:hAnsi="Garamond"/>
          <w:sz w:val="22"/>
          <w:lang w:val="sq-AL"/>
        </w:rPr>
        <w:t>-u</w:t>
      </w:r>
      <w:r w:rsidRPr="00E91B0C">
        <w:rPr>
          <w:rFonts w:ascii="Garamond" w:hAnsi="Garamond"/>
          <w:sz w:val="22"/>
          <w:lang w:val="sq-AL"/>
        </w:rPr>
        <w:t xml:space="preserve"> kishte respektuar urdhrin e përkohshëm </w:t>
      </w:r>
      <w:r w:rsidR="002C4C9F">
        <w:rPr>
          <w:rFonts w:ascii="Garamond" w:hAnsi="Garamond"/>
          <w:sz w:val="22"/>
          <w:lang w:val="sq-AL"/>
        </w:rPr>
        <w:t>t</w:t>
      </w:r>
      <w:r w:rsidRPr="00E91B0C">
        <w:rPr>
          <w:rFonts w:ascii="Garamond" w:hAnsi="Garamond"/>
          <w:sz w:val="22"/>
          <w:lang w:val="sq-AL"/>
        </w:rPr>
        <w:t>ë datës 7 nëntor 2013 dhe nuk kishte marrë ndonjë veprim në shkelje të këtij vendimi. Në përputhje me vendimin e Këshillit të Ministrave, të datës 27 nëntor 2013 dhe sipas kërkesës së Bashkisë Vlorë, INUK</w:t>
      </w:r>
      <w:r w:rsidR="009470D3">
        <w:rPr>
          <w:rFonts w:ascii="Garamond" w:hAnsi="Garamond"/>
          <w:sz w:val="22"/>
          <w:lang w:val="sq-AL"/>
        </w:rPr>
        <w:t>-u</w:t>
      </w:r>
      <w:r w:rsidRPr="00E91B0C">
        <w:rPr>
          <w:rFonts w:ascii="Garamond" w:hAnsi="Garamond"/>
          <w:sz w:val="22"/>
          <w:lang w:val="sq-AL"/>
        </w:rPr>
        <w:t xml:space="preserve"> kishte ndërmarrë të gjith</w:t>
      </w:r>
      <w:r w:rsidR="008434A5">
        <w:rPr>
          <w:rFonts w:ascii="Garamond" w:hAnsi="Garamond"/>
          <w:sz w:val="22"/>
          <w:lang w:val="sq-AL"/>
        </w:rPr>
        <w:t>ë</w:t>
      </w:r>
      <w:r w:rsidRPr="00E91B0C">
        <w:rPr>
          <w:rFonts w:ascii="Garamond" w:hAnsi="Garamond"/>
          <w:sz w:val="22"/>
          <w:lang w:val="sq-AL"/>
        </w:rPr>
        <w:t xml:space="preserve"> hapat e nevojshëm për shembjen e godinës</w:t>
      </w:r>
      <w:r w:rsidR="002C4C9F">
        <w:rPr>
          <w:rFonts w:ascii="Garamond" w:hAnsi="Garamond"/>
          <w:sz w:val="22"/>
          <w:lang w:val="sq-AL"/>
        </w:rPr>
        <w:t xml:space="preserve"> ... </w:t>
      </w:r>
      <w:r w:rsidRPr="00E91B0C">
        <w:rPr>
          <w:rFonts w:ascii="Garamond" w:hAnsi="Garamond"/>
          <w:sz w:val="22"/>
          <w:lang w:val="sq-AL"/>
        </w:rPr>
        <w:t>në çështjen konkrete, nuk kishte pasur ndonjë hetim administrative ose penal për kërkesat e kërkuesve në lidhje me moszbatimin e urdhrit të përkohshëm</w:t>
      </w:r>
      <w:r w:rsidR="002C4C9F">
        <w:rPr>
          <w:rFonts w:ascii="Garamond" w:hAnsi="Garamond"/>
          <w:sz w:val="22"/>
          <w:lang w:val="sq-AL"/>
        </w:rPr>
        <w:t xml:space="preserve"> ... </w:t>
      </w:r>
      <w:r w:rsidRPr="00E91B0C">
        <w:rPr>
          <w:rFonts w:ascii="Garamond" w:hAnsi="Garamond"/>
          <w:sz w:val="22"/>
          <w:lang w:val="sq-AL"/>
        </w:rPr>
        <w:t>shiriti i verdhë i skenave të krimit nuk ishte përdorur nga INUK</w:t>
      </w:r>
      <w:r w:rsidR="009470D3">
        <w:rPr>
          <w:rFonts w:ascii="Garamond" w:hAnsi="Garamond"/>
          <w:sz w:val="22"/>
          <w:lang w:val="sq-AL"/>
        </w:rPr>
        <w:t>-u</w:t>
      </w:r>
      <w:r w:rsidRPr="00E91B0C">
        <w:rPr>
          <w:rFonts w:ascii="Garamond" w:hAnsi="Garamond"/>
          <w:sz w:val="22"/>
          <w:lang w:val="sq-AL"/>
        </w:rPr>
        <w:t>. Ishte e vërtetë se INUK</w:t>
      </w:r>
      <w:r w:rsidR="009470D3">
        <w:rPr>
          <w:rFonts w:ascii="Garamond" w:hAnsi="Garamond"/>
          <w:sz w:val="22"/>
          <w:lang w:val="sq-AL"/>
        </w:rPr>
        <w:t>-u</w:t>
      </w:r>
      <w:r w:rsidRPr="00E91B0C">
        <w:rPr>
          <w:rFonts w:ascii="Garamond" w:hAnsi="Garamond"/>
          <w:sz w:val="22"/>
          <w:lang w:val="sq-AL"/>
        </w:rPr>
        <w:t xml:space="preserve"> kishte kërkuar mbështetjen e Policisë së Shtetit, megjithatë, nuk ishte kompetencë e INUK</w:t>
      </w:r>
      <w:r w:rsidR="009470D3">
        <w:rPr>
          <w:rFonts w:ascii="Garamond" w:hAnsi="Garamond"/>
          <w:sz w:val="22"/>
          <w:lang w:val="sq-AL"/>
        </w:rPr>
        <w:t>-ut</w:t>
      </w:r>
      <w:r w:rsidRPr="00E91B0C">
        <w:rPr>
          <w:rFonts w:ascii="Garamond" w:hAnsi="Garamond"/>
          <w:sz w:val="22"/>
          <w:lang w:val="sq-AL"/>
        </w:rPr>
        <w:t xml:space="preserve"> të diktonte ose të shqyrtonte mënyrën dhe pajisjet e përdorura nga Policia e Shtetit për sigurimin e perimetrit të vendit, nën kontrollin e autoriteteve</w:t>
      </w:r>
      <w:r w:rsidR="009470D3">
        <w:rPr>
          <w:rFonts w:ascii="Garamond" w:hAnsi="Garamond"/>
          <w:sz w:val="22"/>
          <w:lang w:val="sq-AL"/>
        </w:rPr>
        <w:t xml:space="preserve"> ... </w:t>
      </w:r>
      <w:r w:rsidRPr="00E91B0C">
        <w:rPr>
          <w:rFonts w:ascii="Garamond" w:hAnsi="Garamond"/>
          <w:sz w:val="22"/>
          <w:lang w:val="sq-AL"/>
        </w:rPr>
        <w:t>INUK</w:t>
      </w:r>
      <w:r w:rsidR="009470D3">
        <w:rPr>
          <w:rFonts w:ascii="Garamond" w:hAnsi="Garamond"/>
          <w:sz w:val="22"/>
          <w:lang w:val="sq-AL"/>
        </w:rPr>
        <w:t>-u</w:t>
      </w:r>
      <w:r w:rsidRPr="00E91B0C">
        <w:rPr>
          <w:rFonts w:ascii="Garamond" w:hAnsi="Garamond"/>
          <w:sz w:val="22"/>
          <w:lang w:val="sq-AL"/>
        </w:rPr>
        <w:t xml:space="preserve"> nuk kishte ndërmarrë ndonjë veprim i cili do të kishte penguar kërkuesit në ushtrimin e të drejtave të tyre ndaj pronës. Objekti i inspektimit kishte qenë godina dhe subjekti i inspektimit nuk </w:t>
      </w:r>
      <w:r w:rsidRPr="00E91B0C">
        <w:rPr>
          <w:rFonts w:ascii="Garamond" w:hAnsi="Garamond"/>
          <w:sz w:val="22"/>
          <w:lang w:val="sq-AL"/>
        </w:rPr>
        <w:lastRenderedPageBreak/>
        <w:t>kishin qenë banorët, por kompania e ndërtimit dhe aktivitetet e punonjësve të INU</w:t>
      </w:r>
      <w:r w:rsidR="001C77BD">
        <w:rPr>
          <w:rFonts w:ascii="Garamond" w:hAnsi="Garamond"/>
          <w:sz w:val="22"/>
          <w:lang w:val="sq-AL"/>
        </w:rPr>
        <w:t>-së</w:t>
      </w:r>
      <w:r w:rsidRPr="00E91B0C">
        <w:rPr>
          <w:rFonts w:ascii="Garamond" w:hAnsi="Garamond"/>
          <w:sz w:val="22"/>
          <w:lang w:val="sq-AL"/>
        </w:rPr>
        <w:t>”.</w:t>
      </w:r>
      <w:r w:rsidR="00E91B0C">
        <w:rPr>
          <w:rFonts w:ascii="Garamond" w:hAnsi="Garamond"/>
          <w:sz w:val="22"/>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55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Qeveria parashtroi si pjesë të vërejtjeve të saj, praktikën gjyqësore të përbërë nga dy vendime të gjykatave të rrethit ku pranoheshin pretendimet e kërkuesve për kompensim me arsyetimin se shembj</w:t>
      </w:r>
      <w:r w:rsidR="008434A5">
        <w:rPr>
          <w:rFonts w:ascii="Garamond" w:hAnsi="Garamond"/>
          <w:szCs w:val="24"/>
          <w:lang w:val="sq-AL"/>
        </w:rPr>
        <w:t>a</w:t>
      </w:r>
      <w:r w:rsidR="00395112" w:rsidRPr="00E91B0C">
        <w:rPr>
          <w:rFonts w:ascii="Garamond" w:hAnsi="Garamond"/>
          <w:szCs w:val="24"/>
          <w:lang w:val="sq-AL"/>
        </w:rPr>
        <w:t xml:space="preserve"> e pronës kishte ndodhur pavarësisht vendimit të një gjykate tjetër për të pezulluar vendimin e INUK</w:t>
      </w:r>
      <w:r w:rsidR="001C77BD">
        <w:rPr>
          <w:rFonts w:ascii="Garamond" w:hAnsi="Garamond"/>
          <w:szCs w:val="24"/>
          <w:lang w:val="sq-AL"/>
        </w:rPr>
        <w:t>-ut</w:t>
      </w:r>
      <w:r w:rsidR="00395112" w:rsidRPr="00E91B0C">
        <w:rPr>
          <w:rFonts w:ascii="Garamond" w:hAnsi="Garamond"/>
          <w:szCs w:val="24"/>
          <w:lang w:val="sq-AL"/>
        </w:rPr>
        <w:t xml:space="preserve"> për shembjen e pronës, sepse ajo ishte ndërtuar në mënyrë të paligjshme. Pretendimi ishte pranuar bazuar në </w:t>
      </w:r>
      <w:r w:rsidR="001073BE" w:rsidRPr="00E91B0C">
        <w:rPr>
          <w:rFonts w:ascii="Garamond" w:hAnsi="Garamond"/>
          <w:szCs w:val="24"/>
          <w:lang w:val="sq-AL"/>
        </w:rPr>
        <w:t xml:space="preserve">nenet </w:t>
      </w:r>
      <w:r w:rsidR="00395112" w:rsidRPr="00E91B0C">
        <w:rPr>
          <w:rFonts w:ascii="Garamond" w:hAnsi="Garamond"/>
          <w:szCs w:val="24"/>
          <w:lang w:val="sq-AL"/>
        </w:rPr>
        <w:t xml:space="preserve">608 dhe 640 të Kodit Civil. Nuk është e qartë nëse dy vendimet e </w:t>
      </w:r>
      <w:r w:rsidR="008C25B7" w:rsidRPr="00E91B0C">
        <w:rPr>
          <w:rFonts w:ascii="Garamond" w:hAnsi="Garamond"/>
          <w:szCs w:val="24"/>
          <w:lang w:val="sq-AL"/>
        </w:rPr>
        <w:t xml:space="preserve">Gjykatës </w:t>
      </w:r>
      <w:r w:rsidR="00395112" w:rsidRPr="00E91B0C">
        <w:rPr>
          <w:rFonts w:ascii="Garamond" w:hAnsi="Garamond"/>
          <w:szCs w:val="24"/>
          <w:lang w:val="sq-AL"/>
        </w:rPr>
        <w:t xml:space="preserve">së </w:t>
      </w:r>
      <w:r w:rsidR="008C25B7" w:rsidRPr="00E91B0C">
        <w:rPr>
          <w:rFonts w:ascii="Garamond" w:hAnsi="Garamond"/>
          <w:szCs w:val="24"/>
          <w:lang w:val="sq-AL"/>
        </w:rPr>
        <w:t xml:space="preserve">Rrethit </w:t>
      </w:r>
      <w:r w:rsidR="00395112" w:rsidRPr="00E91B0C">
        <w:rPr>
          <w:rFonts w:ascii="Garamond" w:hAnsi="Garamond"/>
          <w:szCs w:val="24"/>
          <w:lang w:val="sq-AL"/>
        </w:rPr>
        <w:t xml:space="preserve">u bënë të formës së prerë.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56. Qeveria parashtroi gjithashtu tr</w:t>
      </w:r>
      <w:r w:rsidR="003C06FD">
        <w:rPr>
          <w:rFonts w:ascii="Garamond" w:hAnsi="Garamond"/>
          <w:szCs w:val="24"/>
          <w:lang w:val="sq-AL"/>
        </w:rPr>
        <w:t>i</w:t>
      </w:r>
      <w:r w:rsidRPr="00E91B0C">
        <w:rPr>
          <w:rFonts w:ascii="Garamond" w:hAnsi="Garamond"/>
          <w:szCs w:val="24"/>
          <w:lang w:val="sq-AL"/>
        </w:rPr>
        <w:t xml:space="preserve"> vendime të tjera gjyqësore </w:t>
      </w:r>
      <w:r w:rsidR="003C06FD">
        <w:rPr>
          <w:rFonts w:ascii="Garamond" w:hAnsi="Garamond"/>
          <w:szCs w:val="24"/>
          <w:lang w:val="sq-AL"/>
        </w:rPr>
        <w:t>vendës</w:t>
      </w:r>
      <w:r w:rsidRPr="00E91B0C">
        <w:rPr>
          <w:rFonts w:ascii="Garamond" w:hAnsi="Garamond"/>
          <w:szCs w:val="24"/>
          <w:lang w:val="sq-AL"/>
        </w:rPr>
        <w:t xml:space="preserve">e në të cilat gjykatat </w:t>
      </w:r>
      <w:r w:rsidR="003C06FD">
        <w:rPr>
          <w:rFonts w:ascii="Garamond" w:hAnsi="Garamond"/>
          <w:szCs w:val="24"/>
          <w:lang w:val="sq-AL"/>
        </w:rPr>
        <w:t>vendës</w:t>
      </w:r>
      <w:r w:rsidRPr="00E91B0C">
        <w:rPr>
          <w:rFonts w:ascii="Garamond" w:hAnsi="Garamond"/>
          <w:szCs w:val="24"/>
          <w:lang w:val="sq-AL"/>
        </w:rPr>
        <w:t xml:space="preserve">e pranonin kërkesën e kërkuesve për një shumë më të lartë kompensimi për pronën e tyre të shpronësuar në interesin publik.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57. Gjatë seancës, përfaqësuesi i kërkuesve deklaroi se më 9 dhjetor 2013, kërkuesit kishin parashtruar një kërkesë për kompensim në Bashkinë Vlorë. Më 20 janar 2014, Bashkia Vlorë </w:t>
      </w:r>
      <w:r w:rsidR="0007104F">
        <w:rPr>
          <w:rFonts w:ascii="Garamond" w:hAnsi="Garamond"/>
          <w:szCs w:val="24"/>
          <w:lang w:val="sq-AL"/>
        </w:rPr>
        <w:t>u</w:t>
      </w:r>
      <w:r w:rsidRPr="00E91B0C">
        <w:rPr>
          <w:rFonts w:ascii="Garamond" w:hAnsi="Garamond"/>
          <w:szCs w:val="24"/>
          <w:lang w:val="sq-AL"/>
        </w:rPr>
        <w:t xml:space="preserve"> kishte kërkuar kërkuesve të sillnin një kopje të certifikatës së pronësisë së bashku me hartën e apartamenteve të lëshuar nga ZRRPP</w:t>
      </w:r>
      <w:r w:rsidR="001C77BD">
        <w:rPr>
          <w:rFonts w:ascii="Garamond" w:hAnsi="Garamond"/>
          <w:szCs w:val="24"/>
          <w:lang w:val="sq-AL"/>
        </w:rPr>
        <w:t>-ja</w:t>
      </w:r>
      <w:r w:rsidRPr="00E91B0C">
        <w:rPr>
          <w:rFonts w:ascii="Garamond" w:hAnsi="Garamond"/>
          <w:szCs w:val="24"/>
          <w:lang w:val="sq-AL"/>
        </w:rPr>
        <w:t>, brenda 72 orëve të fundit. Kërkuesit nuk i paraqitën këto dy dokumente. Më tej, ata parashtruan se ZRRPP</w:t>
      </w:r>
      <w:r w:rsidR="001C77BD">
        <w:rPr>
          <w:rFonts w:ascii="Garamond" w:hAnsi="Garamond"/>
          <w:szCs w:val="24"/>
          <w:lang w:val="sq-AL"/>
        </w:rPr>
        <w:t>-ja</w:t>
      </w:r>
      <w:r w:rsidRPr="00E91B0C">
        <w:rPr>
          <w:rFonts w:ascii="Garamond" w:hAnsi="Garamond"/>
          <w:szCs w:val="24"/>
          <w:lang w:val="sq-AL"/>
        </w:rPr>
        <w:t xml:space="preserve"> kishte refuzuar të lëshonte certifikatat (shih edhe paragrafin 23 më sipër). </w:t>
      </w:r>
    </w:p>
    <w:p w:rsidR="00395112" w:rsidRPr="00E91B0C" w:rsidRDefault="00395112" w:rsidP="00395112">
      <w:pPr>
        <w:pStyle w:val="ECHRHeading1"/>
        <w:keepNext w:val="0"/>
        <w:keepLines w:val="0"/>
        <w:widowControl w:val="0"/>
        <w:spacing w:before="0" w:after="0"/>
        <w:ind w:left="0" w:firstLine="284"/>
        <w:rPr>
          <w:rFonts w:ascii="Garamond" w:hAnsi="Garamond"/>
          <w:szCs w:val="24"/>
          <w:lang w:val="sq-AL"/>
        </w:rPr>
      </w:pPr>
      <w:bookmarkStart w:id="33" w:name="_Toc520459333"/>
      <w:r w:rsidRPr="00E91B0C">
        <w:rPr>
          <w:rFonts w:ascii="Garamond" w:hAnsi="Garamond"/>
          <w:szCs w:val="24"/>
          <w:lang w:val="sq-AL"/>
        </w:rPr>
        <w:t>II.</w:t>
      </w:r>
      <w:r w:rsidR="00E91B0C">
        <w:rPr>
          <w:rFonts w:ascii="Garamond" w:hAnsi="Garamond"/>
          <w:szCs w:val="24"/>
          <w:lang w:val="sq-AL"/>
        </w:rPr>
        <w:t xml:space="preserve"> </w:t>
      </w:r>
      <w:r w:rsidRPr="00E91B0C">
        <w:rPr>
          <w:rFonts w:ascii="Garamond" w:hAnsi="Garamond"/>
          <w:szCs w:val="24"/>
          <w:lang w:val="sq-AL"/>
        </w:rPr>
        <w:t xml:space="preserve">LIGJI DHE PRAKTIKA PËRKATËSE </w:t>
      </w:r>
      <w:r w:rsidR="003C06FD">
        <w:rPr>
          <w:rFonts w:ascii="Garamond" w:hAnsi="Garamond"/>
          <w:szCs w:val="24"/>
          <w:lang w:val="sq-AL"/>
        </w:rPr>
        <w:t>VENDËS</w:t>
      </w:r>
      <w:r w:rsidRPr="00E91B0C">
        <w:rPr>
          <w:rFonts w:ascii="Garamond" w:hAnsi="Garamond"/>
          <w:szCs w:val="24"/>
          <w:lang w:val="sq-AL"/>
        </w:rPr>
        <w:t>E</w:t>
      </w:r>
      <w:bookmarkEnd w:id="33"/>
      <w:r w:rsidRP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4" w:name="_Toc520459334"/>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Kushtetuta</w:t>
      </w:r>
      <w:bookmarkEnd w:id="34"/>
      <w:r w:rsidRPr="00E91B0C">
        <w:rPr>
          <w:rFonts w:ascii="Garamond" w:hAnsi="Garamond"/>
          <w:szCs w:val="24"/>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58</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Pjesa përkatëse e Kushtetutës parashikon si më poshtë: </w:t>
      </w:r>
    </w:p>
    <w:p w:rsidR="00395112" w:rsidRPr="00E91B0C" w:rsidRDefault="00395112" w:rsidP="00395112">
      <w:pPr>
        <w:pStyle w:val="JuQuotSub"/>
        <w:widowControl w:val="0"/>
        <w:spacing w:before="0" w:after="0"/>
        <w:ind w:left="0" w:firstLine="284"/>
        <w:rPr>
          <w:rFonts w:ascii="Garamond" w:hAnsi="Garamond"/>
          <w:sz w:val="22"/>
          <w:lang w:val="sq-AL"/>
        </w:rPr>
      </w:pPr>
      <w:r w:rsidRPr="00E91B0C">
        <w:rPr>
          <w:rFonts w:ascii="Garamond" w:hAnsi="Garamond"/>
          <w:sz w:val="22"/>
          <w:lang w:val="sq-AL"/>
        </w:rPr>
        <w:t>“Neni 37</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1.</w:t>
      </w:r>
      <w:r w:rsidR="00E91B0C">
        <w:rPr>
          <w:rFonts w:ascii="Garamond" w:hAnsi="Garamond"/>
          <w:sz w:val="22"/>
          <w:lang w:val="sq-AL"/>
        </w:rPr>
        <w:t xml:space="preserve"> </w:t>
      </w:r>
      <w:r w:rsidRPr="00E91B0C">
        <w:rPr>
          <w:rFonts w:ascii="Garamond" w:hAnsi="Garamond"/>
          <w:sz w:val="22"/>
          <w:lang w:val="sq-AL"/>
        </w:rPr>
        <w:t xml:space="preserve">Paprekshmëria e banesës është e garantuar.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2. Kontrollet e banesës, si dhe të mjediseve që njësohen me të, mund të bëhen vetëm në rastet dhe në mënyrat e parashikuara me ligj.</w:t>
      </w:r>
    </w:p>
    <w:p w:rsidR="00395112" w:rsidRPr="00E91B0C" w:rsidRDefault="00395112" w:rsidP="00395112">
      <w:pPr>
        <w:pStyle w:val="JuQuotSub"/>
        <w:widowControl w:val="0"/>
        <w:spacing w:before="0" w:after="0"/>
        <w:ind w:left="0" w:firstLine="284"/>
        <w:rPr>
          <w:rFonts w:ascii="Garamond" w:hAnsi="Garamond"/>
          <w:sz w:val="22"/>
          <w:lang w:val="sq-AL"/>
        </w:rPr>
      </w:pPr>
      <w:r w:rsidRPr="00E91B0C">
        <w:rPr>
          <w:rFonts w:ascii="Garamond" w:hAnsi="Garamond"/>
          <w:sz w:val="22"/>
          <w:lang w:val="sq-AL"/>
        </w:rPr>
        <w:t>Neni 41</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1.</w:t>
      </w:r>
      <w:r w:rsidR="00E91B0C">
        <w:rPr>
          <w:rFonts w:ascii="Garamond" w:hAnsi="Garamond"/>
          <w:sz w:val="22"/>
          <w:lang w:val="sq-AL"/>
        </w:rPr>
        <w:t xml:space="preserve"> </w:t>
      </w:r>
      <w:r w:rsidRPr="00E91B0C">
        <w:rPr>
          <w:rFonts w:ascii="Garamond" w:hAnsi="Garamond"/>
          <w:sz w:val="22"/>
          <w:lang w:val="sq-AL"/>
        </w:rPr>
        <w:t>E drejta e pronës private është e garantuar.</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3. Ligji mund të parashikojë shpronësime ose kufizime në ushtrimin e së drejtës së pronës vetëm për interesa publikë.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4. Shpronësimet ose ato kufizime të së drejtës së pronës që barazohen me shpronësimin, lejohen vetëm përkundrejt një shpërblimi të drejtë.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5. Për mosmarrëveshjet lidhur me masën e shpërblimit mund të bëhet ankim në gjykatë.</w:t>
      </w:r>
    </w:p>
    <w:p w:rsidR="00395112" w:rsidRPr="00E91B0C" w:rsidRDefault="00395112" w:rsidP="00395112">
      <w:pPr>
        <w:pStyle w:val="JuQuotSub"/>
        <w:widowControl w:val="0"/>
        <w:spacing w:before="0" w:after="0"/>
        <w:ind w:left="0" w:firstLine="284"/>
        <w:rPr>
          <w:rFonts w:ascii="Garamond" w:hAnsi="Garamond"/>
          <w:sz w:val="22"/>
          <w:lang w:val="sq-AL"/>
        </w:rPr>
      </w:pPr>
      <w:r w:rsidRPr="00E91B0C">
        <w:rPr>
          <w:rFonts w:ascii="Garamond" w:hAnsi="Garamond"/>
          <w:sz w:val="22"/>
          <w:lang w:val="sq-AL"/>
        </w:rPr>
        <w:t>Neni 42</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1. Liria, prona dhe të drejtat e njohura me Kushtetutë dhe me ligj nuk mund të cenohen pa një proces të rregullt ligjor.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2. Kushdo, për mbrojtjen e të drejtave, të lirive dhe të interesav</w:t>
      </w:r>
      <w:r w:rsidR="0007104F">
        <w:rPr>
          <w:rFonts w:ascii="Garamond" w:hAnsi="Garamond"/>
          <w:sz w:val="22"/>
          <w:lang w:val="sq-AL"/>
        </w:rPr>
        <w:t>e të tij kushtetues dhe ligjorë</w:t>
      </w:r>
      <w:r w:rsidRPr="00E91B0C">
        <w:rPr>
          <w:rFonts w:ascii="Garamond" w:hAnsi="Garamond"/>
          <w:sz w:val="22"/>
          <w:lang w:val="sq-AL"/>
        </w:rPr>
        <w:t xml:space="preserve"> ose në rastin e akuzave të ngritura kundër tij, ka të drejtën e një gjykimi të drejtë dhe publik brenda një afati të arsyeshëm nga një gjykatë e pavarur dhe</w:t>
      </w:r>
      <w:r w:rsidR="0007104F">
        <w:rPr>
          <w:rFonts w:ascii="Garamond" w:hAnsi="Garamond"/>
          <w:sz w:val="22"/>
          <w:lang w:val="sq-AL"/>
        </w:rPr>
        <w:t xml:space="preserve"> e paanshme e caktuar me ligj.”</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5" w:name="_Toc520459335"/>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Kodi Civil</w:t>
      </w:r>
      <w:bookmarkEnd w:id="35"/>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59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Neni 608 i Kodit Civil parashikon</w:t>
      </w:r>
      <w:r w:rsidR="0007104F">
        <w:rPr>
          <w:rFonts w:ascii="Garamond" w:hAnsi="Garamond"/>
          <w:szCs w:val="24"/>
          <w:lang w:val="sq-AL"/>
        </w:rPr>
        <w:t>,</w:t>
      </w:r>
      <w:r w:rsidR="00395112" w:rsidRPr="00E91B0C">
        <w:rPr>
          <w:rFonts w:ascii="Garamond" w:hAnsi="Garamond"/>
          <w:szCs w:val="24"/>
          <w:lang w:val="sq-AL"/>
        </w:rPr>
        <w:t xml:space="preserve"> se</w:t>
      </w:r>
      <w:r w:rsidR="0007104F">
        <w:rPr>
          <w:rFonts w:ascii="Garamond" w:hAnsi="Garamond"/>
          <w:szCs w:val="24"/>
          <w:lang w:val="sq-AL"/>
        </w:rPr>
        <w:t>,</w:t>
      </w:r>
      <w:r w:rsidR="00395112" w:rsidRPr="00E91B0C">
        <w:rPr>
          <w:rFonts w:ascii="Garamond" w:hAnsi="Garamond"/>
          <w:szCs w:val="24"/>
          <w:lang w:val="sq-AL"/>
        </w:rPr>
        <w:t xml:space="preserve"> cilido që shkakton në mënyrë të </w:t>
      </w:r>
      <w:r w:rsidR="0007104F">
        <w:rPr>
          <w:rFonts w:ascii="Garamond" w:hAnsi="Garamond"/>
          <w:szCs w:val="24"/>
          <w:lang w:val="sq-AL"/>
        </w:rPr>
        <w:t>paligjshme dëm ndaj një personi</w:t>
      </w:r>
      <w:r w:rsidR="00395112" w:rsidRPr="00E91B0C">
        <w:rPr>
          <w:rFonts w:ascii="Garamond" w:hAnsi="Garamond"/>
          <w:szCs w:val="24"/>
          <w:lang w:val="sq-AL"/>
        </w:rPr>
        <w:t xml:space="preserve"> tjetër ose ndaj pronës së një personi</w:t>
      </w:r>
      <w:r w:rsidR="0007104F">
        <w:rPr>
          <w:rFonts w:ascii="Garamond" w:hAnsi="Garamond"/>
          <w:szCs w:val="24"/>
          <w:lang w:val="sq-AL"/>
        </w:rPr>
        <w:t>,</w:t>
      </w:r>
      <w:r w:rsidR="00395112" w:rsidRPr="00E91B0C">
        <w:rPr>
          <w:rFonts w:ascii="Garamond" w:hAnsi="Garamond"/>
          <w:szCs w:val="24"/>
          <w:lang w:val="sq-AL"/>
        </w:rPr>
        <w:t xml:space="preserve"> është i detyruar të paguajë kompensim për dëmin. Ai nuk ka përgjegjësi nëse provon se nuk është në faj. Neni 609 parashikon se dëmi duhet të jetë rezultat i një veprimi ose mosveprimi të drejtpërdrejtë ose të menjëhershëm të një personi. Neni 625 parashikon se një person i cili vuan dëm jomonetar ka të drejtën për kompensim nëse është sh</w:t>
      </w:r>
      <w:r w:rsidR="005B1500">
        <w:rPr>
          <w:rFonts w:ascii="Garamond" w:hAnsi="Garamond"/>
          <w:szCs w:val="24"/>
          <w:lang w:val="sq-AL"/>
        </w:rPr>
        <w:t>k</w:t>
      </w:r>
      <w:r w:rsidR="00395112" w:rsidRPr="00E91B0C">
        <w:rPr>
          <w:rFonts w:ascii="Garamond" w:hAnsi="Garamond"/>
          <w:szCs w:val="24"/>
          <w:lang w:val="sq-AL"/>
        </w:rPr>
        <w:t xml:space="preserve">aktuar dëm ndaj shëndetit ose integritetit të tij fizik ose mendor; nëse nderi, personaliteti ose reputacioni i tij janë shkelur ose nëse shkelet e drejta e tij për t’u respektuar jeta e tij private. Sipas </w:t>
      </w:r>
      <w:r w:rsidR="001073BE" w:rsidRPr="00E91B0C">
        <w:rPr>
          <w:rFonts w:ascii="Garamond" w:hAnsi="Garamond"/>
          <w:szCs w:val="24"/>
          <w:lang w:val="sq-AL"/>
        </w:rPr>
        <w:t>n</w:t>
      </w:r>
      <w:r w:rsidR="00395112" w:rsidRPr="00E91B0C">
        <w:rPr>
          <w:rFonts w:ascii="Garamond" w:hAnsi="Garamond"/>
          <w:szCs w:val="24"/>
          <w:lang w:val="sq-AL"/>
        </w:rPr>
        <w:t>enit 640, dëmi monetar konsiston në vuajtjen e një humbje</w:t>
      </w:r>
      <w:r w:rsidR="0007104F">
        <w:rPr>
          <w:rFonts w:ascii="Garamond" w:hAnsi="Garamond"/>
          <w:szCs w:val="24"/>
          <w:lang w:val="sq-AL"/>
        </w:rPr>
        <w:t>je</w:t>
      </w:r>
      <w:r w:rsidR="00395112" w:rsidRPr="00E91B0C">
        <w:rPr>
          <w:rFonts w:ascii="Garamond" w:hAnsi="Garamond"/>
          <w:szCs w:val="24"/>
          <w:lang w:val="sq-AL"/>
        </w:rPr>
        <w:t xml:space="preserve"> reale dhe në humbje të përfitimit.</w:t>
      </w:r>
      <w:r w:rsid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6" w:name="_Toc520459336"/>
      <w:r w:rsidRPr="00E91B0C">
        <w:rPr>
          <w:rFonts w:ascii="Garamond" w:hAnsi="Garamond"/>
          <w:szCs w:val="24"/>
          <w:lang w:val="sq-AL"/>
        </w:rPr>
        <w:t>C.</w:t>
      </w:r>
      <w:r w:rsidR="00E91B0C">
        <w:rPr>
          <w:rFonts w:ascii="Garamond" w:hAnsi="Garamond"/>
          <w:szCs w:val="24"/>
          <w:lang w:val="sq-AL"/>
        </w:rPr>
        <w:t xml:space="preserve"> </w:t>
      </w:r>
      <w:r w:rsidRPr="00E91B0C">
        <w:rPr>
          <w:rFonts w:ascii="Garamond" w:hAnsi="Garamond"/>
          <w:szCs w:val="24"/>
          <w:lang w:val="sq-AL"/>
        </w:rPr>
        <w:t>Kodi i Procedurës Civile</w:t>
      </w:r>
      <w:bookmarkEnd w:id="36"/>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60</w:t>
      </w:r>
      <w:r w:rsidR="00395112" w:rsidRPr="00E91B0C">
        <w:rPr>
          <w:rFonts w:ascii="Garamond" w:hAnsi="Garamond"/>
          <w:szCs w:val="24"/>
          <w:lang w:val="sq-AL"/>
        </w:rPr>
        <w:t xml:space="preserve">. Sipas </w:t>
      </w:r>
      <w:r w:rsidR="001073BE" w:rsidRPr="00E91B0C">
        <w:rPr>
          <w:rFonts w:ascii="Garamond" w:hAnsi="Garamond"/>
          <w:szCs w:val="24"/>
          <w:lang w:val="sq-AL"/>
        </w:rPr>
        <w:t>n</w:t>
      </w:r>
      <w:r w:rsidR="00395112" w:rsidRPr="00E91B0C">
        <w:rPr>
          <w:rFonts w:ascii="Garamond" w:hAnsi="Garamond"/>
          <w:szCs w:val="24"/>
          <w:lang w:val="sq-AL"/>
        </w:rPr>
        <w:t>enit 202 të KPC</w:t>
      </w:r>
      <w:r w:rsidR="001073BE">
        <w:rPr>
          <w:rFonts w:ascii="Garamond" w:hAnsi="Garamond"/>
          <w:szCs w:val="24"/>
          <w:lang w:val="sq-AL"/>
        </w:rPr>
        <w:t>-së</w:t>
      </w:r>
      <w:r w:rsidR="00395112" w:rsidRPr="00E91B0C">
        <w:rPr>
          <w:rFonts w:ascii="Garamond" w:hAnsi="Garamond"/>
          <w:szCs w:val="24"/>
          <w:lang w:val="sq-AL"/>
        </w:rPr>
        <w:t xml:space="preserve">, një urdhër i përkohshëm mund të lëshohet kur ka arsye për të dyshuar nëse ekzekutimi i vendimit të formës së prerë mund të jetë i pamundur ose i vështirë. Një urdhër i përkohshëm pranohet kur padia bazohet në të dhëna dhe pala paditëse bën një parashtrim për çdo dëm që mund të vuajë pala e paditur si pasojë e urdhrit të përkohshëm. Sipas </w:t>
      </w:r>
      <w:r w:rsidR="001073BE" w:rsidRPr="00E91B0C">
        <w:rPr>
          <w:rFonts w:ascii="Garamond" w:hAnsi="Garamond"/>
          <w:szCs w:val="24"/>
          <w:lang w:val="sq-AL"/>
        </w:rPr>
        <w:t>n</w:t>
      </w:r>
      <w:r w:rsidR="00395112" w:rsidRPr="00E91B0C">
        <w:rPr>
          <w:rFonts w:ascii="Garamond" w:hAnsi="Garamond"/>
          <w:szCs w:val="24"/>
          <w:lang w:val="sq-AL"/>
        </w:rPr>
        <w:t>enit 204, një urdhër i përkohshëm mund të lëshohet edhe përpara se të ndërmerren procedimet kryesore. Në raste të tilla, padia</w:t>
      </w:r>
      <w:r w:rsidR="0007104F">
        <w:rPr>
          <w:rFonts w:ascii="Garamond" w:hAnsi="Garamond"/>
          <w:szCs w:val="24"/>
          <w:lang w:val="sq-AL"/>
        </w:rPr>
        <w:t>,</w:t>
      </w:r>
      <w:r w:rsidR="00395112" w:rsidRPr="00E91B0C">
        <w:rPr>
          <w:rFonts w:ascii="Garamond" w:hAnsi="Garamond"/>
          <w:szCs w:val="24"/>
          <w:lang w:val="sq-AL"/>
        </w:rPr>
        <w:t xml:space="preserve"> në themel</w:t>
      </w:r>
      <w:r w:rsidR="0007104F">
        <w:rPr>
          <w:rFonts w:ascii="Garamond" w:hAnsi="Garamond"/>
          <w:szCs w:val="24"/>
          <w:lang w:val="sq-AL"/>
        </w:rPr>
        <w:t>,</w:t>
      </w:r>
      <w:r w:rsidR="00395112" w:rsidRPr="00E91B0C">
        <w:rPr>
          <w:rFonts w:ascii="Garamond" w:hAnsi="Garamond"/>
          <w:szCs w:val="24"/>
          <w:lang w:val="sq-AL"/>
        </w:rPr>
        <w:t xml:space="preserve"> duhet të paraqitet brenda afatit të përcaktuar nga gjykata, p</w:t>
      </w:r>
      <w:r w:rsidR="0007104F" w:rsidRPr="00E91B0C">
        <w:rPr>
          <w:rFonts w:ascii="Garamond" w:hAnsi="Garamond"/>
          <w:szCs w:val="24"/>
          <w:lang w:val="sq-AL"/>
        </w:rPr>
        <w:t>o</w:t>
      </w:r>
      <w:r w:rsidR="00395112" w:rsidRPr="00E91B0C">
        <w:rPr>
          <w:rFonts w:ascii="Garamond" w:hAnsi="Garamond"/>
          <w:szCs w:val="24"/>
          <w:lang w:val="sq-AL"/>
        </w:rPr>
        <w:t>r jo më shumë se pesëmbëdhjetë ditë. Apeli ndaj urdhrit të përkohshëm nuk pezullon ekzekutimin e tij (</w:t>
      </w:r>
      <w:r w:rsidR="00C0025C" w:rsidRPr="00E91B0C">
        <w:rPr>
          <w:rFonts w:ascii="Garamond" w:hAnsi="Garamond"/>
          <w:szCs w:val="24"/>
          <w:lang w:val="sq-AL"/>
        </w:rPr>
        <w:t xml:space="preserve">neni </w:t>
      </w:r>
      <w:r w:rsidR="00395112" w:rsidRPr="00E91B0C">
        <w:rPr>
          <w:rFonts w:ascii="Garamond" w:hAnsi="Garamond"/>
          <w:szCs w:val="24"/>
          <w:lang w:val="sq-AL"/>
        </w:rPr>
        <w:t>210). Në rastin kur padia nuk paraqitet brenda kohës së përcaktuar nga gjykata, urdhri i përkohshëm ndalon së pasuri efekt (</w:t>
      </w:r>
      <w:r w:rsidR="001073BE" w:rsidRPr="00E91B0C">
        <w:rPr>
          <w:rFonts w:ascii="Garamond" w:hAnsi="Garamond"/>
          <w:szCs w:val="24"/>
          <w:lang w:val="sq-AL"/>
        </w:rPr>
        <w:t>n</w:t>
      </w:r>
      <w:r w:rsidR="00395112" w:rsidRPr="00E91B0C">
        <w:rPr>
          <w:rFonts w:ascii="Garamond" w:hAnsi="Garamond"/>
          <w:szCs w:val="24"/>
          <w:lang w:val="sq-AL"/>
        </w:rPr>
        <w:t xml:space="preserve">eni 211). Në rast se në vendimin e formës së prerë pranohet padia, gjykata </w:t>
      </w:r>
      <w:r w:rsidR="003C06FD">
        <w:rPr>
          <w:rFonts w:ascii="Garamond" w:hAnsi="Garamond"/>
          <w:szCs w:val="24"/>
          <w:lang w:val="sq-AL"/>
        </w:rPr>
        <w:t>vendës</w:t>
      </w:r>
      <w:r w:rsidR="00395112" w:rsidRPr="00E91B0C">
        <w:rPr>
          <w:rFonts w:ascii="Garamond" w:hAnsi="Garamond"/>
          <w:szCs w:val="24"/>
          <w:lang w:val="sq-AL"/>
        </w:rPr>
        <w:t>e njeh si të vlefshëm urdhrin e përkohshëm (</w:t>
      </w:r>
      <w:r w:rsidR="001073BE" w:rsidRPr="00E91B0C">
        <w:rPr>
          <w:rFonts w:ascii="Garamond" w:hAnsi="Garamond"/>
          <w:szCs w:val="24"/>
          <w:lang w:val="sq-AL"/>
        </w:rPr>
        <w:t>n</w:t>
      </w:r>
      <w:r w:rsidR="00395112" w:rsidRPr="00E91B0C">
        <w:rPr>
          <w:rFonts w:ascii="Garamond" w:hAnsi="Garamond"/>
          <w:szCs w:val="24"/>
          <w:lang w:val="sq-AL"/>
        </w:rPr>
        <w:t xml:space="preserve">eni 212). Neni 510 parashikon se një urdhër i përkohshëm </w:t>
      </w:r>
      <w:r w:rsidR="00395112" w:rsidRPr="00E91B0C">
        <w:rPr>
          <w:rFonts w:ascii="Garamond" w:hAnsi="Garamond"/>
          <w:szCs w:val="24"/>
          <w:lang w:val="sq-AL"/>
        </w:rPr>
        <w:lastRenderedPageBreak/>
        <w:t xml:space="preserve">përbën një “titull ekzekutiv”, i cili i nënshtrohet zbatimit të detyrueshëm. Sipas neneve 511 dhe 515, zbatimi i urdhrit të përkohshëm realizohet në mënyrë të drejtpërdrejtë nga zyra e përmbarimit sipas kërkesës së kreditorit.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61. Neni 479 parashikon se Gjykata e Lartë mund të pezullojë ekzekutimi</w:t>
      </w:r>
      <w:r w:rsidR="001073BE">
        <w:rPr>
          <w:rFonts w:ascii="Garamond" w:hAnsi="Garamond"/>
          <w:szCs w:val="24"/>
          <w:lang w:val="sq-AL"/>
        </w:rPr>
        <w:t xml:space="preserve">n e një vendimi në rastin kur: </w:t>
      </w:r>
      <w:r w:rsidRPr="00E91B0C">
        <w:rPr>
          <w:rFonts w:ascii="Garamond" w:hAnsi="Garamond"/>
          <w:szCs w:val="24"/>
          <w:lang w:val="sq-AL"/>
        </w:rPr>
        <w:t>a) ekzekutimi i menjëhershëm i vendimit do të shkaktonte dëm serioz</w:t>
      </w:r>
      <w:r w:rsidR="001073BE">
        <w:rPr>
          <w:rFonts w:ascii="Garamond" w:hAnsi="Garamond"/>
          <w:szCs w:val="24"/>
          <w:lang w:val="sq-AL"/>
        </w:rPr>
        <w:t xml:space="preserve"> dhe të pariparueshëm; dhe/ose </w:t>
      </w:r>
      <w:r w:rsidRPr="00E91B0C">
        <w:rPr>
          <w:rFonts w:ascii="Garamond" w:hAnsi="Garamond"/>
          <w:szCs w:val="24"/>
          <w:lang w:val="sq-AL"/>
        </w:rPr>
        <w:t xml:space="preserve">b) pala e cila bën ankimin, parashtron dëmet, çka garanton zbatimin e vendimit përfundimtar.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7" w:name="_Toc520459337"/>
      <w:r w:rsidRPr="00E91B0C">
        <w:rPr>
          <w:rFonts w:ascii="Garamond" w:hAnsi="Garamond"/>
          <w:szCs w:val="24"/>
          <w:lang w:val="sq-AL"/>
        </w:rPr>
        <w:t>D.</w:t>
      </w:r>
      <w:r w:rsidR="00E91B0C">
        <w:rPr>
          <w:rFonts w:ascii="Garamond" w:hAnsi="Garamond"/>
          <w:szCs w:val="24"/>
          <w:lang w:val="sq-AL"/>
        </w:rPr>
        <w:t xml:space="preserve"> </w:t>
      </w:r>
      <w:r w:rsidRPr="00E91B0C">
        <w:rPr>
          <w:rFonts w:ascii="Garamond" w:hAnsi="Garamond"/>
          <w:szCs w:val="24"/>
          <w:lang w:val="sq-AL"/>
        </w:rPr>
        <w:t xml:space="preserve">Mosmarrëveshjet administrative dhe praktika gjyqësore përkatëse </w:t>
      </w:r>
      <w:r w:rsidR="003C06FD">
        <w:rPr>
          <w:rFonts w:ascii="Garamond" w:hAnsi="Garamond"/>
          <w:szCs w:val="24"/>
          <w:lang w:val="sq-AL"/>
        </w:rPr>
        <w:t>vendës</w:t>
      </w:r>
      <w:r w:rsidRPr="00E91B0C">
        <w:rPr>
          <w:rFonts w:ascii="Garamond" w:hAnsi="Garamond"/>
          <w:szCs w:val="24"/>
          <w:lang w:val="sq-AL"/>
        </w:rPr>
        <w:t>e</w:t>
      </w:r>
      <w:bookmarkEnd w:id="37"/>
      <w:r w:rsidRPr="00E91B0C">
        <w:rPr>
          <w:rFonts w:ascii="Garamond" w:hAnsi="Garamond"/>
          <w:szCs w:val="24"/>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62</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Seksioni 1 i </w:t>
      </w:r>
      <w:r w:rsidR="00536F0E" w:rsidRPr="00E91B0C">
        <w:rPr>
          <w:rFonts w:ascii="Garamond" w:hAnsi="Garamond"/>
          <w:szCs w:val="24"/>
          <w:lang w:val="sq-AL"/>
        </w:rPr>
        <w:t xml:space="preserve">ligjit </w:t>
      </w:r>
      <w:r w:rsidR="00395112" w:rsidRPr="00E91B0C">
        <w:rPr>
          <w:rFonts w:ascii="Garamond" w:hAnsi="Garamond"/>
          <w:szCs w:val="24"/>
          <w:lang w:val="sq-AL"/>
        </w:rPr>
        <w:t>nr. 49/2012, i datës 18 maj 2013</w:t>
      </w:r>
      <w:r w:rsidR="00A35AAF">
        <w:rPr>
          <w:rFonts w:ascii="Garamond" w:hAnsi="Garamond"/>
          <w:szCs w:val="24"/>
          <w:lang w:val="sq-AL"/>
        </w:rPr>
        <w:t>,</w:t>
      </w:r>
      <w:r w:rsidR="00395112" w:rsidRPr="00E91B0C">
        <w:rPr>
          <w:rFonts w:ascii="Garamond" w:hAnsi="Garamond"/>
          <w:szCs w:val="24"/>
          <w:lang w:val="sq-AL"/>
        </w:rPr>
        <w:t xml:space="preserve"> “Për gjykatat administrative dhe shqyrtimin e mosmarrëveshjeve administrative” (</w:t>
      </w:r>
      <w:r w:rsidR="00A35AAF" w:rsidRPr="00E91B0C">
        <w:rPr>
          <w:rFonts w:ascii="Garamond" w:hAnsi="Garamond"/>
          <w:szCs w:val="24"/>
          <w:lang w:val="sq-AL"/>
        </w:rPr>
        <w:t xml:space="preserve">akti i </w:t>
      </w:r>
      <w:r w:rsidR="00A35AAF">
        <w:rPr>
          <w:rFonts w:ascii="Garamond" w:hAnsi="Garamond"/>
          <w:szCs w:val="24"/>
          <w:lang w:val="sq-AL"/>
        </w:rPr>
        <w:t>mosmarrëveshjeve administrative</w:t>
      </w:r>
      <w:r w:rsidR="00395112" w:rsidRPr="00E91B0C">
        <w:rPr>
          <w:rFonts w:ascii="Garamond" w:hAnsi="Garamond"/>
          <w:szCs w:val="24"/>
          <w:lang w:val="sq-AL"/>
        </w:rPr>
        <w:t xml:space="preserve">) parashikon se dispozitat e këtij </w:t>
      </w:r>
      <w:r w:rsidR="00536F0E" w:rsidRPr="00E91B0C">
        <w:rPr>
          <w:rFonts w:ascii="Garamond" w:hAnsi="Garamond"/>
          <w:szCs w:val="24"/>
          <w:lang w:val="sq-AL"/>
        </w:rPr>
        <w:t>a</w:t>
      </w:r>
      <w:r w:rsidR="00395112" w:rsidRPr="00E91B0C">
        <w:rPr>
          <w:rFonts w:ascii="Garamond" w:hAnsi="Garamond"/>
          <w:szCs w:val="24"/>
          <w:lang w:val="sq-AL"/>
        </w:rPr>
        <w:t>kti plotësohen nga parashikimet e KPC</w:t>
      </w:r>
      <w:r w:rsidR="00C0025C">
        <w:rPr>
          <w:rFonts w:ascii="Garamond" w:hAnsi="Garamond"/>
          <w:szCs w:val="24"/>
          <w:lang w:val="sq-AL"/>
        </w:rPr>
        <w:t>-së</w:t>
      </w:r>
      <w:r w:rsidR="00395112" w:rsidRPr="00E91B0C">
        <w:rPr>
          <w:rFonts w:ascii="Garamond" w:hAnsi="Garamond"/>
          <w:szCs w:val="24"/>
          <w:lang w:val="sq-AL"/>
        </w:rPr>
        <w:t>, në rast se nuk parashikohet ndryshe. Seksioni 14 parashikon se gjatë procedimeve gjyqësore, të drejtat dhe detyrimet e palëve udhëhiqen nga parashikimet e KPC</w:t>
      </w:r>
      <w:r w:rsidR="001073BE">
        <w:rPr>
          <w:rFonts w:ascii="Garamond" w:hAnsi="Garamond"/>
          <w:szCs w:val="24"/>
          <w:lang w:val="sq-AL"/>
        </w:rPr>
        <w:t>-së</w:t>
      </w:r>
      <w:r w:rsidR="00395112" w:rsidRPr="00E91B0C">
        <w:rPr>
          <w:rFonts w:ascii="Garamond" w:hAnsi="Garamond"/>
          <w:szCs w:val="24"/>
          <w:lang w:val="sq-AL"/>
        </w:rPr>
        <w:t>, në rast se nuk ka mospërputhshmëri. Seksioni 28 parashikon se deri në miratimin e një vendimi në themel të çështjes, një paditës mund të aplikojë në gjykatë për një urdhër të përkohshëm, në rast se mund të rezultojnë dëme serioze dhe të pariparueshme, si rezultat i ekzekutimit të një vendimi administrativ. Padia</w:t>
      </w:r>
      <w:r w:rsidR="007B779F">
        <w:rPr>
          <w:rFonts w:ascii="Garamond" w:hAnsi="Garamond"/>
          <w:szCs w:val="24"/>
          <w:lang w:val="sq-AL"/>
        </w:rPr>
        <w:t>,</w:t>
      </w:r>
      <w:r w:rsidR="00395112" w:rsidRPr="00E91B0C">
        <w:rPr>
          <w:rFonts w:ascii="Garamond" w:hAnsi="Garamond"/>
          <w:szCs w:val="24"/>
          <w:lang w:val="sq-AL"/>
        </w:rPr>
        <w:t xml:space="preserve"> në themel</w:t>
      </w:r>
      <w:r w:rsidR="007B779F">
        <w:rPr>
          <w:rFonts w:ascii="Garamond" w:hAnsi="Garamond"/>
          <w:szCs w:val="24"/>
          <w:lang w:val="sq-AL"/>
        </w:rPr>
        <w:t>,</w:t>
      </w:r>
      <w:r w:rsidR="00395112" w:rsidRPr="00E91B0C">
        <w:rPr>
          <w:rFonts w:ascii="Garamond" w:hAnsi="Garamond"/>
          <w:szCs w:val="24"/>
          <w:lang w:val="sq-AL"/>
        </w:rPr>
        <w:t xml:space="preserve"> duhet të paraqitet brenda dhjetë ditëve. Sipas seksionit 29, urdhri i përkohshëm lëshohet, në rast se ka dyshime të arsyeshme se mund të ketë dëm serioz dhe se nuk ekziston shkelje e interesit publik. Sipas seksionit 32, apelimi kundër urdhrit të përkohshëm nuk pezullon ekzekutimin e tij. Sipas seksionit 33, urdhri i përkohshëm ekzekutohet në përputhje me rregullat për ekzekutimin e vendimeve të gjykatës administrative të parashikuara në </w:t>
      </w:r>
      <w:r w:rsidR="00536F0E" w:rsidRPr="00E91B0C">
        <w:rPr>
          <w:rFonts w:ascii="Garamond" w:hAnsi="Garamond"/>
          <w:szCs w:val="24"/>
          <w:lang w:val="sq-AL"/>
        </w:rPr>
        <w:t>a</w:t>
      </w:r>
      <w:r w:rsidR="00395112" w:rsidRPr="00E91B0C">
        <w:rPr>
          <w:rFonts w:ascii="Garamond" w:hAnsi="Garamond"/>
          <w:szCs w:val="24"/>
          <w:lang w:val="sq-AL"/>
        </w:rPr>
        <w:t xml:space="preserve">kt. Sipas seksionit 40, gjykata </w:t>
      </w:r>
      <w:r w:rsidR="003C06FD">
        <w:rPr>
          <w:rFonts w:ascii="Garamond" w:hAnsi="Garamond"/>
          <w:szCs w:val="24"/>
          <w:lang w:val="sq-AL"/>
        </w:rPr>
        <w:t>vendës</w:t>
      </w:r>
      <w:r w:rsidR="00395112" w:rsidRPr="00E91B0C">
        <w:rPr>
          <w:rFonts w:ascii="Garamond" w:hAnsi="Garamond"/>
          <w:szCs w:val="24"/>
          <w:lang w:val="sq-AL"/>
        </w:rPr>
        <w:t>e</w:t>
      </w:r>
      <w:r w:rsidR="000B6F5B">
        <w:rPr>
          <w:rFonts w:ascii="Garamond" w:hAnsi="Garamond"/>
          <w:szCs w:val="24"/>
          <w:lang w:val="sq-AL"/>
        </w:rPr>
        <w:t>,</w:t>
      </w:r>
      <w:r w:rsidR="00395112" w:rsidRPr="00E91B0C">
        <w:rPr>
          <w:rFonts w:ascii="Garamond" w:hAnsi="Garamond"/>
          <w:szCs w:val="24"/>
          <w:lang w:val="sq-AL"/>
        </w:rPr>
        <w:t xml:space="preserve"> në vendimin e saj të formës së prerë në themel të çështjes, në rastin kur e ka pranuar padinë plotësisht ose pjesërisht, e shpall të vlefshëm urdhrin e përkohshëm. Sipas seksionit 65, zbatimi i urdhrit të përkohshëm realizohet nga zyra e përmbarimit, me kërkesën e kredituesit. Sipas një praktike gjyqësore </w:t>
      </w:r>
      <w:r w:rsidR="003C06FD">
        <w:rPr>
          <w:rFonts w:ascii="Garamond" w:hAnsi="Garamond"/>
          <w:szCs w:val="24"/>
          <w:lang w:val="sq-AL"/>
        </w:rPr>
        <w:t>vendës</w:t>
      </w:r>
      <w:r w:rsidR="00395112" w:rsidRPr="00E91B0C">
        <w:rPr>
          <w:rFonts w:ascii="Garamond" w:hAnsi="Garamond"/>
          <w:szCs w:val="24"/>
          <w:lang w:val="sq-AL"/>
        </w:rPr>
        <w:t>e, gjykatat administrative vendosin për çështjet e tyre</w:t>
      </w:r>
      <w:r w:rsidR="000B6F5B">
        <w:rPr>
          <w:rFonts w:ascii="Garamond" w:hAnsi="Garamond"/>
          <w:szCs w:val="24"/>
          <w:lang w:val="sq-AL"/>
        </w:rPr>
        <w:t>,</w:t>
      </w:r>
      <w:r w:rsidR="00395112" w:rsidRPr="00E91B0C">
        <w:rPr>
          <w:rFonts w:ascii="Garamond" w:hAnsi="Garamond"/>
          <w:szCs w:val="24"/>
          <w:lang w:val="sq-AL"/>
        </w:rPr>
        <w:t xml:space="preserve"> bazuar në ligjin administrativ, më konkretisht</w:t>
      </w:r>
      <w:r w:rsidR="000B6F5B">
        <w:rPr>
          <w:rFonts w:ascii="Garamond" w:hAnsi="Garamond"/>
          <w:szCs w:val="24"/>
          <w:lang w:val="sq-AL"/>
        </w:rPr>
        <w:t>,</w:t>
      </w:r>
      <w:r w:rsidR="00395112" w:rsidRPr="00E91B0C">
        <w:rPr>
          <w:rFonts w:ascii="Garamond" w:hAnsi="Garamond"/>
          <w:szCs w:val="24"/>
          <w:lang w:val="sq-AL"/>
        </w:rPr>
        <w:t xml:space="preserve"> </w:t>
      </w:r>
      <w:r w:rsidR="00536F0E" w:rsidRPr="00E91B0C">
        <w:rPr>
          <w:rFonts w:ascii="Garamond" w:hAnsi="Garamond"/>
          <w:szCs w:val="24"/>
          <w:lang w:val="sq-AL"/>
        </w:rPr>
        <w:t>akti i mosmarrëveshjeve administrative</w:t>
      </w:r>
      <w:r w:rsidR="00395112" w:rsidRPr="00E91B0C">
        <w:rPr>
          <w:rFonts w:ascii="Garamond" w:hAnsi="Garamond"/>
          <w:szCs w:val="24"/>
          <w:lang w:val="sq-AL"/>
        </w:rPr>
        <w:t xml:space="preserve"> dhe në parashikimet e KPC</w:t>
      </w:r>
      <w:r w:rsidR="00C0025C">
        <w:rPr>
          <w:rFonts w:ascii="Garamond" w:hAnsi="Garamond"/>
          <w:szCs w:val="24"/>
          <w:lang w:val="sq-AL"/>
        </w:rPr>
        <w:t>-së</w:t>
      </w:r>
      <w:r w:rsidR="00395112" w:rsidRP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8" w:name="_Toc520459338"/>
      <w:r w:rsidRPr="00E91B0C">
        <w:rPr>
          <w:rFonts w:ascii="Garamond" w:hAnsi="Garamond"/>
          <w:szCs w:val="24"/>
          <w:lang w:val="sq-AL"/>
        </w:rPr>
        <w:t>E.</w:t>
      </w:r>
      <w:r w:rsidR="00E91B0C">
        <w:rPr>
          <w:rFonts w:ascii="Garamond" w:hAnsi="Garamond"/>
          <w:szCs w:val="24"/>
          <w:lang w:val="sq-AL"/>
        </w:rPr>
        <w:t xml:space="preserve"> </w:t>
      </w:r>
      <w:r w:rsidRPr="00E91B0C">
        <w:rPr>
          <w:rFonts w:ascii="Garamond" w:hAnsi="Garamond"/>
          <w:szCs w:val="24"/>
          <w:lang w:val="sq-AL"/>
        </w:rPr>
        <w:t>Akti i shpronësimit</w:t>
      </w:r>
      <w:bookmarkEnd w:id="38"/>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63</w:t>
      </w:r>
      <w:r w:rsidR="00395112" w:rsidRPr="00E91B0C">
        <w:rPr>
          <w:rFonts w:ascii="Garamond" w:hAnsi="Garamond"/>
          <w:szCs w:val="24"/>
          <w:lang w:val="sq-AL"/>
        </w:rPr>
        <w:t>. Ligji nr. 8561, i datës 22 dhjetor 1999</w:t>
      </w:r>
      <w:r w:rsidR="00EB3E51">
        <w:rPr>
          <w:rFonts w:ascii="Garamond" w:hAnsi="Garamond"/>
          <w:szCs w:val="24"/>
          <w:lang w:val="sq-AL"/>
        </w:rPr>
        <w:t>,</w:t>
      </w:r>
      <w:r w:rsidR="00395112" w:rsidRPr="00E91B0C">
        <w:rPr>
          <w:rFonts w:ascii="Garamond" w:hAnsi="Garamond"/>
          <w:szCs w:val="24"/>
          <w:lang w:val="sq-AL"/>
        </w:rPr>
        <w:t xml:space="preserve"> “Për shpronësimet dhe përdorimin e përkohshëm të pronës private në interesin publik” (</w:t>
      </w:r>
      <w:r w:rsidR="00EB3E51" w:rsidRPr="00E91B0C">
        <w:rPr>
          <w:rFonts w:ascii="Garamond" w:hAnsi="Garamond"/>
          <w:szCs w:val="24"/>
          <w:lang w:val="sq-AL"/>
        </w:rPr>
        <w:t xml:space="preserve">akti </w:t>
      </w:r>
      <w:r w:rsidR="00395112" w:rsidRPr="00E91B0C">
        <w:rPr>
          <w:rFonts w:ascii="Garamond" w:hAnsi="Garamond"/>
          <w:szCs w:val="24"/>
          <w:lang w:val="sq-AL"/>
        </w:rPr>
        <w:t xml:space="preserve">i shpronësimit) parashikon procedurën e shpronësimit të pronave private në interesin publik. Seksionet 2 dhe 4 parashikojnë se shpronësimi është vetëm në interesin publik, ku interesi publik paraprin interesin privat dhe vetëm për arsyet dhe në përputhje me procedurat e parashikuara shprehimisht në </w:t>
      </w:r>
      <w:r w:rsidR="00536F0E" w:rsidRPr="00E91B0C">
        <w:rPr>
          <w:rFonts w:ascii="Garamond" w:hAnsi="Garamond"/>
          <w:szCs w:val="24"/>
          <w:lang w:val="sq-AL"/>
        </w:rPr>
        <w:t>a</w:t>
      </w:r>
      <w:r w:rsidR="00395112" w:rsidRPr="00E91B0C">
        <w:rPr>
          <w:rFonts w:ascii="Garamond" w:hAnsi="Garamond"/>
          <w:szCs w:val="24"/>
          <w:lang w:val="sq-AL"/>
        </w:rPr>
        <w:t>kt, për aq sa është thelbësore për arritjen e qëllimit të shpronësimit dhe shërben për kompensim të drejtë. Parimet e transparencës, barazisë së qytetarëve dhe mbrojtja e interesave dhe të drejtave të tyre mbi pronën duhet t</w:t>
      </w:r>
      <w:r w:rsidR="00D539A9" w:rsidRPr="00E91B0C">
        <w:rPr>
          <w:rFonts w:ascii="Garamond" w:hAnsi="Garamond"/>
          <w:szCs w:val="24"/>
          <w:lang w:val="sq-AL"/>
        </w:rPr>
        <w:t>ë</w:t>
      </w:r>
      <w:r w:rsidR="00395112" w:rsidRPr="00E91B0C">
        <w:rPr>
          <w:rFonts w:ascii="Garamond" w:hAnsi="Garamond"/>
          <w:szCs w:val="24"/>
          <w:lang w:val="sq-AL"/>
        </w:rPr>
        <w:t xml:space="preserve"> respektohen (seksioni 3). Shpronësimi mund të bëhet për një sërë arsyesh, duke përfshirë realizimin e projekteve kombëtare dhe lokale dhe investimet në</w:t>
      </w:r>
      <w:r w:rsidR="00536F0E">
        <w:rPr>
          <w:rFonts w:ascii="Garamond" w:hAnsi="Garamond"/>
          <w:szCs w:val="24"/>
          <w:lang w:val="sq-AL"/>
        </w:rPr>
        <w:t xml:space="preserve"> interes të mjedisit, shëndetit</w:t>
      </w:r>
      <w:r w:rsidR="00395112" w:rsidRPr="00E91B0C">
        <w:rPr>
          <w:rFonts w:ascii="Garamond" w:hAnsi="Garamond"/>
          <w:szCs w:val="24"/>
          <w:lang w:val="sq-AL"/>
        </w:rPr>
        <w:t xml:space="preserve"> etj.</w:t>
      </w:r>
      <w:r w:rsidR="00536F0E">
        <w:rPr>
          <w:rFonts w:ascii="Garamond" w:hAnsi="Garamond"/>
          <w:szCs w:val="24"/>
          <w:lang w:val="sq-AL"/>
        </w:rPr>
        <w:t>,</w:t>
      </w:r>
      <w:r w:rsidR="00395112" w:rsidRPr="00E91B0C">
        <w:rPr>
          <w:rFonts w:ascii="Garamond" w:hAnsi="Garamond"/>
          <w:szCs w:val="24"/>
          <w:lang w:val="sq-AL"/>
        </w:rPr>
        <w:t xml:space="preserve"> si edhe mbrojtjen e infrastrukturës në interesin publik (seksioni 8). Sipas seksionit 10, kërkuesi, në interes të të cilit realizohet shpronësimi, duke përfshirë autoritetin bashkiak, duhet t’i adresohet ministrisë që është kompetente, sipas ligjit. Ankimi duhet të shoqërohet me një sërë dokumentesh, duke përfshirë një listë pronarësh të pronave private që do të shpronësohen, së bashku me shpjegimet dhe informacionet në lidhje me secilin pronar, duke përfshirë adresat e tyre dhe banimin e tyre të fundit, me vlerësimet përkatëse për vlerën e pronave dhe shumën e kompensimit, e cila do të paguhet për secilin prej tyre. Seksioni 11 parashikon se ministria kompetente duhet të urdhërojë ngritjen e një komisioni të veçantë për të mbikëqyrur zbatimin e procedurës së shpronësimit. Seksioni 12 parashikon se ministria kompetente duhet të verifikojë aplikimin dhe dokumentet mbështetëse. Seksioni 13 parashikon se nëse aplikimi është në përputhje me </w:t>
      </w:r>
      <w:r w:rsidR="00536F0E" w:rsidRPr="00E91B0C">
        <w:rPr>
          <w:rFonts w:ascii="Garamond" w:hAnsi="Garamond"/>
          <w:szCs w:val="24"/>
          <w:lang w:val="sq-AL"/>
        </w:rPr>
        <w:t>aktin</w:t>
      </w:r>
      <w:r w:rsidR="00395112" w:rsidRPr="00E91B0C">
        <w:rPr>
          <w:rFonts w:ascii="Garamond" w:hAnsi="Garamond"/>
          <w:szCs w:val="24"/>
          <w:lang w:val="sq-AL"/>
        </w:rPr>
        <w:t xml:space="preserve">, ministria kompetente e pranon atë dhe njofton menjëherë kërkuesin në favor të të cilit kërkohet shpronësimi me shkrim. Duhet të hartohet një marrëveshje midis kërkuesit dhe ministrisë kompetente për të drejtat dhe detyrimet e përbashkëta në lidhje me procedurën e shpronësimit. Seksioni 14 parashikon se brenda 10 ditëve të marrëveshjes, ministria kompetente duhet të njoftojë drejtpërdrejt secilin pronar ose bashkëpronar të pronave private që do të shpronësohen, për kompensimin e tyre. Sipas seksionit 15, ministria kompetente duhet të publikojë aplikimin për shpronësim në Fletoren Zyrtare dhe në një gazetë kombëtare dhe lokale, për një periudhë njëjavore. Seksioni </w:t>
      </w:r>
      <w:r w:rsidR="00395112" w:rsidRPr="00E91B0C">
        <w:rPr>
          <w:rFonts w:ascii="Garamond" w:eastAsia="Times New Roman" w:hAnsi="Garamond"/>
          <w:szCs w:val="24"/>
          <w:lang w:val="sq-AL"/>
        </w:rPr>
        <w:t>16</w:t>
      </w:r>
      <w:r w:rsidR="008B2E1D">
        <w:rPr>
          <w:rFonts w:ascii="Garamond" w:eastAsia="Times New Roman" w:hAnsi="Garamond"/>
          <w:szCs w:val="24"/>
          <w:lang w:val="sq-AL"/>
        </w:rPr>
        <w:t>§</w:t>
      </w:r>
      <w:r w:rsidR="00395112" w:rsidRPr="00E91B0C">
        <w:rPr>
          <w:rFonts w:ascii="Garamond" w:eastAsia="Times New Roman" w:hAnsi="Garamond"/>
          <w:szCs w:val="24"/>
          <w:lang w:val="sq-AL"/>
        </w:rPr>
        <w:t xml:space="preserve">2 parashikon se me përfundimin e procedimeve të shpronësimit, </w:t>
      </w:r>
      <w:r w:rsidR="001A004A" w:rsidRPr="00E91B0C">
        <w:rPr>
          <w:rFonts w:ascii="Garamond" w:eastAsia="Times New Roman" w:hAnsi="Garamond"/>
          <w:szCs w:val="24"/>
          <w:lang w:val="sq-AL"/>
        </w:rPr>
        <w:t xml:space="preserve">ministria </w:t>
      </w:r>
      <w:r w:rsidR="00395112" w:rsidRPr="00E91B0C">
        <w:rPr>
          <w:rFonts w:ascii="Garamond" w:eastAsia="Times New Roman" w:hAnsi="Garamond"/>
          <w:szCs w:val="24"/>
          <w:lang w:val="sq-AL"/>
        </w:rPr>
        <w:t>kompetente është e detyruar të përcaktojë shumën e kompensimit. Kjo shumë i paguhet personit në fjalë sipas vendimit gjyqësor të formës së prerë, në rastin e një apelimi, pasi të jetë informuar ministria kompetente. Seksioni 16</w:t>
      </w:r>
      <w:r w:rsidR="008B2E1D">
        <w:rPr>
          <w:rFonts w:ascii="Garamond" w:eastAsia="Times New Roman" w:hAnsi="Garamond"/>
          <w:szCs w:val="24"/>
          <w:lang w:val="sq-AL"/>
        </w:rPr>
        <w:t>§</w:t>
      </w:r>
      <w:r w:rsidR="00395112" w:rsidRPr="00E91B0C">
        <w:rPr>
          <w:rFonts w:ascii="Garamond" w:eastAsia="Times New Roman" w:hAnsi="Garamond"/>
          <w:szCs w:val="24"/>
          <w:lang w:val="sq-AL"/>
        </w:rPr>
        <w:t>3 parashikon se pronarët e pronave private duhet të informojnë ministrinë kompetente</w:t>
      </w:r>
      <w:r w:rsidR="00237839">
        <w:rPr>
          <w:rFonts w:ascii="Garamond" w:eastAsia="Times New Roman" w:hAnsi="Garamond"/>
          <w:szCs w:val="24"/>
          <w:lang w:val="sq-AL"/>
        </w:rPr>
        <w:t>,</w:t>
      </w:r>
      <w:r w:rsidR="00395112" w:rsidRPr="00E91B0C">
        <w:rPr>
          <w:rFonts w:ascii="Garamond" w:eastAsia="Times New Roman" w:hAnsi="Garamond"/>
          <w:szCs w:val="24"/>
          <w:lang w:val="sq-AL"/>
        </w:rPr>
        <w:t xml:space="preserve"> nëse e pranojnë transferimin vullnetar të pronës. Brenda pesëmbëdhjetë ditëve nga marrja e përgjigjes së pronarëve dhe</w:t>
      </w:r>
      <w:r w:rsidR="00237839">
        <w:rPr>
          <w:rFonts w:ascii="Garamond" w:eastAsia="Times New Roman" w:hAnsi="Garamond"/>
          <w:szCs w:val="24"/>
          <w:lang w:val="sq-AL"/>
        </w:rPr>
        <w:t>,</w:t>
      </w:r>
      <w:r w:rsidR="00395112" w:rsidRPr="00E91B0C">
        <w:rPr>
          <w:rFonts w:ascii="Garamond" w:eastAsia="Times New Roman" w:hAnsi="Garamond"/>
          <w:szCs w:val="24"/>
          <w:lang w:val="sq-AL"/>
        </w:rPr>
        <w:t xml:space="preserve"> jo më pak se</w:t>
      </w:r>
      <w:r w:rsidR="00B67DEC">
        <w:rPr>
          <w:rFonts w:ascii="Garamond" w:eastAsia="Times New Roman" w:hAnsi="Garamond"/>
          <w:szCs w:val="24"/>
          <w:lang w:val="sq-AL"/>
        </w:rPr>
        <w:t xml:space="preserve"> </w:t>
      </w:r>
      <w:r w:rsidR="00395112" w:rsidRPr="00E91B0C">
        <w:rPr>
          <w:rFonts w:ascii="Garamond" w:eastAsia="Times New Roman" w:hAnsi="Garamond"/>
          <w:szCs w:val="24"/>
          <w:lang w:val="sq-AL"/>
        </w:rPr>
        <w:lastRenderedPageBreak/>
        <w:t>sa një muaj nga publikimi i aplikimit për shpronësim, ministria kompetente, në rast se palët i kanë pranuar kushtet e shpronësimit, duhet të fillojë procedurën për transferimin e pronësisë te</w:t>
      </w:r>
      <w:r w:rsidR="00237839">
        <w:rPr>
          <w:rFonts w:ascii="Garamond" w:eastAsia="Times New Roman" w:hAnsi="Garamond"/>
          <w:szCs w:val="24"/>
          <w:lang w:val="sq-AL"/>
        </w:rPr>
        <w:t xml:space="preserve"> s</w:t>
      </w:r>
      <w:r w:rsidR="00395112" w:rsidRPr="00E91B0C">
        <w:rPr>
          <w:rFonts w:ascii="Garamond" w:eastAsia="Times New Roman" w:hAnsi="Garamond"/>
          <w:szCs w:val="24"/>
          <w:lang w:val="sq-AL"/>
        </w:rPr>
        <w:t>hteti në shkëmbim të një kompensimi të drejtë (seksioni 1</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4). Seksioni 17 parashikon se komisioni i veçantë duhet të përllogarisë shumën e kompensimit në lidhje me pronën që do të shpronësohet. Seksioni 20 parashikon se ministri kompetent duhet të paraqes</w:t>
      </w:r>
      <w:r w:rsidR="00B67DEC">
        <w:rPr>
          <w:rFonts w:ascii="Garamond" w:hAnsi="Garamond"/>
          <w:szCs w:val="24"/>
          <w:lang w:val="sq-AL"/>
        </w:rPr>
        <w:t>ë</w:t>
      </w:r>
      <w:r w:rsidR="00395112" w:rsidRPr="00E91B0C">
        <w:rPr>
          <w:rFonts w:ascii="Garamond" w:hAnsi="Garamond"/>
          <w:szCs w:val="24"/>
          <w:lang w:val="sq-AL"/>
        </w:rPr>
        <w:t xml:space="preserve"> përpara Këshillit të Ministrave propozimin për shpronësim, të shoqëruar me një sërë dokumentesh. Sipas seksionit 21, Këshilli i Ministrave vendos për shpronësimin kur propozimi për shpronësim konsiderohet të bazohet në ligj dhe në fakte. Vendimi për shpronësim duhet të përfshijë pronat private që do të shpronësohen dhe pronarët e tyre respektivë, shumën e kompensimit që do të ofrohet, si edhe afatin kohor dhe mënyrën e pagesës. Vendimi për shpronësim hyn në fuqi menjëherë dhe publikohet në Fletoren Zyrtare. Seksioni 23 parashikon se shuma e kompensimit duhet t’i jepet personit në fjalë brenda afatit kohor të parashikuar në vendimin e Kësh</w:t>
      </w:r>
      <w:r w:rsidR="00B537EE">
        <w:rPr>
          <w:rFonts w:ascii="Garamond" w:hAnsi="Garamond"/>
          <w:szCs w:val="24"/>
          <w:lang w:val="sq-AL"/>
        </w:rPr>
        <w:t>illit të Ministrave</w:t>
      </w:r>
      <w:r w:rsidR="00395112" w:rsidRPr="00E91B0C">
        <w:rPr>
          <w:rFonts w:ascii="Garamond" w:hAnsi="Garamond"/>
          <w:szCs w:val="24"/>
          <w:lang w:val="sq-AL"/>
        </w:rPr>
        <w:t xml:space="preserve"> ose nga data kur vendimi i gjykatës bëhet i formës së prerë sipas seksioneve 16</w:t>
      </w:r>
      <w:r w:rsidR="008B2E1D">
        <w:rPr>
          <w:rFonts w:ascii="Garamond" w:hAnsi="Garamond"/>
          <w:szCs w:val="24"/>
          <w:lang w:val="sq-AL"/>
        </w:rPr>
        <w:t>§</w:t>
      </w:r>
      <w:r w:rsidR="00395112" w:rsidRPr="00E91B0C">
        <w:rPr>
          <w:rFonts w:ascii="Garamond" w:hAnsi="Garamond"/>
          <w:szCs w:val="24"/>
          <w:lang w:val="sq-AL"/>
        </w:rPr>
        <w:t xml:space="preserve">2 dhe 24 të këtij </w:t>
      </w:r>
      <w:r w:rsidR="00536F0E" w:rsidRPr="00E91B0C">
        <w:rPr>
          <w:rFonts w:ascii="Garamond" w:hAnsi="Garamond"/>
          <w:szCs w:val="24"/>
          <w:lang w:val="sq-AL"/>
        </w:rPr>
        <w:t>a</w:t>
      </w:r>
      <w:r w:rsidR="00395112" w:rsidRPr="00E91B0C">
        <w:rPr>
          <w:rFonts w:ascii="Garamond" w:hAnsi="Garamond"/>
          <w:szCs w:val="24"/>
          <w:lang w:val="sq-AL"/>
        </w:rPr>
        <w:t>kti. Seksioni 24 parashikon se vendimi i Këshillit të Min</w:t>
      </w:r>
      <w:r w:rsidR="00B537EE">
        <w:rPr>
          <w:rFonts w:ascii="Garamond" w:hAnsi="Garamond"/>
          <w:szCs w:val="24"/>
          <w:lang w:val="sq-AL"/>
        </w:rPr>
        <w:t xml:space="preserve">istrave për shpronësimin duhet </w:t>
      </w:r>
      <w:r w:rsidR="00395112" w:rsidRPr="00E91B0C">
        <w:rPr>
          <w:rFonts w:ascii="Garamond" w:hAnsi="Garamond"/>
          <w:szCs w:val="24"/>
          <w:lang w:val="sq-AL"/>
        </w:rPr>
        <w:t>t</w:t>
      </w:r>
      <w:r w:rsidR="00B537EE">
        <w:rPr>
          <w:rFonts w:ascii="Garamond" w:hAnsi="Garamond"/>
          <w:szCs w:val="24"/>
          <w:lang w:val="sq-AL"/>
        </w:rPr>
        <w:t>ë</w:t>
      </w:r>
      <w:r w:rsidR="00395112" w:rsidRPr="00E91B0C">
        <w:rPr>
          <w:rFonts w:ascii="Garamond" w:hAnsi="Garamond"/>
          <w:szCs w:val="24"/>
          <w:lang w:val="sq-AL"/>
        </w:rPr>
        <w:t xml:space="preserve"> dërgohet nga ministria kompetente drejtpërdrejt te pronarët konkretë. Ata duhet të apelojnë në një gjykatë brenda tridhjetë ditëve kundër shumës së kompensimit të specifikuar në vendim. Apelimi kundër vendimit të Këshillit të Ministrave për shpronësimin nuk pezullon zbatimin e vendimit. Në lidhje me shumën e kompensimit, nëse një apelim në gjykatë nuk paraqitet brenda tridhjetë ditëve në përputhje me </w:t>
      </w:r>
      <w:r w:rsidR="00536F0E" w:rsidRPr="00E91B0C">
        <w:rPr>
          <w:rFonts w:ascii="Garamond" w:hAnsi="Garamond"/>
          <w:szCs w:val="24"/>
          <w:lang w:val="sq-AL"/>
        </w:rPr>
        <w:t>a</w:t>
      </w:r>
      <w:r w:rsidR="00395112" w:rsidRPr="00E91B0C">
        <w:rPr>
          <w:rFonts w:ascii="Garamond" w:hAnsi="Garamond"/>
          <w:szCs w:val="24"/>
          <w:lang w:val="sq-AL"/>
        </w:rPr>
        <w:t>ktin, vendimi i Këshillit të Ministrave për shpronësimin bëhet i ekzekutueshëm. Sipas seksionit 26, procedura e shpronësimit konsiderohet e pavlefshme</w:t>
      </w:r>
      <w:r w:rsidR="00E36295">
        <w:rPr>
          <w:rFonts w:ascii="Garamond" w:hAnsi="Garamond"/>
          <w:szCs w:val="24"/>
          <w:lang w:val="sq-AL"/>
        </w:rPr>
        <w:t>,</w:t>
      </w:r>
      <w:r w:rsidR="00395112" w:rsidRPr="00E91B0C">
        <w:rPr>
          <w:rFonts w:ascii="Garamond" w:hAnsi="Garamond"/>
          <w:szCs w:val="24"/>
          <w:lang w:val="sq-AL"/>
        </w:rPr>
        <w:t xml:space="preserve"> kur subjekti në favor të të cilit është bërë shpronësimi, nuk fillon ose përfundon punimet brenda tre muajve prej datës së specifikuar në vendimin e Këshillit të Ministrave. Shpronësimi është</w:t>
      </w:r>
      <w:r w:rsidR="00E36295">
        <w:rPr>
          <w:rFonts w:ascii="Garamond" w:hAnsi="Garamond"/>
          <w:szCs w:val="24"/>
          <w:lang w:val="sq-AL"/>
        </w:rPr>
        <w:t>,</w:t>
      </w:r>
      <w:r w:rsidR="00395112" w:rsidRPr="00E91B0C">
        <w:rPr>
          <w:rFonts w:ascii="Garamond" w:hAnsi="Garamond"/>
          <w:szCs w:val="24"/>
          <w:lang w:val="sq-AL"/>
        </w:rPr>
        <w:t xml:space="preserve"> gjithashtu</w:t>
      </w:r>
      <w:r w:rsidR="00E36295">
        <w:rPr>
          <w:rFonts w:ascii="Garamond" w:hAnsi="Garamond"/>
          <w:szCs w:val="24"/>
          <w:lang w:val="sq-AL"/>
        </w:rPr>
        <w:t>,</w:t>
      </w:r>
      <w:r w:rsidR="00395112" w:rsidRPr="00E91B0C">
        <w:rPr>
          <w:rFonts w:ascii="Garamond" w:hAnsi="Garamond"/>
          <w:szCs w:val="24"/>
          <w:lang w:val="sq-AL"/>
        </w:rPr>
        <w:t xml:space="preserve"> i pavlefshëm kur subjekti përdor pronat e shpronësuara ose realizon veprime në mosrespekt</w:t>
      </w:r>
      <w:r w:rsidR="00E36295">
        <w:rPr>
          <w:rFonts w:ascii="Garamond" w:hAnsi="Garamond"/>
          <w:szCs w:val="24"/>
          <w:lang w:val="sq-AL"/>
        </w:rPr>
        <w:t xml:space="preserve">im të qëllimit të shpronësimit </w:t>
      </w:r>
      <w:r w:rsidR="00395112" w:rsidRPr="00E91B0C">
        <w:rPr>
          <w:rFonts w:ascii="Garamond" w:hAnsi="Garamond"/>
          <w:szCs w:val="24"/>
          <w:lang w:val="sq-AL"/>
        </w:rPr>
        <w:t>ose</w:t>
      </w:r>
      <w:r w:rsidR="00E36295">
        <w:rPr>
          <w:rFonts w:ascii="Garamond" w:hAnsi="Garamond"/>
          <w:szCs w:val="24"/>
          <w:lang w:val="sq-AL"/>
        </w:rPr>
        <w:t>,</w:t>
      </w:r>
      <w:r w:rsidR="00395112" w:rsidRPr="00E91B0C">
        <w:rPr>
          <w:rFonts w:ascii="Garamond" w:hAnsi="Garamond"/>
          <w:szCs w:val="24"/>
          <w:lang w:val="sq-AL"/>
        </w:rPr>
        <w:t xml:space="preserve"> kur ai ndryshon qëllimin e synuar të pronave ose të projekteve tashmë të realizuara në to përpara përfundimit të periudhës </w:t>
      </w:r>
      <w:r w:rsidR="00E36295">
        <w:rPr>
          <w:rFonts w:ascii="Garamond" w:hAnsi="Garamond"/>
          <w:szCs w:val="24"/>
          <w:lang w:val="sq-AL"/>
        </w:rPr>
        <w:t>s</w:t>
      </w:r>
      <w:r w:rsidR="00395112" w:rsidRPr="00E91B0C">
        <w:rPr>
          <w:rFonts w:ascii="Garamond" w:hAnsi="Garamond"/>
          <w:szCs w:val="24"/>
          <w:lang w:val="sq-AL"/>
        </w:rPr>
        <w:t xml:space="preserve">ë parashikuar në vendimin e shpronësimit. Një shpronësim konsiderohet i pavlefshëm edhe nëse nuk është bërë asnjë pagesë ose nëse nuk është dhënë asnjë shumë kompensimi në favor të palës së shpronësuar dhe të pronarëve të tjerë sipas </w:t>
      </w:r>
      <w:r w:rsidR="00536F0E" w:rsidRPr="00E91B0C">
        <w:rPr>
          <w:rFonts w:ascii="Garamond" w:hAnsi="Garamond"/>
          <w:szCs w:val="24"/>
          <w:lang w:val="sq-AL"/>
        </w:rPr>
        <w:t>aktit</w:t>
      </w:r>
      <w:r w:rsidR="00395112" w:rsidRPr="00E91B0C">
        <w:rPr>
          <w:rFonts w:ascii="Garamond" w:hAnsi="Garamond"/>
          <w:szCs w:val="24"/>
          <w:lang w:val="sq-AL"/>
        </w:rPr>
        <w:t xml:space="preserve">. Nëse shpronësimi është i pavlefshëm, me anë të një aplikimi nga pronarët respektivë, pronat private </w:t>
      </w:r>
      <w:r w:rsidR="00CF57A3">
        <w:rPr>
          <w:rFonts w:ascii="Garamond" w:hAnsi="Garamond"/>
          <w:szCs w:val="24"/>
          <w:lang w:val="sq-AL"/>
        </w:rPr>
        <w:t>u</w:t>
      </w:r>
      <w:r w:rsidR="00395112" w:rsidRPr="00E91B0C">
        <w:rPr>
          <w:rFonts w:ascii="Garamond" w:hAnsi="Garamond"/>
          <w:szCs w:val="24"/>
          <w:lang w:val="sq-AL"/>
        </w:rPr>
        <w:t xml:space="preserve"> kthehen atyre me të njëjtat të drejta që ata kishin në kohën e shpronësimit. Pronarët konkretë mund të kërkojnë kompensim për dëmin e vuajtur si rezultat i shpronësimit të pavlefshëm.</w:t>
      </w:r>
      <w:r w:rsid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39" w:name="_Toc520459339"/>
      <w:r w:rsidRPr="00E91B0C">
        <w:rPr>
          <w:rFonts w:ascii="Garamond" w:hAnsi="Garamond"/>
          <w:szCs w:val="24"/>
          <w:lang w:val="sq-AL"/>
        </w:rPr>
        <w:t>F.</w:t>
      </w:r>
      <w:r w:rsidR="00E91B0C">
        <w:rPr>
          <w:rFonts w:ascii="Garamond" w:hAnsi="Garamond"/>
          <w:szCs w:val="24"/>
          <w:lang w:val="sq-AL"/>
        </w:rPr>
        <w:t xml:space="preserve"> </w:t>
      </w:r>
      <w:r w:rsidRPr="00E91B0C">
        <w:rPr>
          <w:rFonts w:ascii="Garamond" w:hAnsi="Garamond"/>
          <w:szCs w:val="24"/>
          <w:lang w:val="sq-AL"/>
        </w:rPr>
        <w:t xml:space="preserve">Akte të </w:t>
      </w:r>
      <w:r w:rsidR="00536F0E" w:rsidRPr="00E91B0C">
        <w:rPr>
          <w:rFonts w:ascii="Garamond" w:hAnsi="Garamond"/>
          <w:szCs w:val="24"/>
          <w:lang w:val="sq-AL"/>
        </w:rPr>
        <w:t>tjer</w:t>
      </w:r>
      <w:bookmarkEnd w:id="39"/>
      <w:r w:rsidR="00536F0E">
        <w:rPr>
          <w:rFonts w:ascii="Garamond" w:hAnsi="Garamond"/>
          <w:szCs w:val="24"/>
          <w:lang w:val="sq-AL"/>
        </w:rPr>
        <w:t>a</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64</w:t>
      </w:r>
      <w:r w:rsidR="00395112" w:rsidRPr="00E91B0C">
        <w:rPr>
          <w:rFonts w:ascii="Garamond" w:hAnsi="Garamond"/>
          <w:szCs w:val="24"/>
          <w:lang w:val="sq-AL"/>
        </w:rPr>
        <w:t xml:space="preserve">. Sipas </w:t>
      </w:r>
      <w:r w:rsidR="00A3281A" w:rsidRPr="00E91B0C">
        <w:rPr>
          <w:rFonts w:ascii="Garamond" w:hAnsi="Garamond"/>
          <w:szCs w:val="24"/>
          <w:lang w:val="sq-AL"/>
        </w:rPr>
        <w:t xml:space="preserve">aktit shtetëror të përgjegjësisë jokontraktuale </w:t>
      </w:r>
      <w:r w:rsidR="00395112" w:rsidRPr="00E91B0C">
        <w:rPr>
          <w:rFonts w:ascii="Garamond" w:hAnsi="Garamond"/>
          <w:szCs w:val="24"/>
          <w:lang w:val="sq-AL"/>
        </w:rPr>
        <w:t>(</w:t>
      </w:r>
      <w:r w:rsidR="00C0025C" w:rsidRPr="00E91B0C">
        <w:rPr>
          <w:rFonts w:ascii="Garamond" w:hAnsi="Garamond"/>
          <w:szCs w:val="24"/>
          <w:lang w:val="sq-AL"/>
        </w:rPr>
        <w:t>ligji nr</w:t>
      </w:r>
      <w:r w:rsidR="00395112" w:rsidRPr="00E91B0C">
        <w:rPr>
          <w:rFonts w:ascii="Garamond" w:hAnsi="Garamond"/>
          <w:szCs w:val="24"/>
          <w:lang w:val="sq-AL"/>
        </w:rPr>
        <w:t>. 8510</w:t>
      </w:r>
      <w:r w:rsidR="00C0025C">
        <w:rPr>
          <w:rFonts w:ascii="Garamond" w:hAnsi="Garamond"/>
          <w:szCs w:val="24"/>
          <w:lang w:val="sq-AL"/>
        </w:rPr>
        <w:t>,</w:t>
      </w:r>
      <w:r w:rsidR="00395112" w:rsidRPr="00E91B0C">
        <w:rPr>
          <w:rFonts w:ascii="Garamond" w:hAnsi="Garamond"/>
          <w:szCs w:val="24"/>
          <w:lang w:val="sq-AL"/>
        </w:rPr>
        <w:t xml:space="preserve"> i datës 15 korrik 1999</w:t>
      </w:r>
      <w:r w:rsidR="00C0025C">
        <w:rPr>
          <w:rFonts w:ascii="Garamond" w:hAnsi="Garamond"/>
          <w:szCs w:val="24"/>
          <w:lang w:val="sq-AL"/>
        </w:rPr>
        <w:t>,</w:t>
      </w:r>
      <w:r w:rsidR="00395112" w:rsidRPr="00E91B0C">
        <w:rPr>
          <w:rFonts w:ascii="Garamond" w:hAnsi="Garamond"/>
          <w:szCs w:val="24"/>
          <w:lang w:val="sq-AL"/>
        </w:rPr>
        <w:t xml:space="preserve"> “Mbi përgjegjësinë jokontraktuale të autoriteteve administrative shtetërore”), një subjekt shtetëror ka detyrimin të </w:t>
      </w:r>
      <w:r w:rsidR="00C0025C">
        <w:rPr>
          <w:rFonts w:ascii="Garamond" w:hAnsi="Garamond"/>
          <w:szCs w:val="24"/>
          <w:lang w:val="sq-AL"/>
        </w:rPr>
        <w:t>kompensojë dëmin monetar dhe jo</w:t>
      </w:r>
      <w:r w:rsidR="00395112" w:rsidRPr="00E91B0C">
        <w:rPr>
          <w:rFonts w:ascii="Garamond" w:hAnsi="Garamond"/>
          <w:szCs w:val="24"/>
          <w:lang w:val="sq-AL"/>
        </w:rPr>
        <w:t>monetar të shkaktuar palëve të tret</w:t>
      </w:r>
      <w:r w:rsidR="00C0025C" w:rsidRPr="00E91B0C">
        <w:rPr>
          <w:rFonts w:ascii="Garamond" w:hAnsi="Garamond"/>
          <w:szCs w:val="24"/>
          <w:lang w:val="sq-AL"/>
        </w:rPr>
        <w:t>a</w:t>
      </w:r>
      <w:r w:rsidR="00395112" w:rsidRPr="00E91B0C">
        <w:rPr>
          <w:rFonts w:ascii="Garamond" w:hAnsi="Garamond"/>
          <w:szCs w:val="24"/>
          <w:lang w:val="sq-AL"/>
        </w:rPr>
        <w:t xml:space="preserve"> gjatë ushtrimit të funksioneve të tij publike.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65. Seksioni 14 i </w:t>
      </w:r>
      <w:r w:rsidR="00536F0E" w:rsidRPr="00E91B0C">
        <w:rPr>
          <w:rFonts w:ascii="Garamond" w:hAnsi="Garamond"/>
          <w:szCs w:val="24"/>
          <w:lang w:val="sq-AL"/>
        </w:rPr>
        <w:t xml:space="preserve">aktit për inspektimin e ndërtesave </w:t>
      </w:r>
      <w:r w:rsidRPr="00E91B0C">
        <w:rPr>
          <w:rFonts w:ascii="Garamond" w:hAnsi="Garamond"/>
          <w:szCs w:val="24"/>
          <w:lang w:val="sq-AL"/>
        </w:rPr>
        <w:t>(</w:t>
      </w:r>
      <w:r w:rsidR="00C0025C" w:rsidRPr="00E91B0C">
        <w:rPr>
          <w:rFonts w:ascii="Garamond" w:hAnsi="Garamond"/>
          <w:szCs w:val="24"/>
          <w:lang w:val="sq-AL"/>
        </w:rPr>
        <w:t xml:space="preserve">ligji </w:t>
      </w:r>
      <w:r w:rsidRPr="00E91B0C">
        <w:rPr>
          <w:rFonts w:ascii="Garamond" w:hAnsi="Garamond"/>
          <w:szCs w:val="24"/>
          <w:lang w:val="sq-AL"/>
        </w:rPr>
        <w:t xml:space="preserve">nr. 9780, i datës 16 </w:t>
      </w:r>
      <w:r w:rsidR="00C0025C" w:rsidRPr="00E91B0C">
        <w:rPr>
          <w:rFonts w:ascii="Garamond" w:hAnsi="Garamond"/>
          <w:szCs w:val="24"/>
          <w:lang w:val="sq-AL"/>
        </w:rPr>
        <w:t xml:space="preserve">korrik </w:t>
      </w:r>
      <w:r w:rsidRPr="00E91B0C">
        <w:rPr>
          <w:rFonts w:ascii="Garamond" w:hAnsi="Garamond"/>
          <w:szCs w:val="24"/>
          <w:lang w:val="sq-AL"/>
        </w:rPr>
        <w:t>2007</w:t>
      </w:r>
      <w:r w:rsidR="00C0025C">
        <w:rPr>
          <w:rFonts w:ascii="Garamond" w:hAnsi="Garamond"/>
          <w:szCs w:val="24"/>
          <w:lang w:val="sq-AL"/>
        </w:rPr>
        <w:t>,</w:t>
      </w:r>
      <w:r w:rsidRPr="00E91B0C">
        <w:rPr>
          <w:rFonts w:ascii="Garamond" w:hAnsi="Garamond"/>
          <w:szCs w:val="24"/>
          <w:lang w:val="sq-AL"/>
        </w:rPr>
        <w:t xml:space="preserve"> “Për inspektimin e ndërtesave”), në periudhën në fjalë, parashikonte se apelimi kundër një vendimi të INUK</w:t>
      </w:r>
      <w:r w:rsidR="001C77BD">
        <w:rPr>
          <w:rFonts w:ascii="Garamond" w:hAnsi="Garamond"/>
          <w:szCs w:val="24"/>
          <w:lang w:val="sq-AL"/>
        </w:rPr>
        <w:t>-ut</w:t>
      </w:r>
      <w:r w:rsidRPr="00E91B0C">
        <w:rPr>
          <w:rFonts w:ascii="Garamond" w:hAnsi="Garamond"/>
          <w:szCs w:val="24"/>
          <w:lang w:val="sq-AL"/>
        </w:rPr>
        <w:t xml:space="preserve"> dhe INU</w:t>
      </w:r>
      <w:r w:rsidR="001C77BD">
        <w:rPr>
          <w:rFonts w:ascii="Garamond" w:hAnsi="Garamond"/>
          <w:szCs w:val="24"/>
          <w:lang w:val="sq-AL"/>
        </w:rPr>
        <w:t>-së</w:t>
      </w:r>
      <w:r w:rsidRPr="00E91B0C">
        <w:rPr>
          <w:rFonts w:ascii="Garamond" w:hAnsi="Garamond"/>
          <w:szCs w:val="24"/>
          <w:lang w:val="sq-AL"/>
        </w:rPr>
        <w:t xml:space="preserve">, për marrjen e masave urgjente ose për lëshimin e sanksioneve administrative duhet paraqitur në gjykatë. Në rastin kur </w:t>
      </w:r>
      <w:r w:rsidR="00781175" w:rsidRPr="00E91B0C">
        <w:rPr>
          <w:rFonts w:ascii="Garamond" w:hAnsi="Garamond"/>
          <w:szCs w:val="24"/>
          <w:lang w:val="sq-AL"/>
        </w:rPr>
        <w:t xml:space="preserve">Gjykata </w:t>
      </w:r>
      <w:r w:rsidRPr="00E91B0C">
        <w:rPr>
          <w:rFonts w:ascii="Garamond" w:hAnsi="Garamond"/>
          <w:szCs w:val="24"/>
          <w:lang w:val="sq-AL"/>
        </w:rPr>
        <w:t>e pranon kërkesën dhe vendimi bëhet i formës së prerë, pala e dëmtua</w:t>
      </w:r>
      <w:r w:rsidR="00CF57A3">
        <w:rPr>
          <w:rFonts w:ascii="Garamond" w:hAnsi="Garamond"/>
          <w:szCs w:val="24"/>
          <w:lang w:val="sq-AL"/>
        </w:rPr>
        <w:t>r</w:t>
      </w:r>
      <w:r w:rsidRPr="00E91B0C">
        <w:rPr>
          <w:rFonts w:ascii="Garamond" w:hAnsi="Garamond"/>
          <w:szCs w:val="24"/>
          <w:lang w:val="sq-AL"/>
        </w:rPr>
        <w:t xml:space="preserve"> lejohej t’i kërkonte INUK-ut ose INU</w:t>
      </w:r>
      <w:r w:rsidR="001C77BD">
        <w:rPr>
          <w:rFonts w:ascii="Garamond" w:hAnsi="Garamond"/>
          <w:szCs w:val="24"/>
          <w:lang w:val="sq-AL"/>
        </w:rPr>
        <w:t>-së</w:t>
      </w:r>
      <w:r w:rsidRPr="00E91B0C">
        <w:rPr>
          <w:rFonts w:ascii="Garamond" w:hAnsi="Garamond"/>
          <w:szCs w:val="24"/>
          <w:lang w:val="sq-AL"/>
        </w:rPr>
        <w:t xml:space="preserve"> (cili</w:t>
      </w:r>
      <w:r w:rsidR="00CF57A3">
        <w:rPr>
          <w:rFonts w:ascii="Garamond" w:hAnsi="Garamond"/>
          <w:szCs w:val="24"/>
          <w:lang w:val="sq-AL"/>
        </w:rPr>
        <w:t>t</w:t>
      </w:r>
      <w:r w:rsidRPr="00E91B0C">
        <w:rPr>
          <w:rFonts w:ascii="Garamond" w:hAnsi="Garamond"/>
          <w:szCs w:val="24"/>
          <w:lang w:val="sq-AL"/>
        </w:rPr>
        <w:t xml:space="preserve">do prej tyre që lëshoi vendimin) të akordonte kompensim për dëmin e shkaktuar.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66. Akti i </w:t>
      </w:r>
      <w:r w:rsidR="001C77BD" w:rsidRPr="00E91B0C">
        <w:rPr>
          <w:rFonts w:ascii="Garamond" w:hAnsi="Garamond"/>
          <w:szCs w:val="24"/>
          <w:lang w:val="sq-AL"/>
        </w:rPr>
        <w:t xml:space="preserve">parandalimit dhe </w:t>
      </w:r>
      <w:r w:rsidR="00934C9C">
        <w:rPr>
          <w:rFonts w:ascii="Garamond" w:hAnsi="Garamond"/>
          <w:szCs w:val="24"/>
          <w:lang w:val="sq-AL"/>
        </w:rPr>
        <w:t xml:space="preserve">i </w:t>
      </w:r>
      <w:r w:rsidR="001C77BD" w:rsidRPr="00E91B0C">
        <w:rPr>
          <w:rFonts w:ascii="Garamond" w:hAnsi="Garamond"/>
          <w:szCs w:val="24"/>
          <w:lang w:val="sq-AL"/>
        </w:rPr>
        <w:t xml:space="preserve">shlyerjes së borxheve (vendim </w:t>
      </w:r>
      <w:r w:rsidRPr="00E91B0C">
        <w:rPr>
          <w:rFonts w:ascii="Garamond" w:hAnsi="Garamond"/>
          <w:szCs w:val="24"/>
          <w:lang w:val="sq-AL"/>
        </w:rPr>
        <w:t xml:space="preserve">i Këshillit të Ministrave nr. 50, i datës 5 shkurt 2014, “Për miratimin e strategjisë për parandalimin dhe shlyerjen e borxheve dhe plani i veprimit”) parashikon procedurën që duhet të ndjekë </w:t>
      </w:r>
      <w:r w:rsidR="0018461E" w:rsidRPr="00E91B0C">
        <w:rPr>
          <w:rFonts w:ascii="Garamond" w:hAnsi="Garamond"/>
          <w:szCs w:val="24"/>
          <w:lang w:val="sq-AL"/>
        </w:rPr>
        <w:t xml:space="preserve">qeveria shqiptare </w:t>
      </w:r>
      <w:r w:rsidRPr="00E91B0C">
        <w:rPr>
          <w:rFonts w:ascii="Garamond" w:hAnsi="Garamond"/>
          <w:szCs w:val="24"/>
          <w:lang w:val="sq-AL"/>
        </w:rPr>
        <w:t>për shlyerjen e borxheve financiare të qeverisë qendrore, si edhe masat që duhen ndërmarrë për parandalimin e akumulimit të borxhit financiar në të ardhmen. Një nga masat është ndryshimi i legjislacionit të caktuar të tillë</w:t>
      </w:r>
      <w:r w:rsidR="00934C9C">
        <w:rPr>
          <w:rFonts w:ascii="Garamond" w:hAnsi="Garamond"/>
          <w:szCs w:val="24"/>
          <w:lang w:val="sq-AL"/>
        </w:rPr>
        <w:t>,</w:t>
      </w:r>
      <w:r w:rsidRPr="00E91B0C">
        <w:rPr>
          <w:rFonts w:ascii="Garamond" w:hAnsi="Garamond"/>
          <w:szCs w:val="24"/>
          <w:lang w:val="sq-AL"/>
        </w:rPr>
        <w:t xml:space="preserve"> si ligjet për menaxhimin e buxhetit, menaxhimi dhe kontrolli financiar, prokurimi dhe një sërë aktesh nënligjor</w:t>
      </w:r>
      <w:r w:rsidR="00934C9C">
        <w:rPr>
          <w:rFonts w:ascii="Garamond" w:hAnsi="Garamond"/>
          <w:szCs w:val="24"/>
          <w:lang w:val="sq-AL"/>
        </w:rPr>
        <w:t>e</w:t>
      </w:r>
      <w:r w:rsidRPr="00E91B0C">
        <w:rPr>
          <w:rFonts w:ascii="Garamond" w:hAnsi="Garamond"/>
          <w:szCs w:val="24"/>
          <w:lang w:val="sq-AL"/>
        </w:rPr>
        <w:t xml:space="preserve">. Sipas </w:t>
      </w:r>
      <w:r w:rsidR="00536F0E" w:rsidRPr="00E91B0C">
        <w:rPr>
          <w:rFonts w:ascii="Garamond" w:hAnsi="Garamond"/>
          <w:szCs w:val="24"/>
          <w:lang w:val="sq-AL"/>
        </w:rPr>
        <w:t>aktit</w:t>
      </w:r>
      <w:r w:rsidRPr="00E91B0C">
        <w:rPr>
          <w:rFonts w:ascii="Garamond" w:hAnsi="Garamond"/>
          <w:szCs w:val="24"/>
          <w:lang w:val="sq-AL"/>
        </w:rPr>
        <w:t xml:space="preserve">, detyrimet e papaguara financiare përfshijnë detyrimet të cilat rrjedhin nga vendimet gjyqësore të formës së prerë dhe kompensimi për interesin publik.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67. Vendimi i Këshillit të Ministrave “Për metodat e vlerësimit për pasuritë e paluajtsh</w:t>
      </w:r>
      <w:r w:rsidR="00934C9C">
        <w:rPr>
          <w:rFonts w:ascii="Garamond" w:hAnsi="Garamond"/>
          <w:szCs w:val="24"/>
          <w:lang w:val="sq-AL"/>
        </w:rPr>
        <w:t>me</w:t>
      </w:r>
      <w:r w:rsidRPr="00E91B0C">
        <w:rPr>
          <w:rFonts w:ascii="Garamond" w:hAnsi="Garamond"/>
          <w:szCs w:val="24"/>
          <w:lang w:val="sq-AL"/>
        </w:rPr>
        <w:t xml:space="preserve"> në Shqipëri”, nr. 658, i datës 26 shtator 2012, parashikon se për vlerësimin e pronave të paluajtshme, autoritetet duhet të kenë në konsideratë, midis të tjerash, mbrojtjen e </w:t>
      </w:r>
      <w:r w:rsidR="008A7DCB">
        <w:rPr>
          <w:rFonts w:ascii="Garamond" w:hAnsi="Garamond"/>
          <w:szCs w:val="24"/>
          <w:lang w:val="sq-AL"/>
        </w:rPr>
        <w:t>s</w:t>
      </w:r>
      <w:r w:rsidRPr="00E91B0C">
        <w:rPr>
          <w:rFonts w:ascii="Garamond" w:hAnsi="Garamond"/>
          <w:szCs w:val="24"/>
          <w:lang w:val="sq-AL"/>
        </w:rPr>
        <w:t xml:space="preserve">ë drejtës mbi pronën, të drejtën e shpronësimit në këmbim të kompensimit të drejtë, parimin e ligjshmërisë, standardet ndërkombëtare për vlerësimin e pronave të paluajtshme, bazuar në çmimin e tregut, llojin e pronës dhe qëllimin e përdorimit të saj. Përllogaritja e vlerës së pronës bëhet në përputhje me çmimin e kontratave të shitjes, të cilat kanë në konsideratë çmimin e tregut sipas llojit të pronës dhe qëllimit të përdorimit të saj. </w:t>
      </w:r>
      <w:r w:rsidRPr="00E91B0C">
        <w:rPr>
          <w:rFonts w:ascii="Garamond" w:hAnsi="Garamond"/>
          <w:szCs w:val="24"/>
          <w:lang w:val="sq-AL"/>
        </w:rPr>
        <w:lastRenderedPageBreak/>
        <w:t xml:space="preserve">Çmimi i tregut përcaktohet nga të dhënat zyrtare të kontratave të shitjes të regjistruara në ZRRPP.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40" w:name="_Toc520459340"/>
      <w:r w:rsidRPr="00E91B0C">
        <w:rPr>
          <w:rFonts w:ascii="Garamond" w:hAnsi="Garamond"/>
          <w:szCs w:val="24"/>
          <w:lang w:val="sq-AL"/>
        </w:rPr>
        <w:t>G.</w:t>
      </w:r>
      <w:r w:rsidR="00E91B0C">
        <w:rPr>
          <w:rFonts w:ascii="Garamond" w:hAnsi="Garamond"/>
          <w:szCs w:val="24"/>
          <w:lang w:val="sq-AL"/>
        </w:rPr>
        <w:t xml:space="preserve"> </w:t>
      </w:r>
      <w:r w:rsidRPr="00E91B0C">
        <w:rPr>
          <w:rFonts w:ascii="Garamond" w:hAnsi="Garamond"/>
          <w:szCs w:val="24"/>
          <w:lang w:val="sq-AL"/>
        </w:rPr>
        <w:t>Praktika gjyqësore respektive e brendshme</w:t>
      </w:r>
      <w:bookmarkEnd w:id="40"/>
      <w:r w:rsidRPr="00E91B0C">
        <w:rPr>
          <w:rFonts w:ascii="Garamond" w:hAnsi="Garamond"/>
          <w:szCs w:val="24"/>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68</w:t>
      </w:r>
      <w:r w:rsidR="00395112" w:rsidRPr="00E91B0C">
        <w:rPr>
          <w:rFonts w:ascii="Garamond" w:hAnsi="Garamond"/>
          <w:szCs w:val="24"/>
          <w:lang w:val="sq-AL"/>
        </w:rPr>
        <w:t>. Gjykata Kushtetuese ka rikonfirmuar praktikën e saj të gjatë në gjetjen e shkeljeve në të drejtat e paditësve për moszbatimin e vendimeve gjyqësore të formës së prer</w:t>
      </w:r>
      <w:r w:rsidR="00FB5012">
        <w:rPr>
          <w:rFonts w:ascii="Garamond" w:hAnsi="Garamond"/>
          <w:szCs w:val="24"/>
          <w:lang w:val="sq-AL"/>
        </w:rPr>
        <w:t>ë</w:t>
      </w:r>
      <w:r w:rsidR="00395112" w:rsidRPr="00E91B0C">
        <w:rPr>
          <w:rFonts w:ascii="Garamond" w:hAnsi="Garamond"/>
          <w:szCs w:val="24"/>
          <w:lang w:val="sq-AL"/>
        </w:rPr>
        <w:t xml:space="preserve"> të brendshme</w:t>
      </w:r>
      <w:r w:rsidR="00E91B0C">
        <w:rPr>
          <w:rFonts w:ascii="Garamond" w:hAnsi="Garamond"/>
          <w:szCs w:val="24"/>
          <w:lang w:val="sq-AL"/>
        </w:rPr>
        <w:t xml:space="preserve"> </w:t>
      </w:r>
      <w:r w:rsidR="00395112" w:rsidRPr="00E91B0C">
        <w:rPr>
          <w:rFonts w:ascii="Garamond" w:hAnsi="Garamond"/>
          <w:szCs w:val="24"/>
          <w:lang w:val="sq-AL"/>
        </w:rPr>
        <w:t xml:space="preserve">(vendimet nr. 63/17 i datës 31 korrik 2017, 50/17 i datës 3 korrik 2017, 35/17 i datës 18 prill 2017, 25/17 i datës 27 mars 2017, 89/16 i datës 30 dhjetor 2016, 79/16 i datës 27 dhjetor 2016, 66/16 i datës 7 nëntor 2016) dhe kur procedimet tejzgjaten (vendimet nr. 51/17 i datës 3 </w:t>
      </w:r>
      <w:r w:rsidR="00341051" w:rsidRPr="00E91B0C">
        <w:rPr>
          <w:rFonts w:ascii="Garamond" w:hAnsi="Garamond"/>
          <w:szCs w:val="24"/>
          <w:lang w:val="sq-AL"/>
        </w:rPr>
        <w:t xml:space="preserve">korrik </w:t>
      </w:r>
      <w:r w:rsidR="00395112" w:rsidRPr="00E91B0C">
        <w:rPr>
          <w:rFonts w:ascii="Garamond" w:hAnsi="Garamond"/>
          <w:szCs w:val="24"/>
          <w:lang w:val="sq-AL"/>
        </w:rPr>
        <w:t xml:space="preserve">2017, 42/17 i datës 25 maj 2017, 32/17 i datës 30 mars 2017, 22/17 i datës 20 mars 2017, 36/16 i datës 27 qershor 2016, 14/16 i datës 10 mars 2016). Paditësve nuk iu akordua kompensim në vendimet e mësipërme, si edhe nuk u parashikua asnjë formë korrigjimi në lidhje me moszbatimin e vazhdueshëm ose kohëzgjatjen e procedimeve. </w:t>
      </w:r>
    </w:p>
    <w:p w:rsidR="00395112" w:rsidRPr="00E91B0C" w:rsidRDefault="00395112" w:rsidP="00395112">
      <w:pPr>
        <w:pStyle w:val="ECHRTitle1"/>
        <w:keepNext w:val="0"/>
        <w:keepLines w:val="0"/>
        <w:widowControl w:val="0"/>
        <w:spacing w:before="0" w:after="0"/>
        <w:ind w:firstLine="284"/>
        <w:rPr>
          <w:rFonts w:ascii="Garamond" w:hAnsi="Garamond"/>
          <w:sz w:val="24"/>
          <w:szCs w:val="24"/>
          <w:lang w:val="sq-AL"/>
        </w:rPr>
      </w:pPr>
      <w:bookmarkStart w:id="41" w:name="_Toc520459341"/>
      <w:r w:rsidRPr="00E91B0C">
        <w:rPr>
          <w:rFonts w:ascii="Garamond" w:hAnsi="Garamond"/>
          <w:sz w:val="24"/>
          <w:szCs w:val="24"/>
          <w:lang w:val="sq-AL"/>
        </w:rPr>
        <w:t>LIGJI</w:t>
      </w:r>
      <w:bookmarkEnd w:id="41"/>
    </w:p>
    <w:p w:rsidR="00395112" w:rsidRPr="00E91B0C" w:rsidRDefault="00395112" w:rsidP="00395112">
      <w:pPr>
        <w:pStyle w:val="ECHRHeading1"/>
        <w:keepNext w:val="0"/>
        <w:keepLines w:val="0"/>
        <w:widowControl w:val="0"/>
        <w:spacing w:before="0" w:after="0"/>
        <w:ind w:left="0" w:firstLine="284"/>
        <w:rPr>
          <w:rFonts w:ascii="Garamond" w:hAnsi="Garamond"/>
          <w:szCs w:val="24"/>
          <w:lang w:val="sq-AL"/>
        </w:rPr>
      </w:pPr>
      <w:bookmarkStart w:id="42" w:name="_Toc520459342"/>
      <w:r w:rsidRPr="00E91B0C">
        <w:rPr>
          <w:rFonts w:ascii="Garamond" w:hAnsi="Garamond"/>
          <w:szCs w:val="24"/>
          <w:lang w:val="sq-AL"/>
        </w:rPr>
        <w:t>I.</w:t>
      </w:r>
      <w:r w:rsidR="00E91B0C">
        <w:rPr>
          <w:rFonts w:ascii="Garamond" w:hAnsi="Garamond"/>
          <w:szCs w:val="24"/>
          <w:lang w:val="sq-AL"/>
        </w:rPr>
        <w:t xml:space="preserve"> </w:t>
      </w:r>
      <w:r w:rsidRPr="00E91B0C">
        <w:rPr>
          <w:rFonts w:ascii="Garamond" w:hAnsi="Garamond"/>
          <w:szCs w:val="24"/>
          <w:lang w:val="sq-AL"/>
        </w:rPr>
        <w:t>SHKELJE E PRETENDUAR E NENIT 6</w:t>
      </w:r>
      <w:r w:rsidR="008B2E1D">
        <w:rPr>
          <w:rFonts w:ascii="Garamond" w:hAnsi="Garamond"/>
          <w:szCs w:val="24"/>
          <w:lang w:val="sq-AL"/>
        </w:rPr>
        <w:t>§</w:t>
      </w:r>
      <w:r w:rsidRPr="00E91B0C">
        <w:rPr>
          <w:rFonts w:ascii="Garamond" w:hAnsi="Garamond"/>
          <w:szCs w:val="24"/>
          <w:lang w:val="sq-AL"/>
        </w:rPr>
        <w:t xml:space="preserve">1 I KONSIDERUAR </w:t>
      </w:r>
      <w:r w:rsidR="007A6F4A">
        <w:rPr>
          <w:rFonts w:ascii="Garamond" w:hAnsi="Garamond"/>
          <w:szCs w:val="24"/>
          <w:lang w:val="sq-AL"/>
        </w:rPr>
        <w:t xml:space="preserve">I </w:t>
      </w:r>
      <w:r w:rsidRPr="00C0025C">
        <w:rPr>
          <w:rFonts w:ascii="Garamond" w:hAnsi="Garamond"/>
          <w:szCs w:val="24"/>
          <w:lang w:val="sq-AL"/>
        </w:rPr>
        <w:t>M</w:t>
      </w:r>
      <w:r w:rsidR="001C77BD">
        <w:rPr>
          <w:rFonts w:ascii="Garamond" w:hAnsi="Garamond"/>
          <w:szCs w:val="24"/>
          <w:lang w:val="sq-AL"/>
        </w:rPr>
        <w:t>Ë</w:t>
      </w:r>
      <w:r w:rsidRPr="00C0025C">
        <w:rPr>
          <w:rFonts w:ascii="Garamond" w:hAnsi="Garamond"/>
          <w:szCs w:val="24"/>
          <w:lang w:val="sq-AL"/>
        </w:rPr>
        <w:t>V</w:t>
      </w:r>
      <w:r w:rsidR="00C0025C" w:rsidRPr="00C0025C">
        <w:rPr>
          <w:rFonts w:ascii="Garamond" w:hAnsi="Garamond"/>
          <w:szCs w:val="24"/>
          <w:lang w:val="sq-AL"/>
        </w:rPr>
        <w:t>E</w:t>
      </w:r>
      <w:r w:rsidRPr="00C0025C">
        <w:rPr>
          <w:rFonts w:ascii="Garamond" w:hAnsi="Garamond"/>
          <w:szCs w:val="24"/>
          <w:lang w:val="sq-AL"/>
        </w:rPr>
        <w:t xml:space="preserve">ÇANTË </w:t>
      </w:r>
      <w:r w:rsidRPr="001C77BD">
        <w:rPr>
          <w:rFonts w:ascii="Garamond" w:hAnsi="Garamond"/>
          <w:szCs w:val="24"/>
          <w:lang w:val="sq-AL"/>
        </w:rPr>
        <w:t>D</w:t>
      </w:r>
      <w:r w:rsidRPr="00E91B0C">
        <w:rPr>
          <w:rFonts w:ascii="Garamond" w:hAnsi="Garamond"/>
          <w:szCs w:val="24"/>
          <w:lang w:val="sq-AL"/>
        </w:rPr>
        <w:t>HE SE BASHKU ME NENIN 13 TË KONVENTËS</w:t>
      </w:r>
      <w:bookmarkEnd w:id="42"/>
      <w:r w:rsidRPr="00E91B0C">
        <w:rPr>
          <w:rFonts w:ascii="Garamond" w:hAnsi="Garamond"/>
          <w:szCs w:val="24"/>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69</w:t>
      </w:r>
      <w:r w:rsidR="00395112" w:rsidRPr="00E91B0C">
        <w:rPr>
          <w:rFonts w:ascii="Garamond" w:hAnsi="Garamond"/>
          <w:szCs w:val="24"/>
          <w:lang w:val="sq-AL"/>
        </w:rPr>
        <w:t xml:space="preserve">. Kërkuesit pretendonin se kishte pasur një shkelje të </w:t>
      </w:r>
      <w:r w:rsidR="00C0025C" w:rsidRPr="00E91B0C">
        <w:rPr>
          <w:rFonts w:ascii="Garamond" w:hAnsi="Garamond"/>
          <w:szCs w:val="24"/>
          <w:lang w:val="sq-AL"/>
        </w:rPr>
        <w:t xml:space="preserve">nenit </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 xml:space="preserve">1 të Konventës, për shkak se autoritetet kishin neglizhuar urdhrin e përkohshëm, të datës 7 nëntor 2013, duke pezulluar ekzekutimin e urdhrit të shembjes. Më tej, ata parashtruan se mosrespektimi i urdhrit të përkohshëm nga ana e autoriteteve kishte shkaktuar një shkelje të të drejtave të tyre procedurale dhe i kishte penguar që meritat e ankesës së tyre të shqyrtoheshin në mënyrën e duhur në procedimet përpara Gjykatës së Rrethit. Gjithashtu, ata u ankuan për një mungesë të një mjeti efikas për këtë situatë.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Neni 6</w:t>
      </w:r>
      <w:r w:rsidR="008B2E1D">
        <w:rPr>
          <w:rFonts w:ascii="Garamond" w:hAnsi="Garamond"/>
          <w:szCs w:val="24"/>
          <w:lang w:val="sq-AL"/>
        </w:rPr>
        <w:t>§</w:t>
      </w:r>
      <w:r w:rsidRPr="00E91B0C">
        <w:rPr>
          <w:rFonts w:ascii="Garamond" w:hAnsi="Garamond"/>
          <w:szCs w:val="24"/>
          <w:lang w:val="sq-AL"/>
        </w:rPr>
        <w:t xml:space="preserve">1 i Konventës, për sa ka të bëjë me situatën, pohon se: </w:t>
      </w:r>
    </w:p>
    <w:p w:rsidR="00395112" w:rsidRPr="003F32D0" w:rsidRDefault="00395112" w:rsidP="00395112">
      <w:pPr>
        <w:pStyle w:val="JuPara"/>
        <w:widowControl w:val="0"/>
        <w:rPr>
          <w:rFonts w:ascii="Garamond" w:hAnsi="Garamond"/>
          <w:sz w:val="22"/>
          <w:lang w:val="sq-AL"/>
        </w:rPr>
      </w:pPr>
      <w:r w:rsidRPr="003F32D0">
        <w:rPr>
          <w:rFonts w:ascii="Garamond" w:hAnsi="Garamond"/>
          <w:sz w:val="22"/>
          <w:lang w:val="sq-AL"/>
        </w:rPr>
        <w:t xml:space="preserve">“Në përcaktimin e të drejtave dhe detyrimeve të tij civile </w:t>
      </w:r>
      <w:r w:rsidR="001073BE" w:rsidRPr="003F32D0">
        <w:rPr>
          <w:rFonts w:ascii="Garamond" w:hAnsi="Garamond"/>
          <w:sz w:val="22"/>
          <w:lang w:val="sq-AL"/>
        </w:rPr>
        <w:t>...</w:t>
      </w:r>
      <w:r w:rsidRPr="003F32D0">
        <w:rPr>
          <w:rFonts w:ascii="Garamond" w:hAnsi="Garamond"/>
          <w:sz w:val="22"/>
          <w:lang w:val="sq-AL"/>
        </w:rPr>
        <w:t xml:space="preserve">, çdo person ka të drejtë që çështja e tij të dëgjohet drejtësisht, </w:t>
      </w:r>
      <w:r w:rsidR="001073BE" w:rsidRPr="003F32D0">
        <w:rPr>
          <w:rFonts w:ascii="Garamond" w:hAnsi="Garamond"/>
          <w:sz w:val="22"/>
          <w:lang w:val="sq-AL"/>
        </w:rPr>
        <w:t>...</w:t>
      </w:r>
      <w:r w:rsidRPr="003F32D0">
        <w:rPr>
          <w:rFonts w:ascii="Garamond" w:hAnsi="Garamond"/>
          <w:sz w:val="22"/>
          <w:lang w:val="sq-AL"/>
        </w:rPr>
        <w:t xml:space="preserve"> nga një gjykatë </w:t>
      </w:r>
      <w:r w:rsidR="001073BE" w:rsidRPr="003F32D0">
        <w:rPr>
          <w:rFonts w:ascii="Garamond" w:hAnsi="Garamond"/>
          <w:sz w:val="22"/>
          <w:lang w:val="sq-AL"/>
        </w:rPr>
        <w:t>...</w:t>
      </w:r>
      <w:r w:rsidRPr="003F32D0">
        <w:rPr>
          <w:rFonts w:ascii="Garamond" w:hAnsi="Garamond"/>
          <w:sz w:val="22"/>
          <w:lang w:val="sq-AL"/>
        </w:rPr>
        <w:t>”</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Neni 13 i Konventës parashikon: </w:t>
      </w:r>
    </w:p>
    <w:p w:rsidR="000507EB" w:rsidRPr="00922378" w:rsidRDefault="00395112" w:rsidP="00922378">
      <w:pPr>
        <w:pStyle w:val="ECHRParaQuote"/>
        <w:widowControl w:val="0"/>
        <w:spacing w:before="0" w:after="0"/>
        <w:ind w:left="0" w:firstLine="284"/>
        <w:rPr>
          <w:rFonts w:ascii="Garamond" w:hAnsi="Garamond"/>
          <w:spacing w:val="-4"/>
          <w:sz w:val="22"/>
          <w:lang w:val="sq-AL"/>
        </w:rPr>
      </w:pPr>
      <w:r w:rsidRPr="000507EB">
        <w:rPr>
          <w:rFonts w:ascii="Garamond" w:hAnsi="Garamond"/>
          <w:spacing w:val="-4"/>
          <w:sz w:val="22"/>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bookmarkStart w:id="43" w:name="_Toc520459343"/>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Pranueshmëria</w:t>
      </w:r>
      <w:bookmarkEnd w:id="43"/>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44" w:name="_Toc520459344"/>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Nëse kërkuesit kanë shfrytëzuar mjetet e brendshme</w:t>
      </w:r>
      <w:bookmarkEnd w:id="44"/>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70</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Qeveria parashtron se kërkuesit nuk kanë shfrytëzuar mjetet e brendshme të disponueshme. Veçanërisht, ata nuk kishin paraqitur një kërkesë për kompensim për veprimet e paligjshme të datës 3 nëntor 2013, sipas </w:t>
      </w:r>
      <w:r w:rsidR="00C0025C" w:rsidRPr="00E91B0C">
        <w:rPr>
          <w:rFonts w:ascii="Garamond" w:hAnsi="Garamond"/>
          <w:szCs w:val="24"/>
          <w:lang w:val="sq-AL"/>
        </w:rPr>
        <w:t>përgjegjësisë jokontraktuale të aktorit shtetëror</w:t>
      </w:r>
      <w:r w:rsidR="00395112" w:rsidRPr="00E91B0C">
        <w:rPr>
          <w:rFonts w:ascii="Garamond" w:hAnsi="Garamond"/>
          <w:szCs w:val="24"/>
          <w:lang w:val="sq-AL"/>
        </w:rPr>
        <w:t xml:space="preserve">, </w:t>
      </w:r>
      <w:r w:rsidR="00536F0E" w:rsidRPr="00E91B0C">
        <w:rPr>
          <w:rFonts w:ascii="Garamond" w:hAnsi="Garamond"/>
          <w:szCs w:val="24"/>
          <w:lang w:val="sq-AL"/>
        </w:rPr>
        <w:t>akti për inspektimin e ndërtesave</w:t>
      </w:r>
      <w:r w:rsidR="00395112" w:rsidRPr="00E91B0C">
        <w:rPr>
          <w:rFonts w:ascii="Garamond" w:hAnsi="Garamond"/>
          <w:szCs w:val="24"/>
          <w:lang w:val="sq-AL"/>
        </w:rPr>
        <w:t xml:space="preserve">, as gjatë procedimeve të veçanta dhe as gjatë procedimeve të brendshme në lidhje me këto ngjarje. Qeveria parashtroi praktikën gjyqësore të brendshme në mbështetje të këtij parashtrimi (shih paragrafin 55 më sipër).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71. Kërkuesit argumentuan se nuk kishin ekzistuar mjete efikase të cilat ata të mund t’i përdornin. Në parashtrimet e tyre verbale, ata argumentonin se duke mos zbatuar urdhrin e përkohshëm, autoritetet i kishin privuar ata, në mënyrë të pakthyeshme, jo vetëm nga të drejtat e tyre mbi pronën, por edhe nga mundësia që meritat e ankesës së tyre të shqyrtoheshin me efikasitet nga një gjykatë. Asnjë mjet i brendshëm nuk mund të kompensonte për një mohim të tillë të drejtësisë. Për më tepër, ata parashtruan se ishte e bazuar në fakte se neglizhimi i urdhrit të përkohshëm i kishte privuar kërkuesit nga çdo mbrojtje gjyqësore efikase.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72. Gjykata mendon se çështja e shfrytëzimit të mjeteve të brendshme është e lidhur ngushtë me meritat e ankesës së kërkuesve për mungesën e një mjeti efikas për ndërhyrjen e pretenduar në të drejtën e tyre për një gjykim të drejtë.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73. </w:t>
      </w:r>
      <w:r w:rsidR="00B9467C" w:rsidRPr="00E91B0C">
        <w:rPr>
          <w:rFonts w:ascii="Garamond" w:hAnsi="Garamond"/>
          <w:szCs w:val="24"/>
          <w:lang w:val="sq-AL"/>
        </w:rPr>
        <w:t>Kështu</w:t>
      </w:r>
      <w:r w:rsidRPr="00E91B0C">
        <w:rPr>
          <w:rFonts w:ascii="Garamond" w:hAnsi="Garamond"/>
          <w:szCs w:val="24"/>
          <w:lang w:val="sq-AL"/>
        </w:rPr>
        <w:t xml:space="preserve">, Gjykata bashkon aspektin nëse kërkuesit shfrytëzuan mjetet e brendshme për meritat e ankesës së tyre, sipas </w:t>
      </w:r>
      <w:r w:rsidR="001073BE" w:rsidRPr="00E91B0C">
        <w:rPr>
          <w:rFonts w:ascii="Garamond" w:hAnsi="Garamond"/>
          <w:szCs w:val="24"/>
          <w:lang w:val="sq-AL"/>
        </w:rPr>
        <w:t>n</w:t>
      </w:r>
      <w:r w:rsidRPr="00E91B0C">
        <w:rPr>
          <w:rFonts w:ascii="Garamond" w:hAnsi="Garamond"/>
          <w:szCs w:val="24"/>
          <w:lang w:val="sq-AL"/>
        </w:rPr>
        <w:t xml:space="preserve">enit 13, në lidhje me </w:t>
      </w:r>
      <w:r w:rsidR="001073BE" w:rsidRPr="00E91B0C">
        <w:rPr>
          <w:rFonts w:ascii="Garamond" w:hAnsi="Garamond"/>
          <w:szCs w:val="24"/>
          <w:lang w:val="sq-AL"/>
        </w:rPr>
        <w:t>n</w:t>
      </w:r>
      <w:r w:rsidRPr="00E91B0C">
        <w:rPr>
          <w:rFonts w:ascii="Garamond" w:hAnsi="Garamond"/>
          <w:szCs w:val="24"/>
          <w:lang w:val="sq-AL"/>
        </w:rPr>
        <w:t>enin 6</w:t>
      </w:r>
      <w:r w:rsidR="008B2E1D">
        <w:rPr>
          <w:rFonts w:ascii="Garamond" w:hAnsi="Garamond"/>
          <w:szCs w:val="24"/>
          <w:lang w:val="sq-AL"/>
        </w:rPr>
        <w:t>§</w:t>
      </w:r>
      <w:r w:rsidRPr="00E91B0C">
        <w:rPr>
          <w:rFonts w:ascii="Garamond" w:hAnsi="Garamond"/>
          <w:szCs w:val="24"/>
          <w:lang w:val="sq-AL"/>
        </w:rPr>
        <w:t>1 të Konventës.</w:t>
      </w:r>
      <w:r w:rsidR="00E91B0C">
        <w:rPr>
          <w:rFonts w:ascii="Garamond" w:hAnsi="Garamond"/>
          <w:szCs w:val="24"/>
          <w:lang w:val="sq-AL"/>
        </w:rPr>
        <w:t xml:space="preserve">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45" w:name="_Toc520459345"/>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Nëse kërkuesit nuk kanë “statusin e viktimës”</w:t>
      </w:r>
      <w:bookmarkEnd w:id="45"/>
      <w:r w:rsidRPr="00E91B0C">
        <w:rPr>
          <w:rFonts w:ascii="Garamond" w:hAnsi="Garamond"/>
          <w:szCs w:val="24"/>
          <w:lang w:val="sq-AL"/>
        </w:rPr>
        <w:t xml:space="preserve"> </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74</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Qeveria parashtroi se gjykatat </w:t>
      </w:r>
      <w:r w:rsidR="003C06FD">
        <w:rPr>
          <w:rFonts w:ascii="Garamond" w:hAnsi="Garamond"/>
          <w:szCs w:val="24"/>
          <w:lang w:val="sq-AL"/>
        </w:rPr>
        <w:t>vendës</w:t>
      </w:r>
      <w:r w:rsidR="00395112" w:rsidRPr="00E91B0C">
        <w:rPr>
          <w:rFonts w:ascii="Garamond" w:hAnsi="Garamond"/>
          <w:szCs w:val="24"/>
          <w:lang w:val="sq-AL"/>
        </w:rPr>
        <w:t xml:space="preserve">e kishin lëshuar gjetje të arsyetuara në favor të tyre. Kështu, kërkuesit kishin abuzuar me të drejtën e tyre për një ankim individual.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75. Kërkuesit nuk parashtruan asnjë koment të veçantë. </w:t>
      </w:r>
    </w:p>
    <w:p w:rsidR="00395112" w:rsidRPr="00E91B0C" w:rsidRDefault="00395112" w:rsidP="00395112">
      <w:pPr>
        <w:pStyle w:val="JuPara"/>
        <w:widowControl w:val="0"/>
        <w:rPr>
          <w:rFonts w:ascii="Garamond" w:eastAsia="Times New Roman" w:hAnsi="Garamond"/>
          <w:szCs w:val="24"/>
          <w:lang w:val="sq-AL"/>
        </w:rPr>
      </w:pPr>
      <w:r w:rsidRPr="00E91B0C">
        <w:rPr>
          <w:rFonts w:ascii="Garamond" w:hAnsi="Garamond"/>
          <w:szCs w:val="24"/>
          <w:lang w:val="sq-AL"/>
        </w:rPr>
        <w:t xml:space="preserve">76. Gjykata përsërit se miratimi i një mase në favor të kërkuesit nga autoritetet </w:t>
      </w:r>
      <w:r w:rsidR="003C06FD">
        <w:rPr>
          <w:rFonts w:ascii="Garamond" w:hAnsi="Garamond"/>
          <w:szCs w:val="24"/>
          <w:lang w:val="sq-AL"/>
        </w:rPr>
        <w:t>vendës</w:t>
      </w:r>
      <w:r w:rsidRPr="00E91B0C">
        <w:rPr>
          <w:rFonts w:ascii="Garamond" w:hAnsi="Garamond"/>
          <w:szCs w:val="24"/>
          <w:lang w:val="sq-AL"/>
        </w:rPr>
        <w:t>e do të privojë kërkuesin nga statusi i viktimës, vetëm nëse shkelj</w:t>
      </w:r>
      <w:r w:rsidR="000055B8">
        <w:rPr>
          <w:rFonts w:ascii="Garamond" w:hAnsi="Garamond"/>
          <w:szCs w:val="24"/>
          <w:lang w:val="sq-AL"/>
        </w:rPr>
        <w:t>a njihet shprehimisht</w:t>
      </w:r>
      <w:r w:rsidRPr="00E91B0C">
        <w:rPr>
          <w:rFonts w:ascii="Garamond" w:hAnsi="Garamond"/>
          <w:szCs w:val="24"/>
          <w:lang w:val="sq-AL"/>
        </w:rPr>
        <w:t xml:space="preserve"> ose të paktën në thelb, dhe në vijim korrigjohet (shih </w:t>
      </w:r>
      <w:r w:rsidRPr="00E91B0C">
        <w:rPr>
          <w:rFonts w:ascii="Garamond" w:eastAsia="Times New Roman" w:hAnsi="Garamond"/>
          <w:i/>
          <w:szCs w:val="24"/>
          <w:lang w:val="sq-AL"/>
        </w:rPr>
        <w:t>Scordino kundër Italisë</w:t>
      </w:r>
      <w:r w:rsidRPr="00E91B0C">
        <w:rPr>
          <w:rFonts w:ascii="Garamond" w:eastAsia="Times New Roman" w:hAnsi="Garamond"/>
          <w:szCs w:val="24"/>
          <w:lang w:val="sq-AL"/>
        </w:rPr>
        <w:t xml:space="preserve"> (nr. 1) [DHM], nr. 36813/97, §§ 178 në vijim dhe</w:t>
      </w:r>
      <w:r w:rsidR="005B203A">
        <w:rPr>
          <w:rFonts w:ascii="Garamond" w:eastAsia="Times New Roman" w:hAnsi="Garamond"/>
          <w:szCs w:val="24"/>
          <w:lang w:val="sq-AL"/>
        </w:rPr>
        <w:t xml:space="preserve"> </w:t>
      </w:r>
      <w:r w:rsidR="008B2E1D">
        <w:rPr>
          <w:rFonts w:ascii="Garamond" w:eastAsia="Times New Roman" w:hAnsi="Garamond"/>
          <w:szCs w:val="24"/>
          <w:lang w:val="sq-AL"/>
        </w:rPr>
        <w:t>§</w:t>
      </w:r>
      <w:r w:rsidRPr="00E91B0C">
        <w:rPr>
          <w:rFonts w:ascii="Garamond" w:eastAsia="Times New Roman" w:hAnsi="Garamond"/>
          <w:szCs w:val="24"/>
          <w:lang w:val="sq-AL"/>
        </w:rPr>
        <w:t>193, GJEDNJ 2006</w:t>
      </w:r>
      <w:r w:rsidRPr="00E91B0C">
        <w:rPr>
          <w:rFonts w:ascii="Garamond" w:eastAsia="Times New Roman" w:hAnsi="Garamond"/>
          <w:szCs w:val="24"/>
          <w:lang w:val="sq-AL"/>
        </w:rPr>
        <w:noBreakHyphen/>
        <w:t xml:space="preserve">V, dhe </w:t>
      </w:r>
      <w:r w:rsidRPr="00E91B0C">
        <w:rPr>
          <w:rFonts w:ascii="Garamond" w:eastAsia="Times New Roman" w:hAnsi="Garamond"/>
          <w:i/>
          <w:szCs w:val="24"/>
          <w:lang w:val="sq-AL"/>
        </w:rPr>
        <w:t>Dalban kundër Rumanisë</w:t>
      </w:r>
      <w:r w:rsidRPr="00E91B0C">
        <w:rPr>
          <w:rFonts w:ascii="Garamond" w:eastAsia="Times New Roman" w:hAnsi="Garamond"/>
          <w:szCs w:val="24"/>
          <w:lang w:val="sq-AL"/>
        </w:rPr>
        <w:t xml:space="preserve"> [DHM], nr. 28114/95</w:t>
      </w:r>
      <w:r w:rsidR="008541A0">
        <w:rPr>
          <w:rFonts w:ascii="Garamond" w:eastAsia="Times New Roman" w:hAnsi="Garamond"/>
          <w:szCs w:val="24"/>
          <w:lang w:val="sq-AL"/>
        </w:rPr>
        <w:t>, §</w:t>
      </w:r>
      <w:r w:rsidRPr="00E91B0C">
        <w:rPr>
          <w:rFonts w:ascii="Garamond" w:eastAsia="Times New Roman" w:hAnsi="Garamond"/>
          <w:szCs w:val="24"/>
          <w:lang w:val="sq-AL"/>
        </w:rPr>
        <w:t>44, GJEDNJ 1999-VI).</w:t>
      </w:r>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lastRenderedPageBreak/>
        <w:t>77</w:t>
      </w:r>
      <w:r w:rsidR="00395112" w:rsidRPr="00E91B0C">
        <w:rPr>
          <w:rFonts w:ascii="Garamond" w:hAnsi="Garamond"/>
          <w:szCs w:val="24"/>
          <w:lang w:val="sq-AL"/>
        </w:rPr>
        <w:t>. Çështja nëse një person mund të pretendojë ende të jetë viktimë e një shkelje</w:t>
      </w:r>
      <w:r w:rsidR="000B1C8E">
        <w:rPr>
          <w:rFonts w:ascii="Garamond" w:hAnsi="Garamond"/>
          <w:szCs w:val="24"/>
          <w:lang w:val="sq-AL"/>
        </w:rPr>
        <w:t>je</w:t>
      </w:r>
      <w:r w:rsidR="00395112" w:rsidRPr="00E91B0C">
        <w:rPr>
          <w:rFonts w:ascii="Garamond" w:hAnsi="Garamond"/>
          <w:szCs w:val="24"/>
          <w:lang w:val="sq-AL"/>
        </w:rPr>
        <w:t xml:space="preserve"> të pretenduar të Konventës, kryesisht kërkon nga Gjykata nj</w:t>
      </w:r>
      <w:r w:rsidR="000055B8">
        <w:rPr>
          <w:rFonts w:ascii="Garamond" w:hAnsi="Garamond"/>
          <w:szCs w:val="24"/>
          <w:lang w:val="sq-AL"/>
        </w:rPr>
        <w:t>ë</w:t>
      </w:r>
      <w:r w:rsidR="00395112" w:rsidRPr="00E91B0C">
        <w:rPr>
          <w:rFonts w:ascii="Garamond" w:hAnsi="Garamond"/>
          <w:szCs w:val="24"/>
          <w:lang w:val="sq-AL"/>
        </w:rPr>
        <w:t xml:space="preserve"> shqyrtim </w:t>
      </w:r>
      <w:r w:rsidR="00395112" w:rsidRPr="00E91B0C">
        <w:rPr>
          <w:rFonts w:ascii="Garamond" w:hAnsi="Garamond"/>
          <w:i/>
          <w:szCs w:val="24"/>
          <w:lang w:val="sq-AL"/>
        </w:rPr>
        <w:t>ex post facto</w:t>
      </w:r>
      <w:r w:rsidR="00395112" w:rsidRPr="00E91B0C">
        <w:rPr>
          <w:rFonts w:ascii="Garamond" w:hAnsi="Garamond"/>
          <w:szCs w:val="24"/>
          <w:lang w:val="sq-AL"/>
        </w:rPr>
        <w:t xml:space="preserve"> të situatës së tij ose të saj (shih </w:t>
      </w:r>
      <w:r w:rsidR="00395112" w:rsidRPr="00E91B0C">
        <w:rPr>
          <w:rFonts w:ascii="Garamond" w:eastAsia="Times New Roman" w:hAnsi="Garamond"/>
          <w:i/>
          <w:szCs w:val="24"/>
          <w:lang w:val="sq-AL"/>
        </w:rPr>
        <w:t>Scordino,</w:t>
      </w:r>
      <w:r w:rsidR="00395112" w:rsidRPr="00E91B0C">
        <w:rPr>
          <w:rFonts w:ascii="Garamond" w:eastAsia="Times New Roman" w:hAnsi="Garamond"/>
          <w:szCs w:val="24"/>
          <w:lang w:val="sq-AL"/>
        </w:rPr>
        <w:t xml:space="preserve"> cituar më sipër</w:t>
      </w:r>
      <w:r w:rsidR="008541A0">
        <w:rPr>
          <w:rFonts w:ascii="Garamond" w:eastAsia="Times New Roman" w:hAnsi="Garamond"/>
          <w:szCs w:val="24"/>
          <w:lang w:val="sq-AL"/>
        </w:rPr>
        <w:t>, §</w:t>
      </w:r>
      <w:r w:rsidR="00395112" w:rsidRPr="00E91B0C">
        <w:rPr>
          <w:rFonts w:ascii="Garamond" w:eastAsia="Times New Roman" w:hAnsi="Garamond"/>
          <w:szCs w:val="24"/>
          <w:lang w:val="sq-AL"/>
        </w:rPr>
        <w:t xml:space="preserve">181 dhe </w:t>
      </w:r>
      <w:r w:rsidR="00395112" w:rsidRPr="00E91B0C">
        <w:rPr>
          <w:rFonts w:ascii="Garamond" w:eastAsia="Times New Roman" w:hAnsi="Garamond"/>
          <w:i/>
          <w:szCs w:val="24"/>
          <w:lang w:val="sq-AL"/>
        </w:rPr>
        <w:t>Centro Europa 7 S.r.l. dhe Di Stefano kundër Italisë</w:t>
      </w:r>
      <w:r w:rsidR="00395112" w:rsidRPr="00E91B0C">
        <w:rPr>
          <w:rFonts w:ascii="Garamond" w:eastAsia="Times New Roman" w:hAnsi="Garamond"/>
          <w:szCs w:val="24"/>
          <w:lang w:val="sq-AL"/>
        </w:rPr>
        <w:t xml:space="preserve"> [DHM], </w:t>
      </w:r>
      <w:r w:rsidR="00395112" w:rsidRPr="00E91B0C">
        <w:rPr>
          <w:rFonts w:ascii="Garamond" w:hAnsi="Garamond"/>
          <w:szCs w:val="24"/>
          <w:lang w:val="sq-AL"/>
        </w:rPr>
        <w:t>nr. 38433/09</w:t>
      </w:r>
      <w:r w:rsidR="008541A0">
        <w:rPr>
          <w:rFonts w:ascii="Garamond" w:hAnsi="Garamond"/>
          <w:szCs w:val="24"/>
          <w:lang w:val="sq-AL"/>
        </w:rPr>
        <w:t>, §</w:t>
      </w:r>
      <w:r w:rsidR="00395112" w:rsidRPr="00E91B0C">
        <w:rPr>
          <w:rFonts w:ascii="Garamond" w:eastAsia="Times New Roman" w:hAnsi="Garamond"/>
          <w:szCs w:val="24"/>
          <w:lang w:val="sq-AL"/>
        </w:rPr>
        <w:t xml:space="preserve">82, GJEDNJ 2012). Nëse korrigjimi i dhënë është efikas varet nga, midis të tjerave, natyra e </w:t>
      </w:r>
      <w:r w:rsidR="008A7DCB">
        <w:rPr>
          <w:rFonts w:ascii="Garamond" w:eastAsia="Times New Roman" w:hAnsi="Garamond"/>
          <w:szCs w:val="24"/>
          <w:lang w:val="sq-AL"/>
        </w:rPr>
        <w:t>s</w:t>
      </w:r>
      <w:r w:rsidR="00395112" w:rsidRPr="00E91B0C">
        <w:rPr>
          <w:rFonts w:ascii="Garamond" w:eastAsia="Times New Roman" w:hAnsi="Garamond"/>
          <w:szCs w:val="24"/>
          <w:lang w:val="sq-AL"/>
        </w:rPr>
        <w:t>ë drejtës së pretenduar që të ishte shkelur, nga arsyet e dhëna për vendimin dhe nga prania e pasojave të pafavorshme për personin konkret pas atij vendimi</w:t>
      </w:r>
      <w:r w:rsidR="00E91B0C">
        <w:rPr>
          <w:rFonts w:ascii="Garamond" w:eastAsia="Times New Roman" w:hAnsi="Garamond"/>
          <w:szCs w:val="24"/>
          <w:lang w:val="sq-AL"/>
        </w:rPr>
        <w:t xml:space="preserve"> </w:t>
      </w:r>
      <w:r w:rsidR="00395112" w:rsidRPr="00E91B0C">
        <w:rPr>
          <w:rFonts w:ascii="Garamond" w:eastAsia="Times New Roman" w:hAnsi="Garamond"/>
          <w:szCs w:val="24"/>
          <w:lang w:val="sq-AL"/>
        </w:rPr>
        <w:t xml:space="preserve">(shih </w:t>
      </w:r>
      <w:r w:rsidR="00395112" w:rsidRPr="00E91B0C">
        <w:rPr>
          <w:rFonts w:ascii="Garamond" w:eastAsia="Times New Roman" w:hAnsi="Garamond"/>
          <w:i/>
          <w:szCs w:val="24"/>
          <w:lang w:val="sq-AL"/>
        </w:rPr>
        <w:t>Oliari dhe të Tjerët kundër Italisë</w:t>
      </w:r>
      <w:r w:rsidR="00395112" w:rsidRPr="00E91B0C">
        <w:rPr>
          <w:rFonts w:ascii="Garamond" w:eastAsia="Times New Roman" w:hAnsi="Garamond"/>
          <w:szCs w:val="24"/>
          <w:lang w:val="sq-AL"/>
        </w:rPr>
        <w:t>, nr. 18766/11 dhe 36030/11</w:t>
      </w:r>
      <w:r w:rsidR="008541A0">
        <w:rPr>
          <w:rFonts w:ascii="Garamond" w:eastAsia="Times New Roman" w:hAnsi="Garamond"/>
          <w:szCs w:val="24"/>
          <w:lang w:val="sq-AL"/>
        </w:rPr>
        <w:t>, §</w:t>
      </w:r>
      <w:r w:rsidR="00395112" w:rsidRPr="00E91B0C">
        <w:rPr>
          <w:rFonts w:ascii="Garamond" w:eastAsia="Times New Roman" w:hAnsi="Garamond"/>
          <w:szCs w:val="24"/>
          <w:lang w:val="sq-AL"/>
        </w:rPr>
        <w:t xml:space="preserve">78, 21 </w:t>
      </w:r>
      <w:r w:rsidR="00706F79" w:rsidRPr="00E91B0C">
        <w:rPr>
          <w:rFonts w:ascii="Garamond" w:eastAsia="Times New Roman" w:hAnsi="Garamond"/>
          <w:szCs w:val="24"/>
          <w:lang w:val="sq-AL"/>
        </w:rPr>
        <w:t xml:space="preserve">korrik </w:t>
      </w:r>
      <w:r w:rsidR="00395112" w:rsidRPr="00E91B0C">
        <w:rPr>
          <w:rFonts w:ascii="Garamond" w:eastAsia="Times New Roman" w:hAnsi="Garamond"/>
          <w:szCs w:val="24"/>
          <w:lang w:val="sq-AL"/>
        </w:rPr>
        <w:t xml:space="preserve">2015). Korrigjimi duhet të jetë i përshtatshëm dhe </w:t>
      </w:r>
      <w:r w:rsidR="00706F79">
        <w:rPr>
          <w:rFonts w:ascii="Garamond" w:eastAsia="Times New Roman" w:hAnsi="Garamond"/>
          <w:szCs w:val="24"/>
          <w:lang w:val="sq-AL"/>
        </w:rPr>
        <w:t xml:space="preserve">i </w:t>
      </w:r>
      <w:r w:rsidR="00395112" w:rsidRPr="00E91B0C">
        <w:rPr>
          <w:rFonts w:ascii="Garamond" w:eastAsia="Times New Roman" w:hAnsi="Garamond"/>
          <w:szCs w:val="24"/>
          <w:lang w:val="sq-AL"/>
        </w:rPr>
        <w:t xml:space="preserve">mjaftueshëm. Nëse një individ ka statusin e viktimës mund të varet edhe nga shuma e kompensimit të dhënë nga gjykatat </w:t>
      </w:r>
      <w:r w:rsidR="003C06FD">
        <w:rPr>
          <w:rFonts w:ascii="Garamond" w:eastAsia="Times New Roman" w:hAnsi="Garamond"/>
          <w:szCs w:val="24"/>
          <w:lang w:val="sq-AL"/>
        </w:rPr>
        <w:t>vendës</w:t>
      </w:r>
      <w:r w:rsidR="00395112" w:rsidRPr="00E91B0C">
        <w:rPr>
          <w:rFonts w:ascii="Garamond" w:eastAsia="Times New Roman" w:hAnsi="Garamond"/>
          <w:szCs w:val="24"/>
          <w:lang w:val="sq-AL"/>
        </w:rPr>
        <w:t>e dhe efikasiteti (duke përfshirë efi</w:t>
      </w:r>
      <w:r w:rsidR="00C0025C">
        <w:rPr>
          <w:rFonts w:ascii="Garamond" w:eastAsia="Times New Roman" w:hAnsi="Garamond"/>
          <w:szCs w:val="24"/>
          <w:lang w:val="sq-AL"/>
        </w:rPr>
        <w:t>ci</w:t>
      </w:r>
      <w:r w:rsidR="00395112" w:rsidRPr="00E91B0C">
        <w:rPr>
          <w:rFonts w:ascii="Garamond" w:eastAsia="Times New Roman" w:hAnsi="Garamond"/>
          <w:szCs w:val="24"/>
          <w:lang w:val="sq-AL"/>
        </w:rPr>
        <w:t>en</w:t>
      </w:r>
      <w:r w:rsidR="00C0025C">
        <w:rPr>
          <w:rFonts w:ascii="Garamond" w:eastAsia="Times New Roman" w:hAnsi="Garamond"/>
          <w:szCs w:val="24"/>
          <w:lang w:val="sq-AL"/>
        </w:rPr>
        <w:t>c</w:t>
      </w:r>
      <w:r w:rsidR="00395112" w:rsidRPr="00E91B0C">
        <w:rPr>
          <w:rFonts w:ascii="Garamond" w:eastAsia="Times New Roman" w:hAnsi="Garamond"/>
          <w:szCs w:val="24"/>
          <w:lang w:val="sq-AL"/>
        </w:rPr>
        <w:t>ën në kohë) i mjetit që mbulon vendimin (shih </w:t>
      </w:r>
      <w:r w:rsidR="00395112" w:rsidRPr="00E91B0C">
        <w:rPr>
          <w:rFonts w:ascii="Garamond" w:eastAsia="Times New Roman" w:hAnsi="Garamond"/>
          <w:i/>
          <w:szCs w:val="24"/>
          <w:lang w:val="sq-AL"/>
        </w:rPr>
        <w:t>Paplauskienė kundër Lituanisë</w:t>
      </w:r>
      <w:r w:rsidR="00395112" w:rsidRPr="00E91B0C">
        <w:rPr>
          <w:rFonts w:ascii="Garamond" w:eastAsia="Times New Roman" w:hAnsi="Garamond"/>
          <w:szCs w:val="24"/>
          <w:lang w:val="sq-AL"/>
        </w:rPr>
        <w:t>, nr. 31102/06</w:t>
      </w:r>
      <w:r w:rsidR="008541A0">
        <w:rPr>
          <w:rFonts w:ascii="Garamond" w:eastAsia="Times New Roman" w:hAnsi="Garamond"/>
          <w:szCs w:val="24"/>
          <w:lang w:val="sq-AL"/>
        </w:rPr>
        <w:t>, §</w:t>
      </w:r>
      <w:r w:rsidR="00395112" w:rsidRPr="00E91B0C">
        <w:rPr>
          <w:rFonts w:ascii="Garamond" w:eastAsia="Times New Roman" w:hAnsi="Garamond"/>
          <w:szCs w:val="24"/>
          <w:lang w:val="sq-AL"/>
        </w:rPr>
        <w:t>51, 14 tetor 2014).</w:t>
      </w:r>
    </w:p>
    <w:p w:rsidR="00395112" w:rsidRPr="00E91B0C" w:rsidRDefault="000A3D24" w:rsidP="00395112">
      <w:pPr>
        <w:pStyle w:val="JuPara"/>
        <w:widowControl w:val="0"/>
        <w:rPr>
          <w:rFonts w:ascii="Garamond" w:eastAsia="Times New Roman" w:hAnsi="Garamond"/>
          <w:szCs w:val="24"/>
          <w:lang w:val="sq-AL"/>
        </w:rPr>
      </w:pPr>
      <w:r>
        <w:rPr>
          <w:rFonts w:ascii="Garamond" w:eastAsia="Times New Roman" w:hAnsi="Garamond"/>
          <w:szCs w:val="24"/>
          <w:lang w:val="sq-AL"/>
        </w:rPr>
        <w:t>78</w:t>
      </w:r>
      <w:r w:rsidR="00395112" w:rsidRPr="00E91B0C">
        <w:rPr>
          <w:rFonts w:ascii="Garamond" w:eastAsia="Times New Roman" w:hAnsi="Garamond"/>
          <w:szCs w:val="24"/>
          <w:lang w:val="sq-AL"/>
        </w:rPr>
        <w:t>.</w:t>
      </w:r>
      <w:r w:rsidR="00E91B0C">
        <w:rPr>
          <w:rFonts w:ascii="Garamond" w:eastAsia="Times New Roman" w:hAnsi="Garamond"/>
          <w:szCs w:val="24"/>
          <w:lang w:val="sq-AL"/>
        </w:rPr>
        <w:t xml:space="preserve"> </w:t>
      </w:r>
      <w:r w:rsidR="00395112" w:rsidRPr="00E91B0C">
        <w:rPr>
          <w:rFonts w:ascii="Garamond" w:eastAsia="Times New Roman" w:hAnsi="Garamond"/>
          <w:szCs w:val="24"/>
          <w:lang w:val="sq-AL"/>
        </w:rPr>
        <w:t xml:space="preserve">Gjykata vëren në vijim të parashtrimeve specifike të kërkuesve, gjatë procedimeve në lidhje me shpronësimin dhe shembjen e godinës së kërkuesve, gjykatat </w:t>
      </w:r>
      <w:r w:rsidR="003C06FD">
        <w:rPr>
          <w:rFonts w:ascii="Garamond" w:eastAsia="Times New Roman" w:hAnsi="Garamond"/>
          <w:szCs w:val="24"/>
          <w:lang w:val="sq-AL"/>
        </w:rPr>
        <w:t>vendës</w:t>
      </w:r>
      <w:r w:rsidR="00395112" w:rsidRPr="00E91B0C">
        <w:rPr>
          <w:rFonts w:ascii="Garamond" w:eastAsia="Times New Roman" w:hAnsi="Garamond"/>
          <w:szCs w:val="24"/>
          <w:lang w:val="sq-AL"/>
        </w:rPr>
        <w:t xml:space="preserve">e argumentuan se autoritetet kishin miratuar vendimin e Këshillit të Ministrave, të datës 27 nëntor 2013, pa pritur për vendimin në themel dhe duke neglizhuar urdhrin e përkohshëm (shih paragrafët 37 dhe 41 më sipër). Megjithatë, ato nuk i akorduan kompensime kërkuesve. Për më tepër, Gjykata vëren se fakti se gjykatat </w:t>
      </w:r>
      <w:r w:rsidR="003C06FD">
        <w:rPr>
          <w:rFonts w:ascii="Garamond" w:eastAsia="Times New Roman" w:hAnsi="Garamond"/>
          <w:szCs w:val="24"/>
          <w:lang w:val="sq-AL"/>
        </w:rPr>
        <w:t>vendës</w:t>
      </w:r>
      <w:r w:rsidR="00395112" w:rsidRPr="00E91B0C">
        <w:rPr>
          <w:rFonts w:ascii="Garamond" w:eastAsia="Times New Roman" w:hAnsi="Garamond"/>
          <w:szCs w:val="24"/>
          <w:lang w:val="sq-AL"/>
        </w:rPr>
        <w:t xml:space="preserve">e në procedimet e përkohshme dhe kryesore bënë konstatime në favor të kërkuesve, nuk ka lidhje me situatën, duke qenë se ato vendime nuk u ekzekutuan dhe nuk arritën të parandalonin shembjen e ndërtesës. </w:t>
      </w:r>
    </w:p>
    <w:p w:rsidR="000507EB" w:rsidRDefault="00395112" w:rsidP="00922378">
      <w:pPr>
        <w:pStyle w:val="JuPara"/>
        <w:widowControl w:val="0"/>
        <w:rPr>
          <w:rFonts w:ascii="Garamond" w:hAnsi="Garamond"/>
          <w:szCs w:val="24"/>
          <w:lang w:val="sq-AL"/>
        </w:rPr>
      </w:pPr>
      <w:r w:rsidRPr="00E91B0C">
        <w:rPr>
          <w:rFonts w:ascii="Garamond" w:eastAsia="Times New Roman" w:hAnsi="Garamond"/>
          <w:szCs w:val="24"/>
          <w:lang w:val="sq-AL"/>
        </w:rPr>
        <w:t xml:space="preserve">79. Në këtë mënyrë, Gjykata mendon se autoritetet </w:t>
      </w:r>
      <w:r w:rsidR="003C06FD">
        <w:rPr>
          <w:rFonts w:ascii="Garamond" w:eastAsia="Times New Roman" w:hAnsi="Garamond"/>
          <w:szCs w:val="24"/>
          <w:lang w:val="sq-AL"/>
        </w:rPr>
        <w:t>vendës</w:t>
      </w:r>
      <w:r w:rsidRPr="00E91B0C">
        <w:rPr>
          <w:rFonts w:ascii="Garamond" w:eastAsia="Times New Roman" w:hAnsi="Garamond"/>
          <w:szCs w:val="24"/>
          <w:lang w:val="sq-AL"/>
        </w:rPr>
        <w:t>e nuk arritën të kompensonin kërkuesit në lidhje me ankesën e tyre për moszbatim të urdhrit të përkohshëm në favor të tyre dhe se ata mund të vijojnë të pretendojnë të jenë viktima të një shkelje</w:t>
      </w:r>
      <w:r w:rsidR="00643689">
        <w:rPr>
          <w:rFonts w:ascii="Garamond" w:eastAsia="Times New Roman" w:hAnsi="Garamond"/>
          <w:szCs w:val="24"/>
          <w:lang w:val="sq-AL"/>
        </w:rPr>
        <w:t xml:space="preserve">je </w:t>
      </w:r>
      <w:r w:rsidRPr="00E91B0C">
        <w:rPr>
          <w:rFonts w:ascii="Garamond" w:eastAsia="Times New Roman" w:hAnsi="Garamond"/>
          <w:szCs w:val="24"/>
          <w:lang w:val="sq-AL"/>
        </w:rPr>
        <w:t xml:space="preserve">të pretenduar. </w:t>
      </w:r>
      <w:bookmarkStart w:id="46" w:name="_Toc520459346"/>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r w:rsidRPr="00E91B0C">
        <w:rPr>
          <w:rFonts w:ascii="Garamond" w:hAnsi="Garamond"/>
          <w:szCs w:val="24"/>
          <w:lang w:val="sq-AL"/>
        </w:rPr>
        <w:t>3.</w:t>
      </w:r>
      <w:r w:rsidR="00E91B0C">
        <w:rPr>
          <w:rFonts w:ascii="Garamond" w:hAnsi="Garamond"/>
          <w:szCs w:val="24"/>
          <w:lang w:val="sq-AL"/>
        </w:rPr>
        <w:t xml:space="preserve"> </w:t>
      </w:r>
      <w:r w:rsidRPr="00E91B0C">
        <w:rPr>
          <w:rFonts w:ascii="Garamond" w:hAnsi="Garamond"/>
          <w:szCs w:val="24"/>
          <w:lang w:val="sq-AL"/>
        </w:rPr>
        <w:t>Përfundim</w:t>
      </w:r>
      <w:bookmarkEnd w:id="46"/>
    </w:p>
    <w:p w:rsidR="00395112" w:rsidRPr="00E91B0C" w:rsidRDefault="000A3D24" w:rsidP="00395112">
      <w:pPr>
        <w:pStyle w:val="JuPara"/>
        <w:widowControl w:val="0"/>
        <w:rPr>
          <w:rFonts w:ascii="Garamond" w:hAnsi="Garamond"/>
          <w:szCs w:val="24"/>
          <w:lang w:val="sq-AL"/>
        </w:rPr>
      </w:pPr>
      <w:r>
        <w:rPr>
          <w:rFonts w:ascii="Garamond" w:hAnsi="Garamond"/>
          <w:szCs w:val="24"/>
          <w:lang w:val="sq-AL"/>
        </w:rPr>
        <w:t>80</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argumenton se ankesat e kërkuesve, sipas </w:t>
      </w:r>
      <w:r w:rsidR="001073BE" w:rsidRPr="00E91B0C">
        <w:rPr>
          <w:rFonts w:ascii="Garamond" w:hAnsi="Garamond"/>
          <w:szCs w:val="24"/>
          <w:lang w:val="sq-AL"/>
        </w:rPr>
        <w:t>n</w:t>
      </w:r>
      <w:r w:rsidR="00395112" w:rsidRPr="00E91B0C">
        <w:rPr>
          <w:rFonts w:ascii="Garamond" w:hAnsi="Garamond"/>
          <w:szCs w:val="24"/>
          <w:lang w:val="sq-AL"/>
        </w:rPr>
        <w:t>enit 6</w:t>
      </w:r>
      <w:r w:rsidR="008B2E1D">
        <w:rPr>
          <w:rFonts w:ascii="Garamond" w:hAnsi="Garamond"/>
          <w:szCs w:val="24"/>
          <w:lang w:val="sq-AL"/>
        </w:rPr>
        <w:t>§</w:t>
      </w:r>
      <w:r w:rsidR="00395112" w:rsidRPr="00E91B0C">
        <w:rPr>
          <w:rFonts w:ascii="Garamond" w:hAnsi="Garamond"/>
          <w:szCs w:val="24"/>
          <w:lang w:val="sq-AL"/>
        </w:rPr>
        <w:t xml:space="preserve">1 dhe nenit 13 të </w:t>
      </w:r>
      <w:r w:rsidR="00603121" w:rsidRPr="00E91B0C">
        <w:rPr>
          <w:rFonts w:ascii="Garamond" w:hAnsi="Garamond"/>
          <w:szCs w:val="24"/>
          <w:lang w:val="sq-AL"/>
        </w:rPr>
        <w:t>Konventës</w:t>
      </w:r>
      <w:r w:rsidR="00395112" w:rsidRPr="00E91B0C">
        <w:rPr>
          <w:rFonts w:ascii="Garamond" w:hAnsi="Garamond"/>
          <w:szCs w:val="24"/>
          <w:lang w:val="sq-AL"/>
        </w:rPr>
        <w:t xml:space="preserve">, nuk janë të pabazuar në fakte sipas kuptimit të </w:t>
      </w:r>
      <w:r w:rsidR="001073BE" w:rsidRPr="00E91B0C">
        <w:rPr>
          <w:rFonts w:ascii="Garamond" w:hAnsi="Garamond"/>
          <w:szCs w:val="24"/>
          <w:lang w:val="sq-AL"/>
        </w:rPr>
        <w:t>n</w:t>
      </w:r>
      <w:r w:rsidR="00395112" w:rsidRPr="00E91B0C">
        <w:rPr>
          <w:rFonts w:ascii="Garamond" w:hAnsi="Garamond"/>
          <w:szCs w:val="24"/>
          <w:lang w:val="sq-AL"/>
        </w:rPr>
        <w:t>enit 35</w:t>
      </w:r>
      <w:r w:rsidR="008B2E1D">
        <w:rPr>
          <w:rFonts w:ascii="Garamond" w:hAnsi="Garamond"/>
          <w:szCs w:val="24"/>
          <w:lang w:val="sq-AL"/>
        </w:rPr>
        <w:t>§</w:t>
      </w:r>
      <w:r w:rsidR="00395112" w:rsidRPr="00E91B0C">
        <w:rPr>
          <w:rFonts w:ascii="Garamond" w:hAnsi="Garamond"/>
          <w:szCs w:val="24"/>
          <w:lang w:val="sq-AL"/>
        </w:rPr>
        <w:t xml:space="preserve">3 të Konventës. Më tej, ajo vëren se ato nuk janë të papranueshme sipas ndonjë arsyetimi tjetër. Kështu, ato duhet të deklarohen të pranueshme, pa paragjykim ndaj vendimit që duhet marrë domosdoshmërisht ndaj kundërshtimit të </w:t>
      </w:r>
      <w:r w:rsidR="0018461E" w:rsidRPr="00E91B0C">
        <w:rPr>
          <w:rFonts w:ascii="Garamond" w:hAnsi="Garamond"/>
          <w:szCs w:val="24"/>
          <w:lang w:val="sq-AL"/>
        </w:rPr>
        <w:t xml:space="preserve">qeverisë </w:t>
      </w:r>
      <w:r w:rsidR="00395112" w:rsidRPr="00E91B0C">
        <w:rPr>
          <w:rFonts w:ascii="Garamond" w:hAnsi="Garamond"/>
          <w:szCs w:val="24"/>
          <w:lang w:val="sq-AL"/>
        </w:rPr>
        <w:t>për mosshfrytëzim të mjeteve të brendshme.</w:t>
      </w:r>
      <w:r w:rsid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47" w:name="_Toc520459347"/>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Meritat</w:t>
      </w:r>
      <w:bookmarkEnd w:id="47"/>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48" w:name="_Toc520459348"/>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 xml:space="preserve">Përputhje me </w:t>
      </w:r>
      <w:r w:rsidR="001073BE" w:rsidRPr="00E91B0C">
        <w:rPr>
          <w:rFonts w:ascii="Garamond" w:hAnsi="Garamond"/>
          <w:szCs w:val="24"/>
          <w:lang w:val="sq-AL"/>
        </w:rPr>
        <w:t>n</w:t>
      </w:r>
      <w:r w:rsidRPr="00E91B0C">
        <w:rPr>
          <w:rFonts w:ascii="Garamond" w:hAnsi="Garamond"/>
          <w:szCs w:val="24"/>
          <w:lang w:val="sq-AL"/>
        </w:rPr>
        <w:t>enin 13</w:t>
      </w:r>
      <w:r w:rsidR="00D271E3">
        <w:rPr>
          <w:rFonts w:ascii="Garamond" w:hAnsi="Garamond"/>
          <w:szCs w:val="24"/>
          <w:lang w:val="sq-AL"/>
        </w:rPr>
        <w:t>,</w:t>
      </w:r>
      <w:r w:rsidRPr="00E91B0C">
        <w:rPr>
          <w:rFonts w:ascii="Garamond" w:hAnsi="Garamond"/>
          <w:szCs w:val="24"/>
          <w:lang w:val="sq-AL"/>
        </w:rPr>
        <w:t xml:space="preserve"> në lidhje me </w:t>
      </w:r>
      <w:r w:rsidR="001073BE" w:rsidRPr="00E91B0C">
        <w:rPr>
          <w:rFonts w:ascii="Garamond" w:hAnsi="Garamond"/>
          <w:szCs w:val="24"/>
          <w:lang w:val="sq-AL"/>
        </w:rPr>
        <w:t>n</w:t>
      </w:r>
      <w:r w:rsidRPr="00E91B0C">
        <w:rPr>
          <w:rFonts w:ascii="Garamond" w:hAnsi="Garamond"/>
          <w:szCs w:val="24"/>
          <w:lang w:val="sq-AL"/>
        </w:rPr>
        <w:t>enin 6</w:t>
      </w:r>
      <w:r w:rsidR="008B2E1D">
        <w:rPr>
          <w:rFonts w:ascii="Garamond" w:hAnsi="Garamond"/>
          <w:szCs w:val="24"/>
          <w:lang w:val="sq-AL"/>
        </w:rPr>
        <w:t>§</w:t>
      </w:r>
      <w:r w:rsidRPr="00E91B0C">
        <w:rPr>
          <w:rFonts w:ascii="Garamond" w:hAnsi="Garamond"/>
          <w:szCs w:val="24"/>
          <w:lang w:val="sq-AL"/>
        </w:rPr>
        <w:t>1 të Konventës</w:t>
      </w:r>
      <w:bookmarkEnd w:id="48"/>
      <w:r w:rsidR="00E91B0C">
        <w:rPr>
          <w:rFonts w:ascii="Garamond" w:hAnsi="Garamond"/>
          <w:szCs w:val="24"/>
          <w:lang w:val="sq-AL"/>
        </w:rPr>
        <w:t xml:space="preserve"> </w:t>
      </w:r>
    </w:p>
    <w:p w:rsidR="00395112" w:rsidRPr="00E91B0C" w:rsidRDefault="000A3D24" w:rsidP="00395112">
      <w:pPr>
        <w:pStyle w:val="JuPara"/>
        <w:widowControl w:val="0"/>
        <w:rPr>
          <w:rFonts w:ascii="Garamond" w:eastAsia="Times New Roman" w:hAnsi="Garamond"/>
          <w:szCs w:val="24"/>
          <w:lang w:val="sq-AL"/>
        </w:rPr>
      </w:pPr>
      <w:r>
        <w:rPr>
          <w:rFonts w:ascii="Garamond" w:eastAsia="Times New Roman" w:hAnsi="Garamond"/>
          <w:szCs w:val="24"/>
          <w:lang w:val="sq-AL"/>
        </w:rPr>
        <w:t>81</w:t>
      </w:r>
      <w:r w:rsidR="00395112" w:rsidRPr="00E91B0C">
        <w:rPr>
          <w:rFonts w:ascii="Garamond" w:eastAsia="Times New Roman" w:hAnsi="Garamond"/>
          <w:szCs w:val="24"/>
          <w:lang w:val="sq-AL"/>
        </w:rPr>
        <w:t xml:space="preserve">. Gjykata përsërit se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 13 i Konventës kërkon që sistemet ligjore </w:t>
      </w:r>
      <w:r w:rsidR="003C06FD">
        <w:rPr>
          <w:rFonts w:ascii="Garamond" w:eastAsia="Times New Roman" w:hAnsi="Garamond"/>
          <w:szCs w:val="24"/>
          <w:lang w:val="sq-AL"/>
        </w:rPr>
        <w:t>vendës</w:t>
      </w:r>
      <w:r w:rsidR="00395112" w:rsidRPr="00E91B0C">
        <w:rPr>
          <w:rFonts w:ascii="Garamond" w:eastAsia="Times New Roman" w:hAnsi="Garamond"/>
          <w:szCs w:val="24"/>
          <w:lang w:val="sq-AL"/>
        </w:rPr>
        <w:t xml:space="preserve">e të ofrojnë një mjet efikas që i mundëson autoritetit kombëtar kompetent të adresojë substancën e një ankese të “argumentueshme” sipas Konventës (shih </w:t>
      </w:r>
      <w:r w:rsidR="00395112" w:rsidRPr="00846C17">
        <w:rPr>
          <w:rFonts w:ascii="Garamond" w:eastAsia="Times New Roman" w:hAnsi="Garamond"/>
          <w:i/>
          <w:szCs w:val="24"/>
          <w:lang w:val="sq-AL"/>
        </w:rPr>
        <w:t>Z</w:t>
      </w:r>
      <w:r w:rsidR="00395112" w:rsidRPr="00E91B0C">
        <w:rPr>
          <w:rFonts w:ascii="Garamond" w:eastAsia="Times New Roman" w:hAnsi="Garamond"/>
          <w:i/>
          <w:szCs w:val="24"/>
          <w:lang w:val="sq-AL"/>
        </w:rPr>
        <w:t xml:space="preserve"> dhe të tjerët kundër Mbretërisë së Bashkuar</w:t>
      </w:r>
      <w:r w:rsidR="00395112" w:rsidRPr="00E91B0C">
        <w:rPr>
          <w:rFonts w:ascii="Garamond" w:eastAsia="Times New Roman" w:hAnsi="Garamond"/>
          <w:szCs w:val="24"/>
          <w:lang w:val="sq-AL"/>
        </w:rPr>
        <w:t xml:space="preserve"> [DHM], nr. 29392/95</w:t>
      </w:r>
      <w:r w:rsidR="008541A0">
        <w:rPr>
          <w:rFonts w:ascii="Garamond" w:eastAsia="Times New Roman" w:hAnsi="Garamond"/>
          <w:szCs w:val="24"/>
          <w:lang w:val="sq-AL"/>
        </w:rPr>
        <w:t>, §</w:t>
      </w:r>
      <w:r w:rsidR="00395112" w:rsidRPr="00E91B0C">
        <w:rPr>
          <w:rFonts w:ascii="Garamond" w:eastAsia="Times New Roman" w:hAnsi="Garamond"/>
          <w:szCs w:val="24"/>
          <w:lang w:val="sq-AL"/>
        </w:rPr>
        <w:t xml:space="preserve">108, GJEDNJ 2001-V). Objekti i saj është garantimi i një mjeti me anë të të cilit individët të mund të përftojnë ndihmën e duhur në nivel kombëtar për shkeljet e të drejtave të tyre të ofruara nga Konventa, përpara se të aktivizojnë makinerinë ndërkombëtarë të ankesës përpara Gjykatës (shih </w:t>
      </w:r>
      <w:r w:rsidR="00395112" w:rsidRPr="00E91B0C">
        <w:rPr>
          <w:rFonts w:ascii="Garamond" w:eastAsia="Times New Roman" w:hAnsi="Garamond"/>
          <w:i/>
          <w:szCs w:val="24"/>
          <w:lang w:val="sq-AL"/>
        </w:rPr>
        <w:t>Kudła kundër Polonisë</w:t>
      </w:r>
      <w:r w:rsidR="00395112" w:rsidRPr="00E91B0C">
        <w:rPr>
          <w:rFonts w:ascii="Garamond" w:eastAsia="Times New Roman" w:hAnsi="Garamond"/>
          <w:szCs w:val="24"/>
          <w:lang w:val="sq-AL"/>
        </w:rPr>
        <w:t xml:space="preserve"> [DHM], nr. 31210/96</w:t>
      </w:r>
      <w:r w:rsidR="008541A0">
        <w:rPr>
          <w:rFonts w:ascii="Garamond" w:eastAsia="Times New Roman" w:hAnsi="Garamond"/>
          <w:szCs w:val="24"/>
          <w:lang w:val="sq-AL"/>
        </w:rPr>
        <w:t>, §</w:t>
      </w:r>
      <w:r w:rsidR="00395112" w:rsidRPr="00E91B0C">
        <w:rPr>
          <w:rFonts w:ascii="Garamond" w:eastAsia="Times New Roman" w:hAnsi="Garamond"/>
          <w:szCs w:val="24"/>
          <w:lang w:val="sq-AL"/>
        </w:rPr>
        <w:t>152, GJEDNJ 2000-XI).</w:t>
      </w:r>
    </w:p>
    <w:p w:rsidR="00395112" w:rsidRPr="00E91B0C" w:rsidRDefault="002E54AD" w:rsidP="00395112">
      <w:pPr>
        <w:pStyle w:val="JuPara"/>
        <w:widowControl w:val="0"/>
        <w:rPr>
          <w:rFonts w:ascii="Garamond" w:hAnsi="Garamond"/>
          <w:szCs w:val="24"/>
          <w:lang w:val="sq-AL"/>
        </w:rPr>
      </w:pPr>
      <w:r>
        <w:rPr>
          <w:rFonts w:ascii="Garamond" w:eastAsia="Times New Roman" w:hAnsi="Garamond"/>
          <w:szCs w:val="24"/>
          <w:lang w:val="sq-AL"/>
        </w:rPr>
        <w:t>82</w:t>
      </w:r>
      <w:r w:rsidR="00395112" w:rsidRPr="00E91B0C">
        <w:rPr>
          <w:rFonts w:ascii="Garamond" w:eastAsia="Times New Roman" w:hAnsi="Garamond"/>
          <w:szCs w:val="24"/>
          <w:lang w:val="sq-AL"/>
        </w:rPr>
        <w:t xml:space="preserve">. Megjithatë, mbrojtja e ofruar nga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 13 nuk shkon deri në pikën sa të kërkojë një formë të veçantë të mjetit, duke qenë se </w:t>
      </w:r>
      <w:r w:rsidR="00A56677" w:rsidRPr="00E91B0C">
        <w:rPr>
          <w:rFonts w:ascii="Garamond" w:eastAsia="Times New Roman" w:hAnsi="Garamond"/>
          <w:szCs w:val="24"/>
          <w:lang w:val="sq-AL"/>
        </w:rPr>
        <w:t xml:space="preserve">shteteve kontraktuese </w:t>
      </w:r>
      <w:r w:rsidR="00395112" w:rsidRPr="00E91B0C">
        <w:rPr>
          <w:rFonts w:ascii="Garamond" w:eastAsia="Times New Roman" w:hAnsi="Garamond"/>
          <w:szCs w:val="24"/>
          <w:lang w:val="sq-AL"/>
        </w:rPr>
        <w:t xml:space="preserve">iu garantohet një margjinë lirie veprimi bazuar në detyrimet e tyre sipas kësaj dispozite (shih, për shembull, </w:t>
      </w:r>
      <w:r w:rsidR="00395112" w:rsidRPr="00E91B0C">
        <w:rPr>
          <w:rFonts w:ascii="Garamond" w:hAnsi="Garamond"/>
          <w:i/>
          <w:szCs w:val="24"/>
          <w:lang w:val="sq-AL"/>
        </w:rPr>
        <w:t>Kaya kundër Turqisë</w:t>
      </w:r>
      <w:r w:rsidR="00395112" w:rsidRPr="00E91B0C">
        <w:rPr>
          <w:rFonts w:ascii="Garamond" w:hAnsi="Garamond"/>
          <w:szCs w:val="24"/>
          <w:lang w:val="sq-AL"/>
        </w:rPr>
        <w:t>, 19 shkurt 1998</w:t>
      </w:r>
      <w:r w:rsidR="008541A0">
        <w:rPr>
          <w:rFonts w:ascii="Garamond" w:hAnsi="Garamond"/>
          <w:szCs w:val="24"/>
          <w:lang w:val="sq-AL"/>
        </w:rPr>
        <w:t>, §</w:t>
      </w:r>
      <w:r w:rsidR="00395112" w:rsidRPr="00E91B0C">
        <w:rPr>
          <w:rFonts w:ascii="Garamond" w:hAnsi="Garamond"/>
          <w:szCs w:val="24"/>
          <w:lang w:val="sq-AL"/>
        </w:rPr>
        <w:t xml:space="preserve">106, </w:t>
      </w:r>
      <w:r w:rsidR="00395112" w:rsidRPr="00E91B0C">
        <w:rPr>
          <w:rFonts w:ascii="Garamond" w:hAnsi="Garamond"/>
          <w:i/>
          <w:szCs w:val="24"/>
          <w:lang w:val="sq-AL"/>
        </w:rPr>
        <w:t xml:space="preserve">Raportet </w:t>
      </w:r>
      <w:r w:rsidR="00395112" w:rsidRPr="00E91B0C">
        <w:rPr>
          <w:rFonts w:ascii="Garamond" w:hAnsi="Garamond"/>
          <w:szCs w:val="24"/>
          <w:lang w:val="sq-AL"/>
        </w:rPr>
        <w:t>1998</w:t>
      </w:r>
      <w:r w:rsidR="00395112" w:rsidRPr="00E91B0C">
        <w:rPr>
          <w:rFonts w:ascii="Garamond" w:hAnsi="Garamond"/>
          <w:szCs w:val="24"/>
          <w:lang w:val="sq-AL"/>
        </w:rPr>
        <w:noBreakHyphen/>
        <w:t>I).</w:t>
      </w:r>
    </w:p>
    <w:p w:rsidR="00395112" w:rsidRPr="00E91B0C" w:rsidRDefault="002E54AD" w:rsidP="00395112">
      <w:pPr>
        <w:pStyle w:val="JuPara"/>
        <w:widowControl w:val="0"/>
        <w:rPr>
          <w:rFonts w:ascii="Garamond" w:hAnsi="Garamond"/>
          <w:szCs w:val="24"/>
          <w:lang w:val="sq-AL"/>
        </w:rPr>
      </w:pPr>
      <w:r>
        <w:rPr>
          <w:rFonts w:ascii="Garamond" w:hAnsi="Garamond"/>
          <w:szCs w:val="24"/>
          <w:lang w:val="sq-AL"/>
        </w:rPr>
        <w:t>83</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Duke u kthyer në çështjen konkrete, Gjykata nuk është e bindur me argumentet e </w:t>
      </w:r>
      <w:r w:rsidR="00C0025C" w:rsidRPr="00E91B0C">
        <w:rPr>
          <w:rFonts w:ascii="Garamond" w:hAnsi="Garamond"/>
          <w:szCs w:val="24"/>
          <w:lang w:val="sq-AL"/>
        </w:rPr>
        <w:t>qeverisë</w:t>
      </w:r>
      <w:r w:rsidR="00C0025C">
        <w:rPr>
          <w:rFonts w:ascii="Garamond" w:hAnsi="Garamond"/>
          <w:szCs w:val="24"/>
          <w:lang w:val="sq-AL"/>
        </w:rPr>
        <w:t>,</w:t>
      </w:r>
      <w:r w:rsidR="00C0025C" w:rsidRPr="00E91B0C">
        <w:rPr>
          <w:rFonts w:ascii="Garamond" w:hAnsi="Garamond"/>
          <w:szCs w:val="24"/>
          <w:lang w:val="sq-AL"/>
        </w:rPr>
        <w:t xml:space="preserve"> </w:t>
      </w:r>
      <w:r w:rsidR="00395112" w:rsidRPr="00E91B0C">
        <w:rPr>
          <w:rFonts w:ascii="Garamond" w:hAnsi="Garamond"/>
          <w:szCs w:val="24"/>
          <w:lang w:val="sq-AL"/>
        </w:rPr>
        <w:t>se një kërkesë për kompensim</w:t>
      </w:r>
      <w:r w:rsidR="007D2A31">
        <w:rPr>
          <w:rFonts w:ascii="Garamond" w:hAnsi="Garamond"/>
          <w:szCs w:val="24"/>
          <w:lang w:val="sq-AL"/>
        </w:rPr>
        <w:t>,</w:t>
      </w:r>
      <w:r w:rsidR="00395112" w:rsidRPr="00E91B0C">
        <w:rPr>
          <w:rFonts w:ascii="Garamond" w:hAnsi="Garamond"/>
          <w:szCs w:val="24"/>
          <w:lang w:val="sq-AL"/>
        </w:rPr>
        <w:t xml:space="preserve"> sipas </w:t>
      </w:r>
      <w:r w:rsidR="00C0025C" w:rsidRPr="00E91B0C">
        <w:rPr>
          <w:rFonts w:ascii="Garamond" w:hAnsi="Garamond"/>
          <w:szCs w:val="24"/>
          <w:lang w:val="sq-AL"/>
        </w:rPr>
        <w:t>aktit</w:t>
      </w:r>
      <w:r w:rsidR="00C0025C">
        <w:rPr>
          <w:rFonts w:ascii="Garamond" w:hAnsi="Garamond"/>
          <w:szCs w:val="24"/>
          <w:lang w:val="sq-AL"/>
        </w:rPr>
        <w:t xml:space="preserve"> shtetëror për përgjegjësinë jo</w:t>
      </w:r>
      <w:r w:rsidR="00C0025C" w:rsidRPr="00E91B0C">
        <w:rPr>
          <w:rFonts w:ascii="Garamond" w:hAnsi="Garamond"/>
          <w:szCs w:val="24"/>
          <w:lang w:val="sq-AL"/>
        </w:rPr>
        <w:t xml:space="preserve">kontraktuale, aktit për inspektimin e godinave </w:t>
      </w:r>
      <w:r w:rsidR="00395112" w:rsidRPr="00E91B0C">
        <w:rPr>
          <w:rFonts w:ascii="Garamond" w:hAnsi="Garamond"/>
          <w:szCs w:val="24"/>
          <w:lang w:val="sq-AL"/>
        </w:rPr>
        <w:t xml:space="preserve">ose Kodit Civil, siç edhe ilustrohet nga praktika gjyqësore e brendshme, parashtruar nga </w:t>
      </w:r>
      <w:r w:rsidR="00C0025C" w:rsidRPr="00E91B0C">
        <w:rPr>
          <w:rFonts w:ascii="Garamond" w:hAnsi="Garamond"/>
          <w:szCs w:val="24"/>
          <w:lang w:val="sq-AL"/>
        </w:rPr>
        <w:t xml:space="preserve">qeveria </w:t>
      </w:r>
      <w:r w:rsidR="00395112" w:rsidRPr="00E91B0C">
        <w:rPr>
          <w:rFonts w:ascii="Garamond" w:hAnsi="Garamond"/>
          <w:szCs w:val="24"/>
          <w:lang w:val="sq-AL"/>
        </w:rPr>
        <w:t xml:space="preserve">(shih paragrafin 55 më sipër), do të kishte qenë efikase në rrethanat specifike të </w:t>
      </w:r>
      <w:r w:rsidR="00C0025C">
        <w:rPr>
          <w:rFonts w:ascii="Garamond" w:hAnsi="Garamond"/>
          <w:szCs w:val="24"/>
          <w:lang w:val="sq-AL"/>
        </w:rPr>
        <w:t>ç</w:t>
      </w:r>
      <w:r w:rsidR="00395112" w:rsidRPr="00E91B0C">
        <w:rPr>
          <w:rFonts w:ascii="Garamond" w:hAnsi="Garamond"/>
          <w:szCs w:val="24"/>
          <w:lang w:val="sq-AL"/>
        </w:rPr>
        <w:t xml:space="preserve">ështjes. Së pari, Gjykata vëren se shembujt e dhënë nga </w:t>
      </w:r>
      <w:r w:rsidR="00C0025C" w:rsidRPr="00E91B0C">
        <w:rPr>
          <w:rFonts w:ascii="Garamond" w:hAnsi="Garamond"/>
          <w:szCs w:val="24"/>
          <w:lang w:val="sq-AL"/>
        </w:rPr>
        <w:t xml:space="preserve">qeveria </w:t>
      </w:r>
      <w:r w:rsidR="00C0025C">
        <w:rPr>
          <w:rFonts w:ascii="Garamond" w:hAnsi="Garamond"/>
          <w:szCs w:val="24"/>
          <w:lang w:val="sq-AL"/>
        </w:rPr>
        <w:t>u</w:t>
      </w:r>
      <w:r w:rsidR="00395112" w:rsidRPr="00E91B0C">
        <w:rPr>
          <w:rFonts w:ascii="Garamond" w:hAnsi="Garamond"/>
          <w:szCs w:val="24"/>
          <w:lang w:val="sq-AL"/>
        </w:rPr>
        <w:t xml:space="preserve"> referohen kërkesave për kompensim në çështjet ku INUK</w:t>
      </w:r>
      <w:r w:rsidR="001C77BD">
        <w:rPr>
          <w:rFonts w:ascii="Garamond" w:hAnsi="Garamond"/>
          <w:szCs w:val="24"/>
          <w:lang w:val="sq-AL"/>
        </w:rPr>
        <w:t>-u</w:t>
      </w:r>
      <w:r w:rsidR="00395112" w:rsidRPr="00E91B0C">
        <w:rPr>
          <w:rFonts w:ascii="Garamond" w:hAnsi="Garamond"/>
          <w:szCs w:val="24"/>
          <w:lang w:val="sq-AL"/>
        </w:rPr>
        <w:t xml:space="preserve"> dhe INU</w:t>
      </w:r>
      <w:r w:rsidR="001C77BD">
        <w:rPr>
          <w:rFonts w:ascii="Garamond" w:hAnsi="Garamond"/>
          <w:szCs w:val="24"/>
          <w:lang w:val="sq-AL"/>
        </w:rPr>
        <w:t>-ja</w:t>
      </w:r>
      <w:r w:rsidR="00395112" w:rsidRPr="00E91B0C">
        <w:rPr>
          <w:rFonts w:ascii="Garamond" w:hAnsi="Garamond"/>
          <w:szCs w:val="24"/>
          <w:lang w:val="sq-AL"/>
        </w:rPr>
        <w:t xml:space="preserve"> shembën ndërtimet e paligjshme ose nëse procedura e legjislacionit ishte ende në vijim. Megjithatë, Gjykata vëren se nuk ka asnjë informacion në dosjen e çështjes në lidhje me faktin nëse ato vendime u bënë të </w:t>
      </w:r>
      <w:r w:rsidR="007D2A31">
        <w:rPr>
          <w:rFonts w:ascii="Garamond" w:hAnsi="Garamond"/>
          <w:szCs w:val="24"/>
          <w:lang w:val="sq-AL"/>
        </w:rPr>
        <w:t>formës së prerë në nivel vendor</w:t>
      </w:r>
      <w:r w:rsidR="00395112" w:rsidRPr="00E91B0C">
        <w:rPr>
          <w:rFonts w:ascii="Garamond" w:hAnsi="Garamond"/>
          <w:szCs w:val="24"/>
          <w:lang w:val="sq-AL"/>
        </w:rPr>
        <w:t xml:space="preserve"> dhe</w:t>
      </w:r>
      <w:r w:rsidR="007D2A31">
        <w:rPr>
          <w:rFonts w:ascii="Garamond" w:hAnsi="Garamond"/>
          <w:szCs w:val="24"/>
          <w:lang w:val="sq-AL"/>
        </w:rPr>
        <w:t>,</w:t>
      </w:r>
      <w:r w:rsidR="00395112" w:rsidRPr="00E91B0C">
        <w:rPr>
          <w:rFonts w:ascii="Garamond" w:hAnsi="Garamond"/>
          <w:szCs w:val="24"/>
          <w:lang w:val="sq-AL"/>
        </w:rPr>
        <w:t xml:space="preserve"> nëse po, nëse autoritetet i zbatuan ato. Më tej, Gjykata vëren se në çështjet konkrete, autoritetet nuk proceduan me ndonjë shpronësim në interesin publik, duke qenë se rrethanat ishin ndryshe nga ato në çështjen konkrete. Së dyti, Gjykata vëren se kërkuesit nuk u ankuan në Gjykatë për një moskompensim të dëmit monetar për moszbatimin e urdhrit të pë</w:t>
      </w:r>
      <w:r w:rsidR="00563A4C">
        <w:rPr>
          <w:rFonts w:ascii="Garamond" w:hAnsi="Garamond"/>
          <w:szCs w:val="24"/>
          <w:lang w:val="sq-AL"/>
        </w:rPr>
        <w:t>rkohshëm të datës 7 nëntor 2013</w:t>
      </w:r>
      <w:r w:rsidR="00395112" w:rsidRPr="00E91B0C">
        <w:rPr>
          <w:rFonts w:ascii="Garamond" w:hAnsi="Garamond"/>
          <w:szCs w:val="24"/>
          <w:lang w:val="sq-AL"/>
        </w:rPr>
        <w:t xml:space="preserve"> dhe as se autoritetet nu</w:t>
      </w:r>
      <w:r w:rsidR="008B2E1D">
        <w:rPr>
          <w:rFonts w:ascii="Garamond" w:hAnsi="Garamond"/>
          <w:szCs w:val="24"/>
          <w:lang w:val="sq-AL"/>
        </w:rPr>
        <w:t>k zbatuan masën e përkohshme, ç</w:t>
      </w:r>
      <w:r w:rsidR="00395112" w:rsidRPr="00E91B0C">
        <w:rPr>
          <w:rFonts w:ascii="Garamond" w:hAnsi="Garamond"/>
          <w:szCs w:val="24"/>
          <w:lang w:val="sq-AL"/>
        </w:rPr>
        <w:t xml:space="preserve">ka e bënte të pamundur faktin që meritat e çështjes së tyre të shqyrtoheshin në mënyrën e duhur.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84. Për më tepër, Gjykata përsërit se parimi i shtetit të së drejtës, të cilin e ndërmorën </w:t>
      </w:r>
      <w:r w:rsidR="00563A4C" w:rsidRPr="00E91B0C">
        <w:rPr>
          <w:rFonts w:ascii="Garamond" w:hAnsi="Garamond"/>
          <w:szCs w:val="24"/>
          <w:lang w:val="sq-AL"/>
        </w:rPr>
        <w:t xml:space="preserve">shtetet kontraktuese </w:t>
      </w:r>
      <w:r w:rsidRPr="00E91B0C">
        <w:rPr>
          <w:rFonts w:ascii="Garamond" w:hAnsi="Garamond"/>
          <w:szCs w:val="24"/>
          <w:lang w:val="sq-AL"/>
        </w:rPr>
        <w:t xml:space="preserve">për të garantuar se autoritetet kompetente do të zbatonin mjetet gjyqësore, kur ato të </w:t>
      </w:r>
      <w:r w:rsidRPr="00E91B0C">
        <w:rPr>
          <w:rFonts w:ascii="Garamond" w:hAnsi="Garamond"/>
          <w:szCs w:val="24"/>
          <w:lang w:val="sq-AL"/>
        </w:rPr>
        <w:lastRenderedPageBreak/>
        <w:t xml:space="preserve">garantoheshin (shih, </w:t>
      </w:r>
      <w:r w:rsidRPr="00E91B0C">
        <w:rPr>
          <w:rFonts w:ascii="Garamond" w:hAnsi="Garamond"/>
          <w:i/>
          <w:szCs w:val="24"/>
          <w:lang w:val="sq-AL"/>
        </w:rPr>
        <w:t>Iatridis kundër Greqisë</w:t>
      </w:r>
      <w:r w:rsidRPr="00E91B0C">
        <w:rPr>
          <w:rFonts w:ascii="Garamond" w:hAnsi="Garamond"/>
          <w:szCs w:val="24"/>
          <w:lang w:val="sq-AL"/>
        </w:rPr>
        <w:t xml:space="preserve"> [DHM], nr. 31107/96</w:t>
      </w:r>
      <w:r w:rsidR="008541A0">
        <w:rPr>
          <w:rFonts w:ascii="Garamond" w:hAnsi="Garamond"/>
          <w:szCs w:val="24"/>
          <w:lang w:val="sq-AL"/>
        </w:rPr>
        <w:t>, §</w:t>
      </w:r>
      <w:r w:rsidRPr="00E91B0C">
        <w:rPr>
          <w:rFonts w:ascii="Garamond" w:hAnsi="Garamond"/>
          <w:szCs w:val="24"/>
          <w:lang w:val="sq-AL"/>
        </w:rPr>
        <w:t>66, GJEDNJ 1999</w:t>
      </w:r>
      <w:r w:rsidRPr="00E91B0C">
        <w:rPr>
          <w:rFonts w:ascii="Garamond" w:hAnsi="Garamond"/>
          <w:szCs w:val="24"/>
          <w:lang w:val="sq-AL"/>
        </w:rPr>
        <w:noBreakHyphen/>
        <w:t xml:space="preserve">II, dhe </w:t>
      </w:r>
      <w:r w:rsidRPr="00E91B0C">
        <w:rPr>
          <w:rFonts w:ascii="Garamond" w:hAnsi="Garamond"/>
          <w:i/>
          <w:szCs w:val="24"/>
          <w:lang w:val="sq-AL"/>
        </w:rPr>
        <w:t>Pavić kundër Kroacisë</w:t>
      </w:r>
      <w:r w:rsidRPr="00E91B0C">
        <w:rPr>
          <w:rFonts w:ascii="Garamond" w:hAnsi="Garamond"/>
          <w:szCs w:val="24"/>
          <w:lang w:val="sq-AL"/>
        </w:rPr>
        <w:t>, nr. 21846/08</w:t>
      </w:r>
      <w:r w:rsidR="008541A0">
        <w:rPr>
          <w:rFonts w:ascii="Garamond" w:hAnsi="Garamond"/>
          <w:szCs w:val="24"/>
          <w:lang w:val="sq-AL"/>
        </w:rPr>
        <w:t>, §</w:t>
      </w:r>
      <w:r w:rsidRPr="00E91B0C">
        <w:rPr>
          <w:rFonts w:ascii="Garamond" w:hAnsi="Garamond"/>
          <w:szCs w:val="24"/>
          <w:lang w:val="sq-AL"/>
        </w:rPr>
        <w:t xml:space="preserve">38, 28 janar 2010). Për më tepër, duke iu referuar çështjeve </w:t>
      </w:r>
      <w:r w:rsidRPr="00E91B0C">
        <w:rPr>
          <w:rFonts w:ascii="Garamond" w:hAnsi="Garamond"/>
          <w:i/>
          <w:szCs w:val="24"/>
          <w:lang w:val="sq-AL"/>
        </w:rPr>
        <w:t xml:space="preserve">Gjyli kundër Shqipërisë </w:t>
      </w:r>
      <w:r w:rsidRPr="00E91B0C">
        <w:rPr>
          <w:rFonts w:ascii="Garamond" w:hAnsi="Garamond"/>
          <w:szCs w:val="24"/>
          <w:lang w:val="sq-AL"/>
        </w:rPr>
        <w:t>(nr. 32907/07</w:t>
      </w:r>
      <w:r w:rsidRPr="00E91B0C">
        <w:rPr>
          <w:rFonts w:ascii="Garamond" w:hAnsi="Garamond"/>
          <w:snapToGrid w:val="0"/>
          <w:szCs w:val="24"/>
          <w:lang w:val="sq-AL"/>
        </w:rPr>
        <w:t>, §§ 55</w:t>
      </w:r>
      <w:r w:rsidR="005B203A">
        <w:rPr>
          <w:rFonts w:ascii="Garamond" w:hAnsi="Garamond"/>
          <w:szCs w:val="24"/>
          <w:lang w:val="sq-AL"/>
        </w:rPr>
        <w:t>–</w:t>
      </w:r>
      <w:r w:rsidRPr="00E91B0C">
        <w:rPr>
          <w:rFonts w:ascii="Garamond" w:hAnsi="Garamond"/>
          <w:snapToGrid w:val="0"/>
          <w:szCs w:val="24"/>
          <w:lang w:val="sq-AL"/>
        </w:rPr>
        <w:t xml:space="preserve">61, 29 shtator 2009), </w:t>
      </w:r>
      <w:r w:rsidRPr="00E91B0C">
        <w:rPr>
          <w:rFonts w:ascii="Garamond" w:hAnsi="Garamond"/>
          <w:i/>
          <w:szCs w:val="24"/>
          <w:lang w:val="sq-AL"/>
        </w:rPr>
        <w:t>Manushaqe Puto dhe të tjerët kundër Shqipërisë</w:t>
      </w:r>
      <w:r w:rsidRPr="00E91B0C">
        <w:rPr>
          <w:rFonts w:ascii="Garamond" w:hAnsi="Garamond"/>
          <w:szCs w:val="24"/>
          <w:lang w:val="sq-AL"/>
        </w:rPr>
        <w:t xml:space="preserve"> (nr. 604/07 dhe 3 të tjerë, </w:t>
      </w:r>
      <w:r w:rsidRPr="00E91B0C">
        <w:rPr>
          <w:rFonts w:ascii="Garamond" w:hAnsi="Garamond"/>
          <w:snapToGrid w:val="0"/>
          <w:szCs w:val="24"/>
          <w:lang w:val="sq-AL"/>
        </w:rPr>
        <w:t>§§ 33</w:t>
      </w:r>
      <w:r w:rsidR="005B203A">
        <w:rPr>
          <w:rFonts w:ascii="Garamond" w:hAnsi="Garamond"/>
          <w:szCs w:val="24"/>
          <w:lang w:val="sq-AL"/>
        </w:rPr>
        <w:t>–</w:t>
      </w:r>
      <w:r w:rsidRPr="00E91B0C">
        <w:rPr>
          <w:rFonts w:ascii="Garamond" w:hAnsi="Garamond"/>
          <w:snapToGrid w:val="0"/>
          <w:szCs w:val="24"/>
          <w:lang w:val="sq-AL"/>
        </w:rPr>
        <w:t xml:space="preserve">35, 31 korrik 2012) dhe </w:t>
      </w:r>
      <w:r w:rsidRPr="00E91B0C">
        <w:rPr>
          <w:rFonts w:ascii="Garamond" w:hAnsi="Garamond"/>
          <w:i/>
          <w:szCs w:val="24"/>
          <w:lang w:val="sq-AL"/>
        </w:rPr>
        <w:t>Luli dhe të tjerët kundër Shqipërisë</w:t>
      </w:r>
      <w:r w:rsidRPr="00E91B0C">
        <w:rPr>
          <w:rFonts w:ascii="Garamond" w:hAnsi="Garamond"/>
          <w:snapToGrid w:val="0"/>
          <w:szCs w:val="24"/>
          <w:lang w:val="sq-AL"/>
        </w:rPr>
        <w:t xml:space="preserve"> (nr.</w:t>
      </w:r>
      <w:r w:rsidRPr="00E91B0C">
        <w:rPr>
          <w:rFonts w:ascii="Garamond" w:hAnsi="Garamond"/>
          <w:szCs w:val="24"/>
          <w:lang w:val="sq-AL"/>
        </w:rPr>
        <w:t xml:space="preserve"> 64480/09 dhe 5 të tjerë, §§ 77</w:t>
      </w:r>
      <w:r w:rsidR="005B203A">
        <w:rPr>
          <w:rFonts w:ascii="Garamond" w:hAnsi="Garamond"/>
          <w:szCs w:val="24"/>
          <w:lang w:val="sq-AL"/>
        </w:rPr>
        <w:t>–</w:t>
      </w:r>
      <w:r w:rsidRPr="00E91B0C">
        <w:rPr>
          <w:rFonts w:ascii="Garamond" w:hAnsi="Garamond"/>
          <w:szCs w:val="24"/>
          <w:lang w:val="sq-AL"/>
        </w:rPr>
        <w:t>84, dhe §§ 114</w:t>
      </w:r>
      <w:r w:rsidR="005B203A">
        <w:rPr>
          <w:rFonts w:ascii="Garamond" w:hAnsi="Garamond"/>
          <w:szCs w:val="24"/>
          <w:lang w:val="sq-AL"/>
        </w:rPr>
        <w:t>–</w:t>
      </w:r>
      <w:r w:rsidRPr="00E91B0C">
        <w:rPr>
          <w:rFonts w:ascii="Garamond" w:hAnsi="Garamond"/>
          <w:szCs w:val="24"/>
          <w:lang w:val="sq-AL"/>
        </w:rPr>
        <w:t>119, 1 prill 2014), Gjykata konstaton se në Shqipëri nuk kishte asnjë mjet efikas në lidhje me moszbatimin e vendimeve të formës së prerë dhe kohëzgjatjen e procedimeve në kohë fizike. Në vijim, ajo vëren se Gjykata Kushtetuese, përveç konstatimit shpjegues të një shkelje</w:t>
      </w:r>
      <w:r w:rsidR="0065794C">
        <w:rPr>
          <w:rFonts w:ascii="Garamond" w:hAnsi="Garamond"/>
          <w:szCs w:val="24"/>
          <w:lang w:val="sq-AL"/>
        </w:rPr>
        <w:t>je</w:t>
      </w:r>
      <w:r w:rsidRPr="00E91B0C">
        <w:rPr>
          <w:rFonts w:ascii="Garamond" w:hAnsi="Garamond"/>
          <w:szCs w:val="24"/>
          <w:lang w:val="sq-AL"/>
        </w:rPr>
        <w:t xml:space="preserve">, ku vendimet e formës së prerë të gjykatave nuk zbatohen (shih paragrafin 68 më sipër), nuk mund të ofrojë ndonjë mjet korrigjimi për të kompensuar situatën. Nën këto rrethana, Gjykata konstaton se nuk kishte dhe ende nuk </w:t>
      </w:r>
      <w:r w:rsidR="00C0025C" w:rsidRPr="00E91B0C">
        <w:rPr>
          <w:rFonts w:ascii="Garamond" w:hAnsi="Garamond"/>
          <w:szCs w:val="24"/>
          <w:lang w:val="sq-AL"/>
        </w:rPr>
        <w:t>ekzistojnë</w:t>
      </w:r>
      <w:r w:rsidRPr="00E91B0C">
        <w:rPr>
          <w:rFonts w:ascii="Garamond" w:hAnsi="Garamond"/>
          <w:szCs w:val="24"/>
          <w:lang w:val="sq-AL"/>
        </w:rPr>
        <w:t xml:space="preserve"> mjete efikase të disponueshme për kërkuesit në lidhje me moszbatimin e urdhrit të përkohshëm.</w:t>
      </w:r>
      <w:r w:rsid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85. Sa më sipër, Gjykata arrin në përfundimin se ka pasur një shkelje të </w:t>
      </w:r>
      <w:r w:rsidR="001073BE" w:rsidRPr="00E91B0C">
        <w:rPr>
          <w:rFonts w:ascii="Garamond" w:hAnsi="Garamond"/>
          <w:szCs w:val="24"/>
          <w:lang w:val="sq-AL"/>
        </w:rPr>
        <w:t>n</w:t>
      </w:r>
      <w:r w:rsidRPr="00E91B0C">
        <w:rPr>
          <w:rFonts w:ascii="Garamond" w:hAnsi="Garamond"/>
          <w:szCs w:val="24"/>
          <w:lang w:val="sq-AL"/>
        </w:rPr>
        <w:t>enit 6</w:t>
      </w:r>
      <w:r w:rsidR="008B2E1D">
        <w:rPr>
          <w:rFonts w:ascii="Garamond" w:hAnsi="Garamond"/>
          <w:szCs w:val="24"/>
          <w:lang w:val="sq-AL"/>
        </w:rPr>
        <w:t>§</w:t>
      </w:r>
      <w:r w:rsidRPr="00E91B0C">
        <w:rPr>
          <w:rFonts w:ascii="Garamond" w:hAnsi="Garamond"/>
          <w:szCs w:val="24"/>
          <w:lang w:val="sq-AL"/>
        </w:rPr>
        <w:t>1 të Konventës. Më tej</w:t>
      </w:r>
      <w:r w:rsidR="00F540BA">
        <w:rPr>
          <w:rFonts w:ascii="Garamond" w:hAnsi="Garamond"/>
          <w:szCs w:val="24"/>
          <w:lang w:val="sq-AL"/>
        </w:rPr>
        <w:t>,</w:t>
      </w:r>
      <w:r w:rsidRPr="00E91B0C">
        <w:rPr>
          <w:rFonts w:ascii="Garamond" w:hAnsi="Garamond"/>
          <w:szCs w:val="24"/>
          <w:lang w:val="sq-AL"/>
        </w:rPr>
        <w:t xml:space="preserve"> ajo vijon se kundërshtimi paraprak i </w:t>
      </w:r>
      <w:r w:rsidR="0018461E" w:rsidRPr="00E91B0C">
        <w:rPr>
          <w:rFonts w:ascii="Garamond" w:hAnsi="Garamond"/>
          <w:szCs w:val="24"/>
          <w:lang w:val="sq-AL"/>
        </w:rPr>
        <w:t xml:space="preserve">qeverisë </w:t>
      </w:r>
      <w:r w:rsidRPr="00E91B0C">
        <w:rPr>
          <w:rFonts w:ascii="Garamond" w:hAnsi="Garamond"/>
          <w:szCs w:val="24"/>
          <w:lang w:val="sq-AL"/>
        </w:rPr>
        <w:t xml:space="preserve">për mosshfrytëzim në lidhje me këtë aspekt, duhet të pushohet.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49" w:name="_Toc520459349"/>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 xml:space="preserve">Respektim i </w:t>
      </w:r>
      <w:r w:rsidR="001073BE" w:rsidRPr="00E91B0C">
        <w:rPr>
          <w:rFonts w:ascii="Garamond" w:hAnsi="Garamond"/>
          <w:szCs w:val="24"/>
          <w:lang w:val="sq-AL"/>
        </w:rPr>
        <w:t>n</w:t>
      </w:r>
      <w:r w:rsidRPr="00E91B0C">
        <w:rPr>
          <w:rFonts w:ascii="Garamond" w:hAnsi="Garamond"/>
          <w:szCs w:val="24"/>
          <w:lang w:val="sq-AL"/>
        </w:rPr>
        <w:t>enit 6</w:t>
      </w:r>
      <w:r w:rsidR="008B2E1D">
        <w:rPr>
          <w:rFonts w:ascii="Garamond" w:hAnsi="Garamond"/>
          <w:szCs w:val="24"/>
          <w:lang w:val="sq-AL"/>
        </w:rPr>
        <w:t>§</w:t>
      </w:r>
      <w:r w:rsidRPr="00E91B0C">
        <w:rPr>
          <w:rFonts w:ascii="Garamond" w:hAnsi="Garamond"/>
          <w:szCs w:val="24"/>
          <w:lang w:val="sq-AL"/>
        </w:rPr>
        <w:t>1 të Konventës</w:t>
      </w:r>
      <w:bookmarkEnd w:id="49"/>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Parashtrimet e palëve</w:t>
      </w:r>
    </w:p>
    <w:p w:rsidR="00510480" w:rsidRPr="00922378" w:rsidRDefault="00395112" w:rsidP="00922378">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w:t>
      </w:r>
      <w:r w:rsidR="008B2E1D">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Kërkuesit</w:t>
      </w:r>
    </w:p>
    <w:p w:rsidR="00395112" w:rsidRPr="00E91B0C" w:rsidRDefault="002E54AD" w:rsidP="00395112">
      <w:pPr>
        <w:pStyle w:val="JuPara"/>
        <w:widowControl w:val="0"/>
        <w:rPr>
          <w:rFonts w:ascii="Garamond" w:hAnsi="Garamond"/>
          <w:szCs w:val="24"/>
          <w:lang w:val="sq-AL"/>
        </w:rPr>
      </w:pPr>
      <w:r>
        <w:rPr>
          <w:rFonts w:ascii="Garamond" w:hAnsi="Garamond"/>
          <w:szCs w:val="24"/>
          <w:lang w:val="sq-AL"/>
        </w:rPr>
        <w:t>86</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Kërkuesit parashtruan se ishte shkelur </w:t>
      </w:r>
      <w:r w:rsidR="001073BE" w:rsidRPr="00E91B0C">
        <w:rPr>
          <w:rFonts w:ascii="Garamond" w:hAnsi="Garamond"/>
          <w:szCs w:val="24"/>
          <w:lang w:val="sq-AL"/>
        </w:rPr>
        <w:t>n</w:t>
      </w:r>
      <w:r w:rsidR="00395112" w:rsidRPr="00E91B0C">
        <w:rPr>
          <w:rFonts w:ascii="Garamond" w:hAnsi="Garamond"/>
          <w:szCs w:val="24"/>
          <w:lang w:val="sq-AL"/>
        </w:rPr>
        <w:t>eni 6</w:t>
      </w:r>
      <w:r w:rsidR="008B2E1D">
        <w:rPr>
          <w:rFonts w:ascii="Garamond" w:hAnsi="Garamond"/>
          <w:szCs w:val="24"/>
          <w:lang w:val="sq-AL"/>
        </w:rPr>
        <w:t>§</w:t>
      </w:r>
      <w:r w:rsidR="00395112" w:rsidRPr="00E91B0C">
        <w:rPr>
          <w:rFonts w:ascii="Garamond" w:hAnsi="Garamond"/>
          <w:szCs w:val="24"/>
          <w:lang w:val="sq-AL"/>
        </w:rPr>
        <w:t>1 i Konventës</w:t>
      </w:r>
      <w:r w:rsidR="00C135A2">
        <w:rPr>
          <w:rFonts w:ascii="Garamond" w:hAnsi="Garamond"/>
          <w:szCs w:val="24"/>
          <w:lang w:val="sq-AL"/>
        </w:rPr>
        <w:t>,</w:t>
      </w:r>
      <w:r w:rsidR="00395112" w:rsidRPr="00E91B0C">
        <w:rPr>
          <w:rFonts w:ascii="Garamond" w:hAnsi="Garamond"/>
          <w:szCs w:val="24"/>
          <w:lang w:val="sq-AL"/>
        </w:rPr>
        <w:t xml:space="preserve"> si rezultat i moszbatimit të urdhrit të përkohshëm të datës 7 nëntor 2013. Urdhri i përkohshëm, i cili kishte ndaluar çdo veprim të mëtejshëm nga autoritetet shtetërore ndaj Rezidencës Jon , të cil</w:t>
      </w:r>
      <w:r w:rsidR="00CF5CE6">
        <w:rPr>
          <w:rFonts w:ascii="Garamond" w:hAnsi="Garamond"/>
          <w:szCs w:val="24"/>
          <w:lang w:val="sq-AL"/>
        </w:rPr>
        <w:t>ë</w:t>
      </w:r>
      <w:r w:rsidR="00395112" w:rsidRPr="00E91B0C">
        <w:rPr>
          <w:rFonts w:ascii="Garamond" w:hAnsi="Garamond"/>
          <w:szCs w:val="24"/>
          <w:lang w:val="sq-AL"/>
        </w:rPr>
        <w:t>t mund të pengonin të drejtën e tyre për të gëzuar qetësisht pronat e tyre, kishte deklaruar qartazi se godina nuk duhej të shembej.</w:t>
      </w:r>
      <w:r w:rsidR="00E91B0C">
        <w:rPr>
          <w:rFonts w:ascii="Garamond" w:hAnsi="Garamond"/>
          <w:szCs w:val="24"/>
          <w:lang w:val="sq-AL"/>
        </w:rPr>
        <w:t xml:space="preserve"> </w:t>
      </w:r>
      <w:r w:rsidR="00395112" w:rsidRPr="00E91B0C">
        <w:rPr>
          <w:rFonts w:ascii="Garamond" w:hAnsi="Garamond"/>
          <w:szCs w:val="24"/>
          <w:lang w:val="sq-AL"/>
        </w:rPr>
        <w:t>Megjithatë, autoritete</w:t>
      </w:r>
      <w:r w:rsidR="00CF5CE6">
        <w:rPr>
          <w:rFonts w:ascii="Garamond" w:hAnsi="Garamond"/>
          <w:szCs w:val="24"/>
          <w:lang w:val="sq-AL"/>
        </w:rPr>
        <w:t>t</w:t>
      </w:r>
      <w:r w:rsidR="00395112" w:rsidRPr="00E91B0C">
        <w:rPr>
          <w:rFonts w:ascii="Garamond" w:hAnsi="Garamond"/>
          <w:szCs w:val="24"/>
          <w:lang w:val="sq-AL"/>
        </w:rPr>
        <w:t xml:space="preserve"> shqiptare e shembën Rezidencën Jon pavarësisht urdhrit të përkohshëm të lëshuar nga Gjykata e Rrethit dhe vetëm pak ditë përpara programimit të seancës dëgjimore në Gjykatën Administrative të Apelit. </w:t>
      </w:r>
      <w:r w:rsidR="005400A5" w:rsidRPr="00E91B0C">
        <w:rPr>
          <w:rFonts w:ascii="Garamond" w:hAnsi="Garamond"/>
          <w:szCs w:val="24"/>
          <w:lang w:val="sq-AL"/>
        </w:rPr>
        <w:t xml:space="preserve">Nuk </w:t>
      </w:r>
      <w:r w:rsidR="00395112" w:rsidRPr="00E91B0C">
        <w:rPr>
          <w:rFonts w:ascii="Garamond" w:hAnsi="Garamond"/>
          <w:szCs w:val="24"/>
          <w:lang w:val="sq-AL"/>
        </w:rPr>
        <w:t>kishte asnjë të dhënë publike për ndonjë urdhër shembje</w:t>
      </w:r>
      <w:r w:rsidR="005400A5">
        <w:rPr>
          <w:rFonts w:ascii="Garamond" w:hAnsi="Garamond"/>
          <w:szCs w:val="24"/>
          <w:lang w:val="sq-AL"/>
        </w:rPr>
        <w:t>je</w:t>
      </w:r>
      <w:r w:rsidR="00395112" w:rsidRPr="00E91B0C">
        <w:rPr>
          <w:rFonts w:ascii="Garamond" w:hAnsi="Garamond"/>
          <w:szCs w:val="24"/>
          <w:lang w:val="sq-AL"/>
        </w:rPr>
        <w:t xml:space="preserve"> as i miratuar nga Bashkia Vlorë dhe as i njoftuar te kërkuesit.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87. Për më tepër, sipas vendimit të gjykatave të brendshme, vendimi për shpronësim kishte qenë i paligjshëm dhe haptazi në shmangie të urdhrit të përkohshëm. Autoritetet nuk kishin respektuar urdhrin e përkohshëm duke qenë se kërkuesve nuk iu ishte lejuar aksesi i pakufizuar në pronat e tyre pas konfiskimit dhe njoftimit publik për shembjen.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88. Së fundmi, pamundësia e autoriteteve për të respektuar urdhrin e përkohshëm dhe shembjen e Rezidencës Jon në vetëm pak ditë, kishte passjellë një shkelje të të drejtave procedurale të kërkuesve duke i penguar kërkesat e tyre në procedimet kryesore. </w:t>
      </w:r>
    </w:p>
    <w:p w:rsidR="00395112" w:rsidRPr="00E91B0C" w:rsidRDefault="008B2E1D" w:rsidP="00395112">
      <w:pPr>
        <w:pStyle w:val="ECHRHeading5"/>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ii</w:t>
      </w:r>
      <w:r>
        <w:rPr>
          <w:rFonts w:ascii="Garamond" w:hAnsi="Garamond"/>
          <w:sz w:val="24"/>
          <w:szCs w:val="24"/>
          <w:lang w:val="sq-AL"/>
        </w:rPr>
        <w:t>.</w:t>
      </w:r>
      <w:r w:rsidR="00E91B0C">
        <w:rPr>
          <w:rFonts w:ascii="Garamond" w:hAnsi="Garamond"/>
          <w:sz w:val="24"/>
          <w:szCs w:val="24"/>
          <w:lang w:val="sq-AL"/>
        </w:rPr>
        <w:t xml:space="preserve"> </w:t>
      </w:r>
      <w:r w:rsidR="00395112" w:rsidRPr="00E91B0C">
        <w:rPr>
          <w:rFonts w:ascii="Garamond" w:hAnsi="Garamond"/>
          <w:sz w:val="24"/>
          <w:szCs w:val="24"/>
          <w:lang w:val="sq-AL"/>
        </w:rPr>
        <w:t xml:space="preserve">Qeveria </w:t>
      </w:r>
    </w:p>
    <w:p w:rsidR="00395112" w:rsidRPr="00E91B0C" w:rsidRDefault="002E54AD" w:rsidP="00395112">
      <w:pPr>
        <w:pStyle w:val="JuPara"/>
        <w:widowControl w:val="0"/>
        <w:rPr>
          <w:rFonts w:ascii="Garamond" w:hAnsi="Garamond"/>
          <w:szCs w:val="24"/>
          <w:lang w:val="sq-AL"/>
        </w:rPr>
      </w:pPr>
      <w:r>
        <w:rPr>
          <w:rFonts w:ascii="Garamond" w:hAnsi="Garamond"/>
          <w:szCs w:val="24"/>
          <w:lang w:val="sq-AL"/>
        </w:rPr>
        <w:t>89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Fillimisht, </w:t>
      </w:r>
      <w:r w:rsidR="0018461E" w:rsidRPr="00E91B0C">
        <w:rPr>
          <w:rFonts w:ascii="Garamond" w:hAnsi="Garamond"/>
          <w:szCs w:val="24"/>
          <w:lang w:val="sq-AL"/>
        </w:rPr>
        <w:t>q</w:t>
      </w:r>
      <w:r w:rsidR="00395112" w:rsidRPr="00E91B0C">
        <w:rPr>
          <w:rFonts w:ascii="Garamond" w:hAnsi="Garamond"/>
          <w:szCs w:val="24"/>
          <w:lang w:val="sq-AL"/>
        </w:rPr>
        <w:t xml:space="preserve">everia parashtroi se autoritetet nuk kishin kundërshtuar urdhrin e përkohshëm të datës 7 nëntor 2013, duke qenë se ai nuk ishte lëshuar në përputhje me ligjin e brendshëm. Në parashtrimet e tyre verbale, </w:t>
      </w:r>
      <w:r w:rsidR="0018461E" w:rsidRPr="00E91B0C">
        <w:rPr>
          <w:rFonts w:ascii="Garamond" w:hAnsi="Garamond"/>
          <w:szCs w:val="24"/>
          <w:lang w:val="sq-AL"/>
        </w:rPr>
        <w:t>q</w:t>
      </w:r>
      <w:r w:rsidR="00395112" w:rsidRPr="00E91B0C">
        <w:rPr>
          <w:rFonts w:ascii="Garamond" w:hAnsi="Garamond"/>
          <w:szCs w:val="24"/>
          <w:lang w:val="sq-AL"/>
        </w:rPr>
        <w:t xml:space="preserve">everia argumentonte se Gjykata duhej të kishte në konsideratë situatën e përgjithshme me të cilën po përballej </w:t>
      </w:r>
      <w:r w:rsidR="0018461E" w:rsidRPr="00E91B0C">
        <w:rPr>
          <w:rFonts w:ascii="Garamond" w:hAnsi="Garamond"/>
          <w:szCs w:val="24"/>
          <w:lang w:val="sq-AL"/>
        </w:rPr>
        <w:t>qe</w:t>
      </w:r>
      <w:r w:rsidR="00395112" w:rsidRPr="00E91B0C">
        <w:rPr>
          <w:rFonts w:ascii="Garamond" w:hAnsi="Garamond"/>
          <w:szCs w:val="24"/>
          <w:lang w:val="sq-AL"/>
        </w:rPr>
        <w:t>veria e re në qershor 2013: ishin ndërtuar 400,000 godina të paligjshme për një popullsi prej vetëm 2.8 milion</w:t>
      </w:r>
      <w:r w:rsidR="007B5D82">
        <w:rPr>
          <w:rFonts w:ascii="Garamond" w:hAnsi="Garamond"/>
          <w:szCs w:val="24"/>
          <w:lang w:val="sq-AL"/>
        </w:rPr>
        <w:t>ë</w:t>
      </w:r>
      <w:r w:rsidR="00395112" w:rsidRPr="00E91B0C">
        <w:rPr>
          <w:rFonts w:ascii="Garamond" w:hAnsi="Garamond"/>
          <w:szCs w:val="24"/>
          <w:lang w:val="sq-AL"/>
        </w:rPr>
        <w:t xml:space="preserve"> dhe ndërtimet e paligjshme ishin toleruar për njëzet e pesë vjet. Për këtë arsye, Rezidenca Jon e ndërtuar bazuar në një leje të lëshuar nga autoritetet lokale dhe jo nga autoritetet qendrore, fillimisht ishte konsideruar si një ndërtim pa leje të rregullt ndërtimi të regjistruar në ZRRPP. Gjithashtu, godina nuk respektonte urbanistikën. Nën këto rrethana, INUK dhe nuk kishin ndërmarrë masa në datën 3 nëntor 2013, për shkak të parregullsive të vërejtura gjatë procedurave në lidhje me lëshimin e lejes së ndërtimit, me synimin që nëpunësit shtetërorë përgjegjës të dënoheshin, ndërsa godina të shembej si sanksion administrative sipas </w:t>
      </w:r>
      <w:r w:rsidR="00536F0E" w:rsidRPr="00E91B0C">
        <w:rPr>
          <w:rFonts w:ascii="Garamond" w:hAnsi="Garamond"/>
          <w:szCs w:val="24"/>
          <w:lang w:val="sq-AL"/>
        </w:rPr>
        <w:t>aktit për inspektimin e ndërtes</w:t>
      </w:r>
      <w:r w:rsidR="00395112" w:rsidRPr="00E91B0C">
        <w:rPr>
          <w:rFonts w:ascii="Garamond" w:hAnsi="Garamond"/>
          <w:szCs w:val="24"/>
          <w:lang w:val="sq-AL"/>
        </w:rPr>
        <w:t xml:space="preserve">ave.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90. Më tej, </w:t>
      </w:r>
      <w:r w:rsidR="0018461E" w:rsidRPr="00E91B0C">
        <w:rPr>
          <w:rFonts w:ascii="Garamond" w:hAnsi="Garamond"/>
          <w:szCs w:val="24"/>
          <w:lang w:val="sq-AL"/>
        </w:rPr>
        <w:t>q</w:t>
      </w:r>
      <w:r w:rsidRPr="00E91B0C">
        <w:rPr>
          <w:rFonts w:ascii="Garamond" w:hAnsi="Garamond"/>
          <w:szCs w:val="24"/>
          <w:lang w:val="sq-AL"/>
        </w:rPr>
        <w:t>everia parashtroi se urdhri i përkohshëm, për aq kohë sa ishte në fuqi, ishte në akordancë me autoritetet</w:t>
      </w:r>
      <w:r w:rsidR="00E91B0C">
        <w:rPr>
          <w:rFonts w:ascii="Garamond" w:hAnsi="Garamond"/>
          <w:szCs w:val="24"/>
          <w:lang w:val="sq-AL"/>
        </w:rPr>
        <w:t xml:space="preserve"> </w:t>
      </w:r>
      <w:r w:rsidRPr="00E91B0C">
        <w:rPr>
          <w:rFonts w:ascii="Garamond" w:hAnsi="Garamond"/>
          <w:szCs w:val="24"/>
          <w:lang w:val="sq-AL"/>
        </w:rPr>
        <w:t>e brendshme për faktin se INUK</w:t>
      </w:r>
      <w:r w:rsidR="00ED0E27">
        <w:rPr>
          <w:rFonts w:ascii="Garamond" w:hAnsi="Garamond"/>
          <w:szCs w:val="24"/>
          <w:lang w:val="sq-AL"/>
        </w:rPr>
        <w:t>-u</w:t>
      </w:r>
      <w:r w:rsidRPr="00E91B0C">
        <w:rPr>
          <w:rFonts w:ascii="Garamond" w:hAnsi="Garamond"/>
          <w:szCs w:val="24"/>
          <w:lang w:val="sq-AL"/>
        </w:rPr>
        <w:t xml:space="preserve"> dhe INU</w:t>
      </w:r>
      <w:r w:rsidR="00ED0E27">
        <w:rPr>
          <w:rFonts w:ascii="Garamond" w:hAnsi="Garamond"/>
          <w:szCs w:val="24"/>
          <w:lang w:val="sq-AL"/>
        </w:rPr>
        <w:t>-ja</w:t>
      </w:r>
      <w:r w:rsidRPr="00E91B0C">
        <w:rPr>
          <w:rFonts w:ascii="Garamond" w:hAnsi="Garamond"/>
          <w:szCs w:val="24"/>
          <w:lang w:val="sq-AL"/>
        </w:rPr>
        <w:t xml:space="preserve"> nuk kishte ndër</w:t>
      </w:r>
      <w:r w:rsidR="00ED0E27">
        <w:rPr>
          <w:rFonts w:ascii="Garamond" w:hAnsi="Garamond"/>
          <w:szCs w:val="24"/>
          <w:lang w:val="sq-AL"/>
        </w:rPr>
        <w:t>marrë ndonjë masë të paligjshme</w:t>
      </w:r>
      <w:r w:rsidRPr="00E91B0C">
        <w:rPr>
          <w:rFonts w:ascii="Garamond" w:hAnsi="Garamond"/>
          <w:szCs w:val="24"/>
          <w:lang w:val="sq-AL"/>
        </w:rPr>
        <w:t>, me përjashtim të veprimeve të ndërmarra më 3 nëntor 2013. Urdhri i përkohshëm i datës 7 nëntor 2013, duhet të lexohet dhe të interpretohet së bashku me vendimin e Gjykatës së Rrethit të datës 28 janar 2014. Autoritet e konsideronin godinën si të paligjsh</w:t>
      </w:r>
      <w:r w:rsidR="00ED0E27">
        <w:rPr>
          <w:rFonts w:ascii="Garamond" w:hAnsi="Garamond"/>
          <w:szCs w:val="24"/>
          <w:lang w:val="sq-AL"/>
        </w:rPr>
        <w:t>me</w:t>
      </w:r>
      <w:r w:rsidRPr="00E91B0C">
        <w:rPr>
          <w:rFonts w:ascii="Garamond" w:hAnsi="Garamond"/>
          <w:szCs w:val="24"/>
          <w:lang w:val="sq-AL"/>
        </w:rPr>
        <w:t xml:space="preserve"> deri në miratimin e vendimit të Gjykatës së Rrethit të datës 7 nëntor 2013. Pas miratimit të tij</w:t>
      </w:r>
      <w:r w:rsidR="00ED0E27">
        <w:rPr>
          <w:rFonts w:ascii="Garamond" w:hAnsi="Garamond"/>
          <w:szCs w:val="24"/>
          <w:lang w:val="sq-AL"/>
        </w:rPr>
        <w:t>, a</w:t>
      </w:r>
      <w:r w:rsidRPr="00E91B0C">
        <w:rPr>
          <w:rFonts w:ascii="Garamond" w:hAnsi="Garamond"/>
          <w:szCs w:val="24"/>
          <w:lang w:val="sq-AL"/>
        </w:rPr>
        <w:t>utoritetet nuk mund të menaxhon</w:t>
      </w:r>
      <w:r w:rsidR="0016774D">
        <w:rPr>
          <w:rFonts w:ascii="Garamond" w:hAnsi="Garamond"/>
          <w:szCs w:val="24"/>
          <w:lang w:val="sq-AL"/>
        </w:rPr>
        <w:t>in</w:t>
      </w:r>
      <w:r w:rsidRPr="00E91B0C">
        <w:rPr>
          <w:rFonts w:ascii="Garamond" w:hAnsi="Garamond"/>
          <w:szCs w:val="24"/>
          <w:lang w:val="sq-AL"/>
        </w:rPr>
        <w:t xml:space="preserve"> më godinën e kërkuesve si një ndërtim </w:t>
      </w:r>
      <w:r w:rsidR="0016774D">
        <w:rPr>
          <w:rFonts w:ascii="Garamond" w:hAnsi="Garamond"/>
          <w:szCs w:val="24"/>
          <w:lang w:val="sq-AL"/>
        </w:rPr>
        <w:t>të</w:t>
      </w:r>
      <w:r w:rsidRPr="00E91B0C">
        <w:rPr>
          <w:rFonts w:ascii="Garamond" w:hAnsi="Garamond"/>
          <w:szCs w:val="24"/>
          <w:lang w:val="sq-AL"/>
        </w:rPr>
        <w:t xml:space="preserve"> paligjshëm </w:t>
      </w:r>
      <w:r w:rsidRPr="00E91B0C">
        <w:rPr>
          <w:rFonts w:ascii="Garamond" w:hAnsi="Garamond"/>
          <w:i/>
          <w:szCs w:val="24"/>
          <w:lang w:val="sq-AL"/>
        </w:rPr>
        <w:t>prima facie</w:t>
      </w:r>
      <w:r w:rsidRPr="00E91B0C">
        <w:rPr>
          <w:rFonts w:ascii="Garamond" w:hAnsi="Garamond"/>
          <w:szCs w:val="24"/>
          <w:lang w:val="sq-AL"/>
        </w:rPr>
        <w:t xml:space="preserve">. Megjithatë, në hapësirën e Rezidencës Jon, ishte planifikuar një projekt infrastrukturor në interesin publik. Të gjitha godinat e tjera ishin shembur vetëm për zbatimin e atij projekti. Efektet e urdhrit të përkohshëm ishin zgjatur deri më 27 nëntor 2013, kur prona u shpronësua dhe u shemb në përputhje me ligjin e brendshëm, pasi në atë kohë ishte </w:t>
      </w:r>
      <w:r w:rsidRPr="00E91B0C">
        <w:rPr>
          <w:rFonts w:ascii="Garamond" w:hAnsi="Garamond"/>
          <w:szCs w:val="24"/>
          <w:lang w:val="sq-AL"/>
        </w:rPr>
        <w:lastRenderedPageBreak/>
        <w:t>prezumuar të ishte një ndërtim i ligjshëm.</w:t>
      </w:r>
      <w:r w:rsid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91. Më tej, </w:t>
      </w:r>
      <w:r w:rsidR="0018461E" w:rsidRPr="00E91B0C">
        <w:rPr>
          <w:rFonts w:ascii="Garamond" w:hAnsi="Garamond"/>
          <w:szCs w:val="24"/>
          <w:lang w:val="sq-AL"/>
        </w:rPr>
        <w:t>qe</w:t>
      </w:r>
      <w:r w:rsidRPr="00E91B0C">
        <w:rPr>
          <w:rFonts w:ascii="Garamond" w:hAnsi="Garamond"/>
          <w:szCs w:val="24"/>
          <w:lang w:val="sq-AL"/>
        </w:rPr>
        <w:t>veria parashtroi se në fakt kërkuesit gabimisht e konsideronin vendimin e Këshillit të Ministrave të datës 27 nëntor 2013, si vendim i cili nuk zbatonte urdhrin e përkohshëm. Urdhri i përkohshëm i datës 7 nëntor 2013, nuk e kishte parandaluar procedurën e shpronësimit. Kjo i adresohej vetëm INUK</w:t>
      </w:r>
      <w:r w:rsidR="0016774D">
        <w:rPr>
          <w:rFonts w:ascii="Garamond" w:hAnsi="Garamond"/>
          <w:szCs w:val="24"/>
          <w:lang w:val="sq-AL"/>
        </w:rPr>
        <w:t>-ut</w:t>
      </w:r>
      <w:r w:rsidRPr="00E91B0C">
        <w:rPr>
          <w:rFonts w:ascii="Garamond" w:hAnsi="Garamond"/>
          <w:szCs w:val="24"/>
          <w:lang w:val="sq-AL"/>
        </w:rPr>
        <w:t xml:space="preserve"> dhe INU</w:t>
      </w:r>
      <w:r w:rsidR="0016774D">
        <w:rPr>
          <w:rFonts w:ascii="Garamond" w:hAnsi="Garamond"/>
          <w:szCs w:val="24"/>
          <w:lang w:val="sq-AL"/>
        </w:rPr>
        <w:t>-së</w:t>
      </w:r>
      <w:r w:rsidRPr="00E91B0C">
        <w:rPr>
          <w:rFonts w:ascii="Garamond" w:hAnsi="Garamond"/>
          <w:szCs w:val="24"/>
          <w:lang w:val="sq-AL"/>
        </w:rPr>
        <w:t xml:space="preserve"> dhe jo Këshillit të Ministrave. Për këtë arsye, çështja konkrete është ndryshe nga</w:t>
      </w:r>
      <w:r w:rsidR="00E91B0C">
        <w:rPr>
          <w:rFonts w:ascii="Garamond" w:hAnsi="Garamond"/>
          <w:szCs w:val="24"/>
          <w:lang w:val="sq-AL"/>
        </w:rPr>
        <w:t xml:space="preserve"> </w:t>
      </w:r>
      <w:r w:rsidRPr="00E91B0C">
        <w:rPr>
          <w:rFonts w:ascii="Garamond" w:hAnsi="Garamond"/>
          <w:i/>
          <w:szCs w:val="24"/>
          <w:lang w:val="sq-AL"/>
        </w:rPr>
        <w:t>Okyay dhe të Tjerët kundër Turqisë</w:t>
      </w:r>
      <w:r w:rsidRPr="00E91B0C">
        <w:rPr>
          <w:rFonts w:ascii="Garamond" w:hAnsi="Garamond"/>
          <w:szCs w:val="24"/>
          <w:lang w:val="sq-AL"/>
        </w:rPr>
        <w:t xml:space="preserve"> (nr. 36220/97, GJEDNJ 2005</w:t>
      </w:r>
      <w:r w:rsidRPr="00E91B0C">
        <w:rPr>
          <w:rFonts w:ascii="Garamond" w:hAnsi="Garamond"/>
          <w:szCs w:val="24"/>
          <w:lang w:val="sq-AL"/>
        </w:rPr>
        <w:noBreakHyphen/>
        <w:t xml:space="preserve">VII), ku rrethanat ishin ndryshe. Procedimet e përkohshme në lidhje me ngjarjet e datës 3 nëntor 2013, nuk kishin lidhje me procedimet kryesore për shembjen e godinës, të ndërmarra nga data 4 deri </w:t>
      </w:r>
      <w:r w:rsidR="0016774D">
        <w:rPr>
          <w:rFonts w:ascii="Garamond" w:hAnsi="Garamond"/>
          <w:szCs w:val="24"/>
          <w:lang w:val="sq-AL"/>
        </w:rPr>
        <w:t>m</w:t>
      </w:r>
      <w:r w:rsidRPr="00E91B0C">
        <w:rPr>
          <w:rFonts w:ascii="Garamond" w:hAnsi="Garamond"/>
          <w:szCs w:val="24"/>
          <w:lang w:val="sq-AL"/>
        </w:rPr>
        <w:t>ë 8 dhjetor 2013, duke qenë se urdhri i përkohshëm nuk përfshinte shembjen e godinës, vetëm reagimin e autoriteteve përpara vendimit për shpronësim. Gjithashtu, u theksua fakti se gjatë procedimeve të përkohshme përpara Gjykatës Administrative të Apeli, vet</w:t>
      </w:r>
      <w:r w:rsidR="00860877">
        <w:rPr>
          <w:rFonts w:ascii="Garamond" w:hAnsi="Garamond"/>
          <w:szCs w:val="24"/>
          <w:lang w:val="sq-AL"/>
        </w:rPr>
        <w:t>ë</w:t>
      </w:r>
      <w:r w:rsidRPr="00E91B0C">
        <w:rPr>
          <w:rFonts w:ascii="Garamond" w:hAnsi="Garamond"/>
          <w:szCs w:val="24"/>
          <w:lang w:val="sq-AL"/>
        </w:rPr>
        <w:t xml:space="preserve"> kërkuesit e kishin tërhequr kërkesën e tyre për miratimin e një mase të përkohshme.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 xml:space="preserve">Vlerësimi i Gjykatës </w:t>
      </w:r>
    </w:p>
    <w:p w:rsidR="00395112" w:rsidRPr="00E91B0C" w:rsidRDefault="002E54AD" w:rsidP="00395112">
      <w:pPr>
        <w:pStyle w:val="JuPara"/>
        <w:widowControl w:val="0"/>
        <w:rPr>
          <w:rFonts w:ascii="Garamond" w:hAnsi="Garamond"/>
          <w:szCs w:val="24"/>
          <w:lang w:val="sq-AL"/>
        </w:rPr>
      </w:pPr>
      <w:r>
        <w:rPr>
          <w:rFonts w:ascii="Garamond" w:hAnsi="Garamond"/>
          <w:szCs w:val="24"/>
          <w:lang w:val="sq-AL"/>
        </w:rPr>
        <w:t>92</w:t>
      </w:r>
      <w:r w:rsidR="00395112" w:rsidRPr="00E91B0C">
        <w:rPr>
          <w:rFonts w:ascii="Garamond" w:hAnsi="Garamond"/>
          <w:szCs w:val="24"/>
          <w:lang w:val="sq-AL"/>
        </w:rPr>
        <w:t>. Gjykata përsërit se ekzekutimi i një vendimi të dhënë nga një gjykatë</w:t>
      </w:r>
      <w:r w:rsidR="00860877">
        <w:rPr>
          <w:rFonts w:ascii="Garamond" w:hAnsi="Garamond"/>
          <w:szCs w:val="24"/>
          <w:lang w:val="sq-AL"/>
        </w:rPr>
        <w:t>,</w:t>
      </w:r>
      <w:r w:rsidR="00395112" w:rsidRPr="00E91B0C">
        <w:rPr>
          <w:rFonts w:ascii="Garamond" w:hAnsi="Garamond"/>
          <w:szCs w:val="24"/>
          <w:lang w:val="sq-AL"/>
        </w:rPr>
        <w:t xml:space="preserve"> duke përfshirë një vendim të dhënë në procedimet e përkohshme</w:t>
      </w:r>
      <w:r w:rsidR="00E91B0C">
        <w:rPr>
          <w:rFonts w:ascii="Garamond" w:hAnsi="Garamond"/>
          <w:szCs w:val="24"/>
          <w:lang w:val="sq-AL"/>
        </w:rPr>
        <w:t xml:space="preserve"> </w:t>
      </w:r>
      <w:r w:rsidR="00395112" w:rsidRPr="00E91B0C">
        <w:rPr>
          <w:rFonts w:ascii="Garamond" w:hAnsi="Garamond"/>
          <w:szCs w:val="24"/>
          <w:lang w:val="sq-AL"/>
        </w:rPr>
        <w:t>(shih</w:t>
      </w:r>
      <w:r w:rsidR="00C0025C">
        <w:rPr>
          <w:rFonts w:ascii="Garamond" w:hAnsi="Garamond"/>
          <w:szCs w:val="24"/>
          <w:lang w:val="sq-AL"/>
        </w:rPr>
        <w:t xml:space="preserve"> </w:t>
      </w:r>
      <w:r w:rsidR="00395112" w:rsidRPr="00E91B0C">
        <w:rPr>
          <w:rFonts w:ascii="Garamond" w:hAnsi="Garamond"/>
          <w:szCs w:val="24"/>
          <w:lang w:val="sq-AL"/>
        </w:rPr>
        <w:t>midis shumë vendime</w:t>
      </w:r>
      <w:r w:rsidR="004C0A5E">
        <w:rPr>
          <w:rFonts w:ascii="Garamond" w:hAnsi="Garamond"/>
          <w:szCs w:val="24"/>
          <w:lang w:val="sq-AL"/>
        </w:rPr>
        <w:t>ve</w:t>
      </w:r>
      <w:r w:rsidR="00395112" w:rsidRPr="00E91B0C">
        <w:rPr>
          <w:rFonts w:ascii="Garamond" w:hAnsi="Garamond"/>
          <w:szCs w:val="24"/>
          <w:lang w:val="sq-AL"/>
        </w:rPr>
        <w:t xml:space="preserve"> të tjera, </w:t>
      </w:r>
      <w:r w:rsidR="00395112" w:rsidRPr="00E91B0C">
        <w:rPr>
          <w:rFonts w:ascii="Garamond" w:hAnsi="Garamond"/>
          <w:i/>
          <w:szCs w:val="24"/>
          <w:lang w:val="sq-AL"/>
        </w:rPr>
        <w:t xml:space="preserve">Okyay dhe të Tjerët, </w:t>
      </w:r>
      <w:r w:rsidR="00395112" w:rsidRPr="00E91B0C">
        <w:rPr>
          <w:rFonts w:ascii="Garamond" w:hAnsi="Garamond"/>
          <w:szCs w:val="24"/>
          <w:lang w:val="sq-AL"/>
        </w:rPr>
        <w:t>cituar më sipër, dhe</w:t>
      </w:r>
      <w:r w:rsidR="00395112" w:rsidRPr="00E91B0C">
        <w:rPr>
          <w:rFonts w:ascii="Garamond" w:hAnsi="Garamond"/>
          <w:i/>
          <w:szCs w:val="24"/>
          <w:lang w:val="sq-AL"/>
        </w:rPr>
        <w:t xml:space="preserve"> Micallef kundër Maltës</w:t>
      </w:r>
      <w:r w:rsidR="00395112" w:rsidRPr="00E91B0C">
        <w:rPr>
          <w:rFonts w:ascii="Garamond" w:hAnsi="Garamond"/>
          <w:szCs w:val="24"/>
          <w:lang w:val="sq-AL"/>
        </w:rPr>
        <w:t xml:space="preserve"> [DHM], nr. 17056/06, §§ 87</w:t>
      </w:r>
      <w:r w:rsidR="005B203A">
        <w:rPr>
          <w:rFonts w:ascii="Garamond" w:hAnsi="Garamond"/>
          <w:szCs w:val="24"/>
          <w:lang w:val="sq-AL"/>
        </w:rPr>
        <w:t>–</w:t>
      </w:r>
      <w:r w:rsidR="00395112" w:rsidRPr="00E91B0C">
        <w:rPr>
          <w:rFonts w:ascii="Garamond" w:hAnsi="Garamond"/>
          <w:szCs w:val="24"/>
          <w:lang w:val="sq-AL"/>
        </w:rPr>
        <w:t>89, GJEDNJ 2009)</w:t>
      </w:r>
      <w:r w:rsidR="004C0A5E">
        <w:rPr>
          <w:rFonts w:ascii="Garamond" w:hAnsi="Garamond"/>
          <w:szCs w:val="24"/>
          <w:lang w:val="sq-AL"/>
        </w:rPr>
        <w:t xml:space="preserve">, </w:t>
      </w:r>
      <w:r w:rsidR="00395112" w:rsidRPr="00E91B0C">
        <w:rPr>
          <w:rFonts w:ascii="Garamond" w:hAnsi="Garamond"/>
          <w:szCs w:val="24"/>
          <w:lang w:val="sq-AL"/>
        </w:rPr>
        <w:t xml:space="preserve">duhet të konsiderohet si një pjesë integrale e “gjykimit” për qëllimet e </w:t>
      </w:r>
      <w:r w:rsidR="001073BE" w:rsidRPr="00E91B0C">
        <w:rPr>
          <w:rFonts w:ascii="Garamond" w:hAnsi="Garamond"/>
          <w:szCs w:val="24"/>
          <w:lang w:val="sq-AL"/>
        </w:rPr>
        <w:t>n</w:t>
      </w:r>
      <w:r w:rsidR="00395112" w:rsidRPr="00E91B0C">
        <w:rPr>
          <w:rFonts w:ascii="Garamond" w:hAnsi="Garamond"/>
          <w:szCs w:val="24"/>
          <w:lang w:val="sq-AL"/>
        </w:rPr>
        <w:t>enit 6 të Konventës (shih </w:t>
      </w:r>
      <w:r w:rsidR="00395112" w:rsidRPr="00E91B0C">
        <w:rPr>
          <w:rFonts w:ascii="Garamond" w:hAnsi="Garamond"/>
          <w:i/>
          <w:szCs w:val="24"/>
          <w:lang w:val="sq-AL"/>
        </w:rPr>
        <w:t>Hornsby kundër Greqisë</w:t>
      </w:r>
      <w:r w:rsidR="00395112" w:rsidRPr="00E91B0C">
        <w:rPr>
          <w:rFonts w:ascii="Garamond" w:hAnsi="Garamond"/>
          <w:szCs w:val="24"/>
          <w:lang w:val="sq-AL"/>
        </w:rPr>
        <w:t>, 19 mars 1997</w:t>
      </w:r>
      <w:r w:rsidR="008541A0">
        <w:rPr>
          <w:rFonts w:ascii="Garamond" w:hAnsi="Garamond"/>
          <w:szCs w:val="24"/>
          <w:lang w:val="sq-AL"/>
        </w:rPr>
        <w:t>, §</w:t>
      </w:r>
      <w:r w:rsidR="00395112" w:rsidRPr="00E91B0C">
        <w:rPr>
          <w:rFonts w:ascii="Garamond" w:hAnsi="Garamond"/>
          <w:szCs w:val="24"/>
          <w:lang w:val="sq-AL"/>
        </w:rPr>
        <w:t xml:space="preserve">40, </w:t>
      </w:r>
      <w:r w:rsidR="00395112" w:rsidRPr="00E91B0C">
        <w:rPr>
          <w:rFonts w:ascii="Garamond" w:hAnsi="Garamond"/>
          <w:i/>
          <w:szCs w:val="24"/>
          <w:lang w:val="sq-AL"/>
        </w:rPr>
        <w:t>Raportet</w:t>
      </w:r>
      <w:r w:rsidR="00395112" w:rsidRPr="00E91B0C">
        <w:rPr>
          <w:rFonts w:ascii="Garamond" w:hAnsi="Garamond"/>
          <w:szCs w:val="24"/>
          <w:lang w:val="sq-AL"/>
        </w:rPr>
        <w:noBreakHyphen/>
      </w:r>
      <w:r w:rsidR="00395112" w:rsidRPr="00736643">
        <w:rPr>
          <w:rFonts w:ascii="Garamond" w:hAnsi="Garamond"/>
          <w:i/>
          <w:szCs w:val="24"/>
          <w:lang w:val="sq-AL"/>
        </w:rPr>
        <w:t>II</w:t>
      </w:r>
      <w:r w:rsidR="00395112" w:rsidRPr="00E91B0C">
        <w:rPr>
          <w:rFonts w:ascii="Garamond" w:hAnsi="Garamond"/>
          <w:szCs w:val="24"/>
          <w:lang w:val="sq-AL"/>
        </w:rPr>
        <w:t xml:space="preserve">). E drejta për akses në një gjykatë e garantuar sipas këtij </w:t>
      </w:r>
      <w:r w:rsidR="001073BE" w:rsidRPr="00E91B0C">
        <w:rPr>
          <w:rFonts w:ascii="Garamond" w:hAnsi="Garamond"/>
          <w:szCs w:val="24"/>
          <w:lang w:val="sq-AL"/>
        </w:rPr>
        <w:t>n</w:t>
      </w:r>
      <w:r w:rsidR="00395112" w:rsidRPr="00E91B0C">
        <w:rPr>
          <w:rFonts w:ascii="Garamond" w:hAnsi="Garamond"/>
          <w:szCs w:val="24"/>
          <w:lang w:val="sq-AL"/>
        </w:rPr>
        <w:t xml:space="preserve">eni do të jepej në mënyrë të pavërtetë, nëse sistemi ligjor i një </w:t>
      </w:r>
      <w:r w:rsidR="006508AF" w:rsidRPr="00E91B0C">
        <w:rPr>
          <w:rFonts w:ascii="Garamond" w:hAnsi="Garamond"/>
          <w:szCs w:val="24"/>
          <w:lang w:val="sq-AL"/>
        </w:rPr>
        <w:t xml:space="preserve">shteti kontraktues </w:t>
      </w:r>
      <w:r w:rsidR="00395112" w:rsidRPr="00E91B0C">
        <w:rPr>
          <w:rFonts w:ascii="Garamond" w:hAnsi="Garamond"/>
          <w:szCs w:val="24"/>
          <w:lang w:val="sq-AL"/>
        </w:rPr>
        <w:t>do të lejonte një vendim gjyqësor të formës së prerë detyrues ose një urdhër bisedor të marrë në pritje të një vendimi të formës së prerë për të mbetur jooperativ ose në ngarkesë të një pale. Ky parim është i një rëndësie më të madhe në kontekstin e procedimeve administrative</w:t>
      </w:r>
      <w:r w:rsidR="006508AF">
        <w:rPr>
          <w:rFonts w:ascii="Garamond" w:hAnsi="Garamond"/>
          <w:szCs w:val="24"/>
          <w:lang w:val="sq-AL"/>
        </w:rPr>
        <w:t>,</w:t>
      </w:r>
      <w:r w:rsidR="00395112" w:rsidRPr="00E91B0C">
        <w:rPr>
          <w:rFonts w:ascii="Garamond" w:hAnsi="Garamond"/>
          <w:szCs w:val="24"/>
          <w:lang w:val="sq-AL"/>
        </w:rPr>
        <w:t xml:space="preserve"> në lidhje me një mosmarrëveshje</w:t>
      </w:r>
      <w:r w:rsidR="006508AF">
        <w:rPr>
          <w:rFonts w:ascii="Garamond" w:hAnsi="Garamond"/>
          <w:szCs w:val="24"/>
          <w:lang w:val="sq-AL"/>
        </w:rPr>
        <w:t>,</w:t>
      </w:r>
      <w:r w:rsidR="00395112" w:rsidRPr="00E91B0C">
        <w:rPr>
          <w:rFonts w:ascii="Garamond" w:hAnsi="Garamond"/>
          <w:szCs w:val="24"/>
          <w:lang w:val="sq-AL"/>
        </w:rPr>
        <w:t xml:space="preserve"> rezultati i </w:t>
      </w:r>
      <w:r w:rsidR="008A7DCB">
        <w:rPr>
          <w:rFonts w:ascii="Garamond" w:hAnsi="Garamond"/>
          <w:szCs w:val="24"/>
          <w:lang w:val="sq-AL"/>
        </w:rPr>
        <w:t>s</w:t>
      </w:r>
      <w:r w:rsidR="00395112" w:rsidRPr="00E91B0C">
        <w:rPr>
          <w:rFonts w:ascii="Garamond" w:hAnsi="Garamond"/>
          <w:szCs w:val="24"/>
          <w:lang w:val="sq-AL"/>
        </w:rPr>
        <w:t>ë cilës është vendimtar për të drejtat</w:t>
      </w:r>
      <w:r w:rsidR="00E91B0C">
        <w:rPr>
          <w:rFonts w:ascii="Garamond" w:hAnsi="Garamond"/>
          <w:szCs w:val="24"/>
          <w:lang w:val="sq-AL"/>
        </w:rPr>
        <w:t xml:space="preserve"> </w:t>
      </w:r>
      <w:r w:rsidR="00395112" w:rsidRPr="00E91B0C">
        <w:rPr>
          <w:rFonts w:ascii="Garamond" w:hAnsi="Garamond"/>
          <w:szCs w:val="24"/>
          <w:lang w:val="sq-AL"/>
        </w:rPr>
        <w:t xml:space="preserve">civile të një pale ndërgjyqëse (shih </w:t>
      </w:r>
      <w:r w:rsidR="00395112" w:rsidRPr="00E91B0C">
        <w:rPr>
          <w:rFonts w:ascii="Garamond" w:hAnsi="Garamond"/>
          <w:i/>
          <w:szCs w:val="24"/>
          <w:lang w:val="sq-AL"/>
        </w:rPr>
        <w:t>Okyay dhe të Tjerët</w:t>
      </w:r>
      <w:r w:rsidR="00395112" w:rsidRPr="00E91B0C">
        <w:rPr>
          <w:rFonts w:ascii="Garamond" w:hAnsi="Garamond"/>
          <w:szCs w:val="24"/>
          <w:lang w:val="sq-AL"/>
        </w:rPr>
        <w:t>, cituar më sipër</w:t>
      </w:r>
      <w:r w:rsidR="008541A0">
        <w:rPr>
          <w:rFonts w:ascii="Garamond" w:hAnsi="Garamond"/>
          <w:szCs w:val="24"/>
          <w:lang w:val="sq-AL"/>
        </w:rPr>
        <w:t>, §</w:t>
      </w:r>
      <w:r w:rsidR="00395112" w:rsidRPr="00E91B0C">
        <w:rPr>
          <w:rFonts w:ascii="Garamond" w:hAnsi="Garamond"/>
          <w:szCs w:val="24"/>
          <w:lang w:val="sq-AL"/>
        </w:rPr>
        <w:t>72).</w:t>
      </w:r>
    </w:p>
    <w:p w:rsidR="00395112" w:rsidRPr="00E91B0C" w:rsidRDefault="002E54AD" w:rsidP="00395112">
      <w:pPr>
        <w:pStyle w:val="JuPara"/>
        <w:widowControl w:val="0"/>
        <w:rPr>
          <w:rFonts w:ascii="Garamond" w:hAnsi="Garamond"/>
          <w:szCs w:val="24"/>
          <w:lang w:val="sq-AL"/>
        </w:rPr>
      </w:pPr>
      <w:r>
        <w:rPr>
          <w:rFonts w:ascii="Garamond" w:eastAsia="Times New Roman" w:hAnsi="Garamond"/>
          <w:szCs w:val="24"/>
          <w:lang w:val="sq-AL"/>
        </w:rPr>
        <w:t>93</w:t>
      </w:r>
      <w:r w:rsidR="00395112" w:rsidRPr="00E91B0C">
        <w:rPr>
          <w:rFonts w:ascii="Garamond" w:eastAsia="Times New Roman" w:hAnsi="Garamond"/>
          <w:szCs w:val="24"/>
          <w:lang w:val="sq-AL"/>
        </w:rPr>
        <w:t>.</w:t>
      </w:r>
      <w:r w:rsidR="00E91B0C">
        <w:rPr>
          <w:rFonts w:ascii="Garamond" w:eastAsia="Times New Roman" w:hAnsi="Garamond"/>
          <w:szCs w:val="24"/>
          <w:lang w:val="sq-AL"/>
        </w:rPr>
        <w:t xml:space="preserve"> </w:t>
      </w:r>
      <w:r w:rsidR="00395112" w:rsidRPr="00E91B0C">
        <w:rPr>
          <w:rFonts w:ascii="Garamond" w:eastAsia="Times New Roman" w:hAnsi="Garamond"/>
          <w:szCs w:val="24"/>
          <w:lang w:val="sq-AL"/>
        </w:rPr>
        <w:t xml:space="preserve">Gjithashtu, Gjykata përsërit se një person i cili ka marrë një vendim kundër </w:t>
      </w:r>
      <w:r w:rsidR="006508AF" w:rsidRPr="00E91B0C">
        <w:rPr>
          <w:rFonts w:ascii="Garamond" w:eastAsia="Times New Roman" w:hAnsi="Garamond"/>
          <w:szCs w:val="24"/>
          <w:lang w:val="sq-AL"/>
        </w:rPr>
        <w:t xml:space="preserve">shtetit </w:t>
      </w:r>
      <w:r w:rsidR="00395112" w:rsidRPr="00E91B0C">
        <w:rPr>
          <w:rFonts w:ascii="Garamond" w:eastAsia="Times New Roman" w:hAnsi="Garamond"/>
          <w:szCs w:val="24"/>
          <w:lang w:val="sq-AL"/>
        </w:rPr>
        <w:t>në fund të procedimeve ligjore, nuk pritet të ndërmarrë procedime për zbatimi</w:t>
      </w:r>
      <w:r w:rsidR="00395112" w:rsidRPr="00273A4C">
        <w:rPr>
          <w:rFonts w:ascii="Garamond" w:eastAsia="Times New Roman" w:hAnsi="Garamond"/>
          <w:szCs w:val="24"/>
          <w:lang w:val="sq-AL"/>
        </w:rPr>
        <w:t xml:space="preserve">n </w:t>
      </w:r>
      <w:r w:rsidR="007A6F4A">
        <w:rPr>
          <w:rFonts w:ascii="Garamond" w:eastAsia="Times New Roman" w:hAnsi="Garamond"/>
          <w:szCs w:val="24"/>
          <w:lang w:val="sq-AL"/>
        </w:rPr>
        <w:t xml:space="preserve">e </w:t>
      </w:r>
      <w:r w:rsidR="00395112" w:rsidRPr="00273A4C">
        <w:rPr>
          <w:rFonts w:ascii="Garamond" w:eastAsia="Times New Roman" w:hAnsi="Garamond"/>
          <w:szCs w:val="24"/>
          <w:lang w:val="sq-AL"/>
        </w:rPr>
        <w:t>mëveçantë</w:t>
      </w:r>
      <w:r w:rsidR="00E91B0C">
        <w:rPr>
          <w:rFonts w:ascii="Garamond" w:eastAsia="Times New Roman" w:hAnsi="Garamond"/>
          <w:szCs w:val="24"/>
          <w:lang w:val="sq-AL"/>
        </w:rPr>
        <w:t xml:space="preserve"> </w:t>
      </w:r>
      <w:r w:rsidR="00395112" w:rsidRPr="00E91B0C">
        <w:rPr>
          <w:rFonts w:ascii="Garamond" w:eastAsia="Times New Roman" w:hAnsi="Garamond"/>
          <w:szCs w:val="24"/>
          <w:lang w:val="sq-AL"/>
        </w:rPr>
        <w:t xml:space="preserve">(shih </w:t>
      </w:r>
      <w:r w:rsidR="00395112" w:rsidRPr="00E91B0C">
        <w:rPr>
          <w:rFonts w:ascii="Garamond" w:hAnsi="Garamond"/>
          <w:i/>
          <w:szCs w:val="24"/>
          <w:lang w:val="sq-AL"/>
        </w:rPr>
        <w:t>Burdov kundër Rusisë (nr. 2)</w:t>
      </w:r>
      <w:r w:rsidR="00395112" w:rsidRPr="00E91B0C">
        <w:rPr>
          <w:rFonts w:ascii="Garamond" w:hAnsi="Garamond"/>
          <w:szCs w:val="24"/>
          <w:lang w:val="sq-AL"/>
        </w:rPr>
        <w:t>, nr. 33509/04</w:t>
      </w:r>
      <w:r w:rsidR="008541A0">
        <w:rPr>
          <w:rFonts w:ascii="Garamond" w:hAnsi="Garamond"/>
          <w:szCs w:val="24"/>
          <w:lang w:val="sq-AL"/>
        </w:rPr>
        <w:t>, §</w:t>
      </w:r>
      <w:r w:rsidR="00395112" w:rsidRPr="00E91B0C">
        <w:rPr>
          <w:rFonts w:ascii="Garamond" w:hAnsi="Garamond"/>
          <w:szCs w:val="24"/>
          <w:lang w:val="sq-AL"/>
        </w:rPr>
        <w:t>68, GJEDNJ 2009).</w:t>
      </w:r>
    </w:p>
    <w:p w:rsidR="00395112" w:rsidRPr="00E91B0C" w:rsidRDefault="002E54AD" w:rsidP="00395112">
      <w:pPr>
        <w:pStyle w:val="JuPara"/>
        <w:widowControl w:val="0"/>
        <w:rPr>
          <w:rFonts w:ascii="Garamond" w:hAnsi="Garamond"/>
          <w:szCs w:val="24"/>
          <w:lang w:val="sq-AL"/>
        </w:rPr>
      </w:pPr>
      <w:r>
        <w:rPr>
          <w:rFonts w:ascii="Garamond" w:hAnsi="Garamond"/>
          <w:szCs w:val="24"/>
          <w:lang w:val="sq-AL"/>
        </w:rPr>
        <w:t>94</w:t>
      </w:r>
      <w:r w:rsidR="00395112" w:rsidRPr="00E91B0C">
        <w:rPr>
          <w:rFonts w:ascii="Garamond" w:hAnsi="Garamond"/>
          <w:szCs w:val="24"/>
          <w:lang w:val="sq-AL"/>
        </w:rPr>
        <w:t xml:space="preserve">. Duke iu referuar çështjes konkrete, Gjykata vëren se nuk diskutohet nëse </w:t>
      </w:r>
      <w:r w:rsidR="00C0025C" w:rsidRPr="00E91B0C">
        <w:rPr>
          <w:rFonts w:ascii="Garamond" w:hAnsi="Garamond"/>
          <w:szCs w:val="24"/>
          <w:lang w:val="sq-AL"/>
        </w:rPr>
        <w:t xml:space="preserve">neni </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 xml:space="preserve">1 është i zbatueshëm për procedimet e përkohshme konkrete. Duke konsideruar parashtrimet e </w:t>
      </w:r>
      <w:r w:rsidR="0018461E" w:rsidRPr="00E91B0C">
        <w:rPr>
          <w:rFonts w:ascii="Garamond" w:hAnsi="Garamond"/>
          <w:szCs w:val="24"/>
          <w:lang w:val="sq-AL"/>
        </w:rPr>
        <w:t>qeverisë</w:t>
      </w:r>
      <w:r w:rsidR="00395112" w:rsidRPr="00E91B0C">
        <w:rPr>
          <w:rFonts w:ascii="Garamond" w:hAnsi="Garamond"/>
          <w:szCs w:val="24"/>
          <w:lang w:val="sq-AL"/>
        </w:rPr>
        <w:t>, fillimisht duhej shqyrtuar nëse procedimet e përkohshme lidheshin me shembjen e godinës, gjë e cila ndodhi një muaj pas lëshimit të urdhrit të përkohshëm. Duke ndjekur kërkesën e ankuesve për të pezulluar miratimin e të gjitha vendimeve administrative në lidhje me shembjen e ndërtesës (shih paragrafët 17</w:t>
      </w:r>
      <w:r w:rsidR="005B203A">
        <w:rPr>
          <w:rFonts w:ascii="Garamond" w:hAnsi="Garamond"/>
          <w:szCs w:val="24"/>
          <w:lang w:val="sq-AL"/>
        </w:rPr>
        <w:t>–</w:t>
      </w:r>
      <w:r w:rsidR="00395112" w:rsidRPr="00E91B0C">
        <w:rPr>
          <w:rFonts w:ascii="Garamond" w:hAnsi="Garamond"/>
          <w:szCs w:val="24"/>
          <w:lang w:val="sq-AL"/>
        </w:rPr>
        <w:t>18 më sipër), Gjykata e Rrethit</w:t>
      </w:r>
      <w:r w:rsidR="006508AF">
        <w:rPr>
          <w:rFonts w:ascii="Garamond" w:hAnsi="Garamond"/>
          <w:szCs w:val="24"/>
          <w:lang w:val="sq-AL"/>
        </w:rPr>
        <w:t>,</w:t>
      </w:r>
      <w:r w:rsidR="00395112" w:rsidRPr="00E91B0C">
        <w:rPr>
          <w:rFonts w:ascii="Garamond" w:hAnsi="Garamond"/>
          <w:szCs w:val="24"/>
          <w:lang w:val="sq-AL"/>
        </w:rPr>
        <w:t xml:space="preserve"> në pjesën operative të vendimit të saj pezulloi të gjitha masat administrative të çdo autoriteti publik që mund të ndërhynte në gëzimin e qetë nga ana e kërkuesve të pronave të tyre respektive. Më tej, u dh</w:t>
      </w:r>
      <w:r w:rsidR="006508AF">
        <w:rPr>
          <w:rFonts w:ascii="Garamond" w:hAnsi="Garamond"/>
          <w:szCs w:val="24"/>
          <w:lang w:val="sq-AL"/>
        </w:rPr>
        <w:t>a</w:t>
      </w:r>
      <w:r w:rsidR="00395112" w:rsidRPr="00E91B0C">
        <w:rPr>
          <w:rFonts w:ascii="Garamond" w:hAnsi="Garamond"/>
          <w:szCs w:val="24"/>
          <w:lang w:val="sq-AL"/>
        </w:rPr>
        <w:t>në edhe arsye të detajuara se përse ishte lëshuar urdhri i përkohshëm (shih paragrafin 19 më sipër). Më 20 janar 2014, Gjykata Administrative e Apelit vërejti se pasoja të cilën u përpoq ta ndal</w:t>
      </w:r>
      <w:r w:rsidR="006508AF">
        <w:rPr>
          <w:rFonts w:ascii="Garamond" w:hAnsi="Garamond"/>
          <w:szCs w:val="24"/>
          <w:lang w:val="sq-AL"/>
        </w:rPr>
        <w:t>ë</w:t>
      </w:r>
      <w:r w:rsidR="00395112" w:rsidRPr="00E91B0C">
        <w:rPr>
          <w:rFonts w:ascii="Garamond" w:hAnsi="Garamond"/>
          <w:szCs w:val="24"/>
          <w:lang w:val="sq-AL"/>
        </w:rPr>
        <w:t xml:space="preserve"> urdhri i përkohshëm</w:t>
      </w:r>
      <w:r w:rsidR="006508AF">
        <w:rPr>
          <w:rFonts w:ascii="Garamond" w:hAnsi="Garamond"/>
          <w:szCs w:val="24"/>
          <w:lang w:val="sq-AL"/>
        </w:rPr>
        <w:t xml:space="preserve">, </w:t>
      </w:r>
      <w:r w:rsidR="00395112" w:rsidRPr="00E91B0C">
        <w:rPr>
          <w:rFonts w:ascii="Garamond" w:hAnsi="Garamond"/>
          <w:szCs w:val="24"/>
          <w:lang w:val="sq-AL"/>
        </w:rPr>
        <w:t>më konkretisht shembja e godinës</w:t>
      </w:r>
      <w:r w:rsidR="006508AF">
        <w:rPr>
          <w:rFonts w:ascii="Garamond" w:hAnsi="Garamond"/>
          <w:szCs w:val="24"/>
          <w:lang w:val="sq-AL"/>
        </w:rPr>
        <w:t xml:space="preserve">, </w:t>
      </w:r>
      <w:r w:rsidR="00395112" w:rsidRPr="00E91B0C">
        <w:rPr>
          <w:rFonts w:ascii="Garamond" w:hAnsi="Garamond"/>
          <w:szCs w:val="24"/>
          <w:lang w:val="sq-AL"/>
        </w:rPr>
        <w:t xml:space="preserve">ndodhi (shih paragrafin 22 më sipër). Gjithashtu, vendimet e mëpasshme të gjykatave </w:t>
      </w:r>
      <w:r w:rsidR="003C06FD">
        <w:rPr>
          <w:rFonts w:ascii="Garamond" w:hAnsi="Garamond"/>
          <w:szCs w:val="24"/>
          <w:lang w:val="sq-AL"/>
        </w:rPr>
        <w:t>vendës</w:t>
      </w:r>
      <w:r w:rsidR="00395112" w:rsidRPr="00E91B0C">
        <w:rPr>
          <w:rFonts w:ascii="Garamond" w:hAnsi="Garamond"/>
          <w:szCs w:val="24"/>
          <w:lang w:val="sq-AL"/>
        </w:rPr>
        <w:t>e vërejtën se INUK</w:t>
      </w:r>
      <w:r w:rsidR="00CC25B2">
        <w:rPr>
          <w:rFonts w:ascii="Garamond" w:hAnsi="Garamond"/>
          <w:szCs w:val="24"/>
          <w:lang w:val="sq-AL"/>
        </w:rPr>
        <w:t>-u</w:t>
      </w:r>
      <w:r w:rsidR="00395112" w:rsidRPr="00E91B0C">
        <w:rPr>
          <w:rFonts w:ascii="Garamond" w:hAnsi="Garamond"/>
          <w:szCs w:val="24"/>
          <w:lang w:val="sq-AL"/>
        </w:rPr>
        <w:t xml:space="preserve"> dhe INU</w:t>
      </w:r>
      <w:r w:rsidR="00CC25B2">
        <w:rPr>
          <w:rFonts w:ascii="Garamond" w:hAnsi="Garamond"/>
          <w:szCs w:val="24"/>
          <w:lang w:val="sq-AL"/>
        </w:rPr>
        <w:t>-ja</w:t>
      </w:r>
      <w:r w:rsidR="00395112" w:rsidRPr="00E91B0C">
        <w:rPr>
          <w:rFonts w:ascii="Garamond" w:hAnsi="Garamond"/>
          <w:szCs w:val="24"/>
          <w:lang w:val="sq-AL"/>
        </w:rPr>
        <w:t xml:space="preserve"> kishin ndërmarrë veprime arbitrare në mënyrë abuzive</w:t>
      </w:r>
      <w:r w:rsidR="00E76CA1">
        <w:rPr>
          <w:rFonts w:ascii="Garamond" w:hAnsi="Garamond"/>
          <w:szCs w:val="24"/>
          <w:lang w:val="sq-AL"/>
        </w:rPr>
        <w:t>,</w:t>
      </w:r>
      <w:r w:rsidR="00395112" w:rsidRPr="00E91B0C">
        <w:rPr>
          <w:rFonts w:ascii="Garamond" w:hAnsi="Garamond"/>
          <w:szCs w:val="24"/>
          <w:lang w:val="sq-AL"/>
        </w:rPr>
        <w:t xml:space="preserve"> me qëllim shembjen e godinës (shi</w:t>
      </w:r>
      <w:r w:rsidR="005200A0">
        <w:rPr>
          <w:rFonts w:ascii="Garamond" w:hAnsi="Garamond"/>
          <w:szCs w:val="24"/>
          <w:lang w:val="sq-AL"/>
        </w:rPr>
        <w:t>h</w:t>
      </w:r>
      <w:r w:rsidR="00395112" w:rsidRPr="00E91B0C">
        <w:rPr>
          <w:rFonts w:ascii="Garamond" w:hAnsi="Garamond"/>
          <w:szCs w:val="24"/>
          <w:lang w:val="sq-AL"/>
        </w:rPr>
        <w:t xml:space="preserve"> paragrafët 26</w:t>
      </w:r>
      <w:r w:rsidR="005B203A">
        <w:rPr>
          <w:rFonts w:ascii="Garamond" w:hAnsi="Garamond"/>
          <w:szCs w:val="24"/>
          <w:lang w:val="sq-AL"/>
        </w:rPr>
        <w:t>–</w:t>
      </w:r>
      <w:r w:rsidR="00395112" w:rsidRPr="00E91B0C">
        <w:rPr>
          <w:rFonts w:ascii="Garamond" w:hAnsi="Garamond"/>
          <w:szCs w:val="24"/>
          <w:lang w:val="sq-AL"/>
        </w:rPr>
        <w:t>27 dhe paragrafët 37 dhe 41 më sipër). Për të gjitha sa më sipër, Gjykata arrin në përfundimin se urdhri i përkohshëm u lëshua për parandalimin e një shembje</w:t>
      </w:r>
      <w:r w:rsidR="00E76CA1">
        <w:rPr>
          <w:rFonts w:ascii="Garamond" w:hAnsi="Garamond"/>
          <w:szCs w:val="24"/>
          <w:lang w:val="sq-AL"/>
        </w:rPr>
        <w:t>je të mundsh</w:t>
      </w:r>
      <w:r w:rsidR="00395112" w:rsidRPr="00E91B0C">
        <w:rPr>
          <w:rFonts w:ascii="Garamond" w:hAnsi="Garamond"/>
          <w:szCs w:val="24"/>
          <w:lang w:val="sq-AL"/>
        </w:rPr>
        <w:t>m</w:t>
      </w:r>
      <w:r w:rsidR="00E76CA1">
        <w:rPr>
          <w:rFonts w:ascii="Garamond" w:hAnsi="Garamond"/>
          <w:szCs w:val="24"/>
          <w:lang w:val="sq-AL"/>
        </w:rPr>
        <w:t>e</w:t>
      </w:r>
      <w:r w:rsidR="00395112" w:rsidRPr="00E91B0C">
        <w:rPr>
          <w:rFonts w:ascii="Garamond" w:hAnsi="Garamond"/>
          <w:szCs w:val="24"/>
          <w:lang w:val="sq-AL"/>
        </w:rPr>
        <w:t xml:space="preserve"> të godinës së kërkuesve.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95. Gjykata do t’i kthehet çështjes nëse autoritetet kishin respektuar urdhrin e përkohshëm të datës 7 nëntor 2013. Vërehet se sipas </w:t>
      </w:r>
      <w:r w:rsidR="00C0025C" w:rsidRPr="00E91B0C">
        <w:rPr>
          <w:rFonts w:ascii="Garamond" w:hAnsi="Garamond"/>
          <w:szCs w:val="24"/>
          <w:lang w:val="sq-AL"/>
        </w:rPr>
        <w:t xml:space="preserve">nenit </w:t>
      </w:r>
      <w:r w:rsidRPr="00E91B0C">
        <w:rPr>
          <w:rFonts w:ascii="Garamond" w:hAnsi="Garamond"/>
          <w:szCs w:val="24"/>
          <w:lang w:val="sq-AL"/>
        </w:rPr>
        <w:t>510 të Kodit të Procedurës Civile, një urdhër i përkohshëm është i zbatueshëm në mënyrë të drejtpërdrejtë dhe detyrues për të gjith</w:t>
      </w:r>
      <w:r w:rsidR="00FA6E83">
        <w:rPr>
          <w:rFonts w:ascii="Garamond" w:hAnsi="Garamond"/>
          <w:szCs w:val="24"/>
          <w:lang w:val="sq-AL"/>
        </w:rPr>
        <w:t>a</w:t>
      </w:r>
      <w:r w:rsidRPr="00E91B0C">
        <w:rPr>
          <w:rFonts w:ascii="Garamond" w:hAnsi="Garamond"/>
          <w:szCs w:val="24"/>
          <w:lang w:val="sq-AL"/>
        </w:rPr>
        <w:t xml:space="preserve"> institucionet shtetërorë (shih paragrafët 19 dhe 62 më sipër). Duke iu kthyer çështjes aktuale, Gjykata vëren se urdhri i përkohshëm, i adresuar ndaj çdo organi zyrtar, do të mbetej në fuqi deri sa të jepej një vendim për meritat e çështjes (shih paragrafin 19 më sipër). Në të kundërt, </w:t>
      </w:r>
      <w:r w:rsidR="00FA6E83">
        <w:rPr>
          <w:rFonts w:ascii="Garamond" w:hAnsi="Garamond"/>
          <w:szCs w:val="24"/>
          <w:lang w:val="sq-AL"/>
        </w:rPr>
        <w:t>në kohën kur gjykatat e brendsh</w:t>
      </w:r>
      <w:r w:rsidRPr="00E91B0C">
        <w:rPr>
          <w:rFonts w:ascii="Garamond" w:hAnsi="Garamond"/>
          <w:szCs w:val="24"/>
          <w:lang w:val="sq-AL"/>
        </w:rPr>
        <w:t>m</w:t>
      </w:r>
      <w:r w:rsidR="00FA6E83">
        <w:rPr>
          <w:rFonts w:ascii="Garamond" w:hAnsi="Garamond"/>
          <w:szCs w:val="24"/>
          <w:lang w:val="sq-AL"/>
        </w:rPr>
        <w:t>e</w:t>
      </w:r>
      <w:r w:rsidRPr="00E91B0C">
        <w:rPr>
          <w:rFonts w:ascii="Garamond" w:hAnsi="Garamond"/>
          <w:szCs w:val="24"/>
          <w:lang w:val="sq-AL"/>
        </w:rPr>
        <w:t xml:space="preserve"> duhej të vendosnin për meritat e çështjes, Këshilli i Ministrave kishte vendosur se Rezidenca Jon duhej të shpronësohej për interesin publik dhe godina duhej të shembej. Për këtë arsye, zbatimi i urdhrit të përkohshëm dhe rezultati i procedimeve kryesore u bë i tepërt (shih paragrafët 22 dhe 26</w:t>
      </w:r>
      <w:r w:rsidR="005B203A">
        <w:rPr>
          <w:rFonts w:ascii="Garamond" w:hAnsi="Garamond"/>
          <w:szCs w:val="24"/>
          <w:lang w:val="sq-AL"/>
        </w:rPr>
        <w:t>–</w:t>
      </w:r>
      <w:r w:rsidRPr="00E91B0C">
        <w:rPr>
          <w:rFonts w:ascii="Garamond" w:hAnsi="Garamond"/>
          <w:szCs w:val="24"/>
          <w:lang w:val="sq-AL"/>
        </w:rPr>
        <w:t xml:space="preserve">27 më sipër). Gjithashtu, Gjykata vëren se gjykatat </w:t>
      </w:r>
      <w:r w:rsidR="003C06FD">
        <w:rPr>
          <w:rFonts w:ascii="Garamond" w:hAnsi="Garamond"/>
          <w:szCs w:val="24"/>
          <w:lang w:val="sq-AL"/>
        </w:rPr>
        <w:t>vendës</w:t>
      </w:r>
      <w:r w:rsidRPr="00E91B0C">
        <w:rPr>
          <w:rFonts w:ascii="Garamond" w:hAnsi="Garamond"/>
          <w:szCs w:val="24"/>
          <w:lang w:val="sq-AL"/>
        </w:rPr>
        <w:t xml:space="preserve">e në të gjitha nivelet, gjykonin se autoritetet shqiptare nuk kishin respektuar urdhrin e përkohshëm (shih edhe paragrafët 78 dhe 94 më sipër). </w:t>
      </w:r>
    </w:p>
    <w:p w:rsidR="00395112" w:rsidRPr="00E91B0C" w:rsidRDefault="00395112" w:rsidP="00395112">
      <w:pPr>
        <w:pStyle w:val="JuPara"/>
        <w:widowControl w:val="0"/>
        <w:rPr>
          <w:rFonts w:ascii="Garamond" w:hAnsi="Garamond"/>
          <w:i/>
          <w:iCs/>
          <w:szCs w:val="24"/>
          <w:lang w:val="sq-AL"/>
        </w:rPr>
      </w:pPr>
      <w:r w:rsidRPr="00E91B0C">
        <w:rPr>
          <w:rFonts w:ascii="Garamond" w:hAnsi="Garamond"/>
          <w:szCs w:val="24"/>
          <w:lang w:val="sq-AL"/>
        </w:rPr>
        <w:t xml:space="preserve">96. Për sa më sipër, Gjykata është e mendimit se autoritetet kombëtare nuk respektuan në praktikë vendimin e dhënë nga Gjykata Administrative e Rrethit Vlorë, më 7 nëntor 2013, duke e privuar </w:t>
      </w:r>
      <w:r w:rsidR="001073BE" w:rsidRPr="00E91B0C">
        <w:rPr>
          <w:rFonts w:ascii="Garamond" w:hAnsi="Garamond"/>
          <w:szCs w:val="24"/>
          <w:lang w:val="sq-AL"/>
        </w:rPr>
        <w:t>n</w:t>
      </w:r>
      <w:r w:rsidRPr="00E91B0C">
        <w:rPr>
          <w:rFonts w:ascii="Garamond" w:hAnsi="Garamond"/>
          <w:szCs w:val="24"/>
          <w:lang w:val="sq-AL"/>
        </w:rPr>
        <w:t>enin 6</w:t>
      </w:r>
      <w:r w:rsidR="008B2E1D">
        <w:rPr>
          <w:rFonts w:ascii="Garamond" w:hAnsi="Garamond"/>
          <w:szCs w:val="24"/>
          <w:lang w:val="sq-AL"/>
        </w:rPr>
        <w:t>§</w:t>
      </w:r>
      <w:r w:rsidRPr="00E91B0C">
        <w:rPr>
          <w:rFonts w:ascii="Garamond" w:hAnsi="Garamond"/>
          <w:szCs w:val="24"/>
          <w:lang w:val="sq-AL"/>
        </w:rPr>
        <w:t xml:space="preserve">1 të kishte ndonjë efekt të dobishëm (shih, </w:t>
      </w:r>
      <w:r w:rsidRPr="00E91B0C">
        <w:rPr>
          <w:rFonts w:ascii="Garamond" w:hAnsi="Garamond"/>
          <w:i/>
          <w:szCs w:val="24"/>
          <w:lang w:val="sq-AL"/>
        </w:rPr>
        <w:t>mutatis mutandis</w:t>
      </w:r>
      <w:r w:rsidRPr="00E91B0C">
        <w:rPr>
          <w:rFonts w:ascii="Garamond" w:hAnsi="Garamond"/>
          <w:szCs w:val="24"/>
          <w:lang w:val="sq-AL"/>
        </w:rPr>
        <w:t xml:space="preserve">, </w:t>
      </w:r>
      <w:r w:rsidRPr="00E91B0C">
        <w:rPr>
          <w:rFonts w:ascii="Garamond" w:hAnsi="Garamond"/>
          <w:i/>
          <w:szCs w:val="24"/>
          <w:lang w:val="sq-AL"/>
        </w:rPr>
        <w:t>Okyay dhe të Tjerët</w:t>
      </w:r>
      <w:r w:rsidRPr="00E91B0C">
        <w:rPr>
          <w:rFonts w:ascii="Garamond" w:hAnsi="Garamond"/>
          <w:szCs w:val="24"/>
          <w:lang w:val="sq-AL"/>
        </w:rPr>
        <w:t>, cituar më sipër, §§ 72</w:t>
      </w:r>
      <w:r w:rsidR="005B203A">
        <w:rPr>
          <w:rFonts w:ascii="Garamond" w:hAnsi="Garamond"/>
          <w:szCs w:val="24"/>
          <w:lang w:val="sq-AL"/>
        </w:rPr>
        <w:t>–</w:t>
      </w:r>
      <w:r w:rsidRPr="00E91B0C">
        <w:rPr>
          <w:rFonts w:ascii="Garamond" w:hAnsi="Garamond"/>
          <w:szCs w:val="24"/>
          <w:lang w:val="sq-AL"/>
        </w:rPr>
        <w:lastRenderedPageBreak/>
        <w:t xml:space="preserve">73, dhe </w:t>
      </w:r>
      <w:r w:rsidRPr="00E91B0C">
        <w:rPr>
          <w:rFonts w:ascii="Garamond" w:hAnsi="Garamond"/>
          <w:i/>
          <w:iCs/>
          <w:szCs w:val="24"/>
          <w:lang w:val="sq-AL"/>
        </w:rPr>
        <w:t>Kübler kundër Gjermanisë</w:t>
      </w:r>
      <w:r w:rsidRPr="00E91B0C">
        <w:rPr>
          <w:rFonts w:ascii="Garamond" w:hAnsi="Garamond"/>
          <w:szCs w:val="24"/>
          <w:lang w:val="sq-AL"/>
        </w:rPr>
        <w:t>, nr. 32715/06</w:t>
      </w:r>
      <w:r w:rsidRPr="00E91B0C">
        <w:rPr>
          <w:rFonts w:ascii="Garamond" w:hAnsi="Garamond"/>
          <w:snapToGrid w:val="0"/>
          <w:szCs w:val="24"/>
          <w:lang w:val="sq-AL"/>
        </w:rPr>
        <w:t>, §§ 60</w:t>
      </w:r>
      <w:r w:rsidR="005B203A">
        <w:rPr>
          <w:rFonts w:ascii="Garamond" w:hAnsi="Garamond"/>
          <w:szCs w:val="24"/>
          <w:lang w:val="sq-AL"/>
        </w:rPr>
        <w:t>–</w:t>
      </w:r>
      <w:r w:rsidRPr="00E91B0C">
        <w:rPr>
          <w:rFonts w:ascii="Garamond" w:hAnsi="Garamond"/>
          <w:snapToGrid w:val="0"/>
          <w:szCs w:val="24"/>
          <w:lang w:val="sq-AL"/>
        </w:rPr>
        <w:t>66, 13 janar 2011</w:t>
      </w:r>
      <w:r w:rsidRPr="00E91B0C">
        <w:rPr>
          <w:rFonts w:ascii="Garamond" w:hAnsi="Garamond"/>
          <w:szCs w:val="24"/>
          <w:lang w:val="sq-AL"/>
        </w:rPr>
        <w:t>).</w:t>
      </w:r>
    </w:p>
    <w:p w:rsidR="000507EB" w:rsidRDefault="003A3320" w:rsidP="00922378">
      <w:pPr>
        <w:pStyle w:val="JuPara"/>
        <w:widowControl w:val="0"/>
        <w:rPr>
          <w:rFonts w:ascii="Garamond" w:hAnsi="Garamond"/>
          <w:szCs w:val="24"/>
          <w:lang w:val="sq-AL"/>
        </w:rPr>
      </w:pPr>
      <w:r>
        <w:rPr>
          <w:rFonts w:ascii="Garamond" w:hAnsi="Garamond"/>
          <w:szCs w:val="24"/>
          <w:lang w:val="sq-AL"/>
        </w:rPr>
        <w:t>97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Për këtë arsye është shkelur </w:t>
      </w:r>
      <w:r w:rsidR="00C0025C" w:rsidRPr="00E91B0C">
        <w:rPr>
          <w:rFonts w:ascii="Garamond" w:hAnsi="Garamond"/>
          <w:szCs w:val="24"/>
          <w:lang w:val="sq-AL"/>
        </w:rPr>
        <w:t xml:space="preserve">neni </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 xml:space="preserve">1 i Konventës. </w:t>
      </w:r>
      <w:bookmarkStart w:id="50" w:name="_Toc520459350"/>
    </w:p>
    <w:p w:rsidR="00395112" w:rsidRPr="00E91B0C" w:rsidRDefault="00395112" w:rsidP="00395112">
      <w:pPr>
        <w:pStyle w:val="ECHRHeading1"/>
        <w:keepNext w:val="0"/>
        <w:keepLines w:val="0"/>
        <w:widowControl w:val="0"/>
        <w:spacing w:before="0" w:after="0"/>
        <w:ind w:left="0" w:firstLine="284"/>
        <w:rPr>
          <w:rFonts w:ascii="Garamond" w:hAnsi="Garamond"/>
          <w:szCs w:val="24"/>
          <w:lang w:val="sq-AL"/>
        </w:rPr>
      </w:pPr>
      <w:r w:rsidRPr="00E91B0C">
        <w:rPr>
          <w:rFonts w:ascii="Garamond" w:hAnsi="Garamond"/>
          <w:szCs w:val="24"/>
          <w:lang w:val="sq-AL"/>
        </w:rPr>
        <w:t>II.</w:t>
      </w:r>
      <w:r w:rsidR="00E91B0C">
        <w:rPr>
          <w:rFonts w:ascii="Garamond" w:hAnsi="Garamond"/>
          <w:szCs w:val="24"/>
          <w:lang w:val="sq-AL"/>
        </w:rPr>
        <w:t xml:space="preserve"> </w:t>
      </w:r>
      <w:r w:rsidRPr="00E91B0C">
        <w:rPr>
          <w:rFonts w:ascii="Garamond" w:hAnsi="Garamond"/>
          <w:szCs w:val="24"/>
          <w:lang w:val="sq-AL"/>
        </w:rPr>
        <w:t>SHKELJE TË PRETENDUARA TË NENIT 8 KONSIDERUAR MË</w:t>
      </w:r>
      <w:r w:rsidR="00C0025C" w:rsidRPr="00E91B0C">
        <w:rPr>
          <w:rFonts w:ascii="Garamond" w:hAnsi="Garamond"/>
          <w:szCs w:val="24"/>
          <w:lang w:val="sq-AL"/>
        </w:rPr>
        <w:t>VEÇANTË</w:t>
      </w:r>
      <w:r w:rsidRPr="00E91B0C">
        <w:rPr>
          <w:rFonts w:ascii="Garamond" w:hAnsi="Garamond"/>
          <w:szCs w:val="24"/>
          <w:lang w:val="sq-AL"/>
        </w:rPr>
        <w:t xml:space="preserve"> DHE SË BASHKU ME NENIN 13 TË KONVENTËS</w:t>
      </w:r>
      <w:bookmarkEnd w:id="50"/>
      <w:r w:rsidR="00E91B0C">
        <w:rPr>
          <w:rFonts w:ascii="Garamond" w:hAnsi="Garamond"/>
          <w:szCs w:val="24"/>
          <w:lang w:val="sq-AL"/>
        </w:rPr>
        <w:t xml:space="preserve">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98</w:t>
      </w:r>
      <w:r w:rsidR="00395112" w:rsidRPr="00E91B0C">
        <w:rPr>
          <w:rFonts w:ascii="Garamond" w:hAnsi="Garamond"/>
          <w:szCs w:val="24"/>
          <w:lang w:val="sq-AL"/>
        </w:rPr>
        <w:t>. Kërkuesit u ankuan se largimi i tyre me forcë nga banesat e tyre</w:t>
      </w:r>
      <w:r w:rsidR="005348D4">
        <w:rPr>
          <w:rFonts w:ascii="Garamond" w:hAnsi="Garamond"/>
          <w:szCs w:val="24"/>
          <w:lang w:val="sq-AL"/>
        </w:rPr>
        <w:t>,</w:t>
      </w:r>
      <w:r w:rsidR="00395112" w:rsidRPr="00E91B0C">
        <w:rPr>
          <w:rFonts w:ascii="Garamond" w:hAnsi="Garamond"/>
          <w:szCs w:val="24"/>
          <w:lang w:val="sq-AL"/>
        </w:rPr>
        <w:t xml:space="preserve"> pa një njoftim paraprak dhe konfiskimi i godinës shkelte </w:t>
      </w:r>
      <w:r w:rsidR="001073BE" w:rsidRPr="00E91B0C">
        <w:rPr>
          <w:rFonts w:ascii="Garamond" w:hAnsi="Garamond"/>
          <w:szCs w:val="24"/>
          <w:lang w:val="sq-AL"/>
        </w:rPr>
        <w:t xml:space="preserve">nenin </w:t>
      </w:r>
      <w:r w:rsidR="00395112" w:rsidRPr="00E91B0C">
        <w:rPr>
          <w:rFonts w:ascii="Garamond" w:hAnsi="Garamond"/>
          <w:szCs w:val="24"/>
          <w:lang w:val="sq-AL"/>
        </w:rPr>
        <w:t>8 të Konventës, më tej, ata u ankuan se shpronësimi dhe në vijim shembja e godinës</w:t>
      </w:r>
      <w:r w:rsidR="005348D4">
        <w:rPr>
          <w:rFonts w:ascii="Garamond" w:hAnsi="Garamond"/>
          <w:szCs w:val="24"/>
          <w:lang w:val="sq-AL"/>
        </w:rPr>
        <w:t>,</w:t>
      </w:r>
      <w:r w:rsidR="00395112" w:rsidRPr="00E91B0C">
        <w:rPr>
          <w:rFonts w:ascii="Garamond" w:hAnsi="Garamond"/>
          <w:szCs w:val="24"/>
          <w:lang w:val="sq-AL"/>
        </w:rPr>
        <w:t xml:space="preserve"> shkelte të drejtën e tyre për respektimin e banesës së tyre sipas parashikimit përkatës. Ata u ankuan për mungesën e një mjeti efikas në atë këndvështrim.</w:t>
      </w:r>
      <w:r w:rsid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Neni 8 i Konventës parashikon si më poshtë:</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“1. Çdokush ka të drejtën e respektimit të jetës së tij private dhe familjare, banesës dhe korrespondencës së tij.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të tjerëve.”</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51" w:name="_Toc520459351"/>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Ankesa në lidhje me konfiskimin e godinës</w:t>
      </w:r>
      <w:bookmarkEnd w:id="51"/>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52" w:name="_Toc520459352"/>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Pranueshmëria</w:t>
      </w:r>
      <w:bookmarkEnd w:id="52"/>
      <w:r w:rsidRPr="00E91B0C">
        <w:rPr>
          <w:rFonts w:ascii="Garamond" w:hAnsi="Garamond"/>
          <w:szCs w:val="24"/>
          <w:lang w:val="sq-AL"/>
        </w:rPr>
        <w:t xml:space="preserve">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Në lidhje me kërkuesin e parë dhe të dytë</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99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Gjykata vëren se kërkuesi i parë dhe i dytë u bënë pronarë të disa apartamenteve dhe dyqaneve në Rezidencën Jon</w:t>
      </w:r>
      <w:r w:rsidR="005348D4">
        <w:rPr>
          <w:rFonts w:ascii="Garamond" w:hAnsi="Garamond"/>
          <w:szCs w:val="24"/>
          <w:lang w:val="sq-AL"/>
        </w:rPr>
        <w:t>,</w:t>
      </w:r>
      <w:r w:rsidR="00395112" w:rsidRPr="00E91B0C">
        <w:rPr>
          <w:rFonts w:ascii="Garamond" w:hAnsi="Garamond"/>
          <w:szCs w:val="24"/>
          <w:lang w:val="sq-AL"/>
        </w:rPr>
        <w:t xml:space="preserve"> për shkak të pronësisë që kishin mbi truall (shih paragrafin 8 më sipër). Megjithatë, Gjykata vëren se kërkuesi i parë dhe i dytë nuk paraqitën të dhëna të dokumentuara për të provuar se ata po i përdornin në fakt shtëpitë ose mjediset e tyre të biznesit</w:t>
      </w:r>
      <w:r w:rsidR="00E91B0C">
        <w:rPr>
          <w:rFonts w:ascii="Garamond" w:hAnsi="Garamond"/>
          <w:szCs w:val="24"/>
          <w:lang w:val="sq-AL"/>
        </w:rPr>
        <w:t xml:space="preserve"> </w:t>
      </w:r>
      <w:r w:rsidR="00395112" w:rsidRPr="00E91B0C">
        <w:rPr>
          <w:rFonts w:ascii="Garamond" w:hAnsi="Garamond"/>
          <w:szCs w:val="24"/>
          <w:lang w:val="sq-AL"/>
        </w:rPr>
        <w:t xml:space="preserve">(shih, </w:t>
      </w:r>
      <w:r w:rsidR="00395112" w:rsidRPr="00E91B0C">
        <w:rPr>
          <w:rFonts w:ascii="Garamond" w:hAnsi="Garamond"/>
          <w:i/>
          <w:szCs w:val="24"/>
          <w:lang w:val="sq-AL"/>
        </w:rPr>
        <w:t>a contrario</w:t>
      </w:r>
      <w:r w:rsidR="00395112" w:rsidRPr="00E91B0C">
        <w:rPr>
          <w:rFonts w:ascii="Garamond" w:hAnsi="Garamond"/>
          <w:szCs w:val="24"/>
          <w:lang w:val="sq-AL"/>
        </w:rPr>
        <w:t xml:space="preserve">, </w:t>
      </w:r>
      <w:r w:rsidR="00395112" w:rsidRPr="00E91B0C">
        <w:rPr>
          <w:rFonts w:ascii="Garamond" w:hAnsi="Garamond"/>
          <w:i/>
          <w:szCs w:val="24"/>
          <w:lang w:val="sq-AL"/>
        </w:rPr>
        <w:t xml:space="preserve">Société Colas Est </w:t>
      </w:r>
      <w:r w:rsidR="00395112" w:rsidRPr="00B84459">
        <w:rPr>
          <w:rFonts w:ascii="Garamond" w:hAnsi="Garamond"/>
          <w:szCs w:val="24"/>
          <w:lang w:val="sq-AL"/>
        </w:rPr>
        <w:t>dhe</w:t>
      </w:r>
      <w:r w:rsidR="00395112" w:rsidRPr="00E91B0C">
        <w:rPr>
          <w:rFonts w:ascii="Garamond" w:hAnsi="Garamond"/>
          <w:i/>
          <w:szCs w:val="24"/>
          <w:lang w:val="sq-AL"/>
        </w:rPr>
        <w:t xml:space="preserve"> të Tjerët kundër Francës</w:t>
      </w:r>
      <w:r w:rsidR="00395112" w:rsidRPr="00E91B0C">
        <w:rPr>
          <w:rFonts w:ascii="Garamond" w:hAnsi="Garamond"/>
          <w:szCs w:val="24"/>
          <w:lang w:val="sq-AL"/>
        </w:rPr>
        <w:t>, nr. 37971/97</w:t>
      </w:r>
      <w:r w:rsidR="008541A0">
        <w:rPr>
          <w:rFonts w:ascii="Garamond" w:hAnsi="Garamond"/>
          <w:szCs w:val="24"/>
          <w:lang w:val="sq-AL"/>
        </w:rPr>
        <w:t>, §</w:t>
      </w:r>
      <w:r w:rsidR="00395112" w:rsidRPr="00E91B0C">
        <w:rPr>
          <w:rFonts w:ascii="Garamond" w:hAnsi="Garamond"/>
          <w:szCs w:val="24"/>
          <w:lang w:val="sq-AL"/>
        </w:rPr>
        <w:t>§41</w:t>
      </w:r>
      <w:r w:rsidR="005B203A">
        <w:rPr>
          <w:rFonts w:ascii="Garamond" w:hAnsi="Garamond"/>
          <w:szCs w:val="24"/>
          <w:lang w:val="sq-AL"/>
        </w:rPr>
        <w:t>–</w:t>
      </w:r>
      <w:r w:rsidR="00395112" w:rsidRPr="00E91B0C">
        <w:rPr>
          <w:rFonts w:ascii="Garamond" w:hAnsi="Garamond"/>
          <w:szCs w:val="24"/>
          <w:lang w:val="sq-AL"/>
        </w:rPr>
        <w:t>42, GJEDNJ 2002</w:t>
      </w:r>
      <w:r w:rsidR="00395112" w:rsidRPr="00E91B0C">
        <w:rPr>
          <w:rFonts w:ascii="Garamond" w:hAnsi="Garamond"/>
          <w:szCs w:val="24"/>
          <w:lang w:val="sq-AL"/>
        </w:rPr>
        <w:noBreakHyphen/>
        <w:t xml:space="preserve">III) për qëllim të </w:t>
      </w:r>
      <w:r w:rsidR="001073BE" w:rsidRPr="00E91B0C">
        <w:rPr>
          <w:rFonts w:ascii="Garamond" w:hAnsi="Garamond"/>
          <w:szCs w:val="24"/>
          <w:lang w:val="sq-AL"/>
        </w:rPr>
        <w:t>n</w:t>
      </w:r>
      <w:r w:rsidR="00395112" w:rsidRPr="00E91B0C">
        <w:rPr>
          <w:rFonts w:ascii="Garamond" w:hAnsi="Garamond"/>
          <w:szCs w:val="24"/>
          <w:lang w:val="sq-AL"/>
        </w:rPr>
        <w:t xml:space="preserve">enit 8 të Konventës. Për këtë </w:t>
      </w:r>
      <w:r w:rsidR="00E4573F" w:rsidRPr="00E91B0C">
        <w:rPr>
          <w:rFonts w:ascii="Garamond" w:hAnsi="Garamond"/>
          <w:szCs w:val="24"/>
          <w:lang w:val="sq-AL"/>
        </w:rPr>
        <w:t>arsye</w:t>
      </w:r>
      <w:r w:rsidR="00395112" w:rsidRPr="00E91B0C">
        <w:rPr>
          <w:rFonts w:ascii="Garamond" w:hAnsi="Garamond"/>
          <w:szCs w:val="24"/>
          <w:lang w:val="sq-AL"/>
        </w:rPr>
        <w:t>, kjo an</w:t>
      </w:r>
      <w:r w:rsidR="005348D4">
        <w:rPr>
          <w:rFonts w:ascii="Garamond" w:hAnsi="Garamond"/>
          <w:szCs w:val="24"/>
          <w:lang w:val="sq-AL"/>
        </w:rPr>
        <w:t>k</w:t>
      </w:r>
      <w:r w:rsidR="00395112" w:rsidRPr="00E91B0C">
        <w:rPr>
          <w:rFonts w:ascii="Garamond" w:hAnsi="Garamond"/>
          <w:szCs w:val="24"/>
          <w:lang w:val="sq-AL"/>
        </w:rPr>
        <w:t>esë</w:t>
      </w:r>
      <w:r w:rsidR="005348D4">
        <w:rPr>
          <w:rFonts w:ascii="Garamond" w:hAnsi="Garamond"/>
          <w:szCs w:val="24"/>
          <w:lang w:val="sq-AL"/>
        </w:rPr>
        <w:t>,</w:t>
      </w:r>
      <w:r w:rsidR="00395112" w:rsidRPr="00E91B0C">
        <w:rPr>
          <w:rFonts w:ascii="Garamond" w:hAnsi="Garamond"/>
          <w:szCs w:val="24"/>
          <w:lang w:val="sq-AL"/>
        </w:rPr>
        <w:t xml:space="preserve"> në lidhje me kërkuesin e parë dhe të dytë nuk përputhet </w:t>
      </w:r>
      <w:r w:rsidR="00395112" w:rsidRPr="00E91B0C">
        <w:rPr>
          <w:rFonts w:ascii="Garamond" w:hAnsi="Garamond"/>
          <w:i/>
          <w:szCs w:val="24"/>
          <w:lang w:val="sq-AL"/>
        </w:rPr>
        <w:t>ratione materiae</w:t>
      </w:r>
      <w:r w:rsidR="00395112" w:rsidRPr="00E91B0C">
        <w:rPr>
          <w:rFonts w:ascii="Garamond" w:hAnsi="Garamond"/>
          <w:szCs w:val="24"/>
          <w:lang w:val="sq-AL"/>
        </w:rPr>
        <w:t xml:space="preserve"> me parashikimet e Konventës sipas kuptimit të </w:t>
      </w:r>
      <w:r w:rsidR="001073BE" w:rsidRPr="00E91B0C">
        <w:rPr>
          <w:rFonts w:ascii="Garamond" w:hAnsi="Garamond"/>
          <w:szCs w:val="24"/>
          <w:lang w:val="sq-AL"/>
        </w:rPr>
        <w:t>n</w:t>
      </w:r>
      <w:r w:rsidR="00395112" w:rsidRPr="00E91B0C">
        <w:rPr>
          <w:rFonts w:ascii="Garamond" w:hAnsi="Garamond"/>
          <w:szCs w:val="24"/>
          <w:lang w:val="sq-AL"/>
        </w:rPr>
        <w:t>enit 35</w:t>
      </w:r>
      <w:r w:rsidR="008B2E1D">
        <w:rPr>
          <w:rFonts w:ascii="Garamond" w:hAnsi="Garamond"/>
          <w:szCs w:val="24"/>
          <w:lang w:val="sq-AL"/>
        </w:rPr>
        <w:t>§</w:t>
      </w:r>
      <w:r w:rsidR="00395112" w:rsidRPr="00E91B0C">
        <w:rPr>
          <w:rFonts w:ascii="Garamond" w:hAnsi="Garamond"/>
          <w:szCs w:val="24"/>
          <w:lang w:val="sq-AL"/>
        </w:rPr>
        <w:t xml:space="preserve">3(a) dhe duhet të kundërshtohet në përputhje me </w:t>
      </w:r>
      <w:r w:rsidR="001073BE" w:rsidRPr="00E91B0C">
        <w:rPr>
          <w:rFonts w:ascii="Garamond" w:hAnsi="Garamond"/>
          <w:szCs w:val="24"/>
          <w:lang w:val="sq-AL"/>
        </w:rPr>
        <w:t>n</w:t>
      </w:r>
      <w:r w:rsidR="00395112" w:rsidRPr="00E91B0C">
        <w:rPr>
          <w:rFonts w:ascii="Garamond" w:hAnsi="Garamond"/>
          <w:szCs w:val="24"/>
          <w:lang w:val="sq-AL"/>
        </w:rPr>
        <w:t>enin 35</w:t>
      </w:r>
      <w:r w:rsidR="008B2E1D">
        <w:rPr>
          <w:rFonts w:ascii="Garamond" w:hAnsi="Garamond"/>
          <w:szCs w:val="24"/>
          <w:lang w:val="sq-AL"/>
        </w:rPr>
        <w:t>§</w:t>
      </w:r>
      <w:r w:rsidR="00395112" w:rsidRPr="00E91B0C">
        <w:rPr>
          <w:rFonts w:ascii="Garamond" w:hAnsi="Garamond"/>
          <w:szCs w:val="24"/>
          <w:lang w:val="sq-AL"/>
        </w:rPr>
        <w:t xml:space="preserve">4. Mbi po të njëjtat arsye, Gjykata kundërshton ankesën e tyre sipas </w:t>
      </w:r>
      <w:r w:rsidR="001073BE" w:rsidRPr="00E91B0C">
        <w:rPr>
          <w:rFonts w:ascii="Garamond" w:hAnsi="Garamond"/>
          <w:szCs w:val="24"/>
          <w:lang w:val="sq-AL"/>
        </w:rPr>
        <w:t>n</w:t>
      </w:r>
      <w:r w:rsidR="00395112" w:rsidRPr="00E91B0C">
        <w:rPr>
          <w:rFonts w:ascii="Garamond" w:hAnsi="Garamond"/>
          <w:szCs w:val="24"/>
          <w:lang w:val="sq-AL"/>
        </w:rPr>
        <w:t xml:space="preserve">enit 13 të Konventës marrë së bashku me </w:t>
      </w:r>
      <w:r w:rsidR="001073BE" w:rsidRPr="00E91B0C">
        <w:rPr>
          <w:rFonts w:ascii="Garamond" w:hAnsi="Garamond"/>
          <w:szCs w:val="24"/>
          <w:lang w:val="sq-AL"/>
        </w:rPr>
        <w:t>n</w:t>
      </w:r>
      <w:r w:rsidR="00395112" w:rsidRPr="00E91B0C">
        <w:rPr>
          <w:rFonts w:ascii="Garamond" w:hAnsi="Garamond"/>
          <w:szCs w:val="24"/>
          <w:lang w:val="sq-AL"/>
        </w:rPr>
        <w:t xml:space="preserve">enin 8.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Në lidhje me pjesën tjetër të kërkuesve</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Nëse kërkuesit kanë shfrytëzuar mjetet e brendshme</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100</w:t>
      </w:r>
      <w:r w:rsidR="00395112" w:rsidRPr="00E91B0C">
        <w:rPr>
          <w:rFonts w:ascii="Garamond" w:hAnsi="Garamond"/>
          <w:szCs w:val="24"/>
          <w:lang w:val="sq-AL"/>
        </w:rPr>
        <w:t xml:space="preserve">. Qeveria parashtroi se kërkuesit nuk ishin ankuar në gjykatat </w:t>
      </w:r>
      <w:r w:rsidR="003C06FD">
        <w:rPr>
          <w:rFonts w:ascii="Garamond" w:hAnsi="Garamond"/>
          <w:szCs w:val="24"/>
          <w:lang w:val="sq-AL"/>
        </w:rPr>
        <w:t>vendës</w:t>
      </w:r>
      <w:r w:rsidR="00395112" w:rsidRPr="00E91B0C">
        <w:rPr>
          <w:rFonts w:ascii="Garamond" w:hAnsi="Garamond"/>
          <w:szCs w:val="24"/>
          <w:lang w:val="sq-AL"/>
        </w:rPr>
        <w:t xml:space="preserve">e për një shkelje të të drejtave të tyre për respektimin e shtëpisë së tyre. Kërkuesit kishin kundërshtuar vetëm vlerën e shpronësimit. Ata nuk kishin kërkuar ndonjë kompensim në procedime, të cilat kishin përfunduar me vendimin e Gjykatës Administrative të Apelit të datës 21 janar 2014; ndryshe, ata mund të kishin paraqitur kërkesa mbështetur në Kodin Civil, </w:t>
      </w:r>
      <w:r w:rsidR="00CF528A" w:rsidRPr="00E91B0C">
        <w:rPr>
          <w:rFonts w:ascii="Garamond" w:hAnsi="Garamond"/>
          <w:szCs w:val="24"/>
          <w:lang w:val="sq-AL"/>
        </w:rPr>
        <w:t>akti</w:t>
      </w:r>
      <w:r w:rsidR="00CF528A">
        <w:rPr>
          <w:rFonts w:ascii="Garamond" w:hAnsi="Garamond"/>
          <w:szCs w:val="24"/>
          <w:lang w:val="sq-AL"/>
        </w:rPr>
        <w:t>n shtetëror të përgjegjësisë jo</w:t>
      </w:r>
      <w:r w:rsidR="00CF528A" w:rsidRPr="00E91B0C">
        <w:rPr>
          <w:rFonts w:ascii="Garamond" w:hAnsi="Garamond"/>
          <w:szCs w:val="24"/>
          <w:lang w:val="sq-AL"/>
        </w:rPr>
        <w:t xml:space="preserve">kontraktuale dhe aktit për inspektimin e godinave.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101. Kërkuesit përsëritën se ishin ankuar në gjykatat </w:t>
      </w:r>
      <w:r w:rsidR="003C06FD">
        <w:rPr>
          <w:rFonts w:ascii="Garamond" w:hAnsi="Garamond"/>
          <w:szCs w:val="24"/>
          <w:lang w:val="sq-AL"/>
        </w:rPr>
        <w:t>vendës</w:t>
      </w:r>
      <w:r w:rsidRPr="00E91B0C">
        <w:rPr>
          <w:rFonts w:ascii="Garamond" w:hAnsi="Garamond"/>
          <w:szCs w:val="24"/>
          <w:lang w:val="sq-AL"/>
        </w:rPr>
        <w:t xml:space="preserve">e për konfiskimin dhe rrethimin e godinës. Ata i kishin kundërshtuar veprimet e paligjshme të autoriteteve administrative (konfiskimi, shpronësimi dhe shembja), të cilat ndërhynin në të drejtën e tyre për respektimin e shtëpive të tyre, duke ngritur kështu, të paktën në thelb, një ankesë mbështetur në </w:t>
      </w:r>
      <w:r w:rsidR="001073BE" w:rsidRPr="00E91B0C">
        <w:rPr>
          <w:rFonts w:ascii="Garamond" w:hAnsi="Garamond"/>
          <w:szCs w:val="24"/>
          <w:lang w:val="sq-AL"/>
        </w:rPr>
        <w:t>n</w:t>
      </w:r>
      <w:r w:rsidRPr="00E91B0C">
        <w:rPr>
          <w:rFonts w:ascii="Garamond" w:hAnsi="Garamond"/>
          <w:szCs w:val="24"/>
          <w:lang w:val="sq-AL"/>
        </w:rPr>
        <w:t xml:space="preserve">enin 8 të Konventës.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102. Gjykata është e mendimit se çështja e shfrytëzimit të mjeteve të brendshme është e lidhur kaq ngushtë me meritat e ankesës së kërkuesve për mungesën e një mjeti efikas për ndërhyrje të pretenduar në të drejtën e tyre ndaj shtëpisë, në atë që ata nuk mund të ndahen prej saj.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103. Kështu, Gjykata deklaron se çështja nëse kërkuesit i kanë shfrytëzuar mjetet </w:t>
      </w:r>
      <w:r w:rsidR="003C06FD">
        <w:rPr>
          <w:rFonts w:ascii="Garamond" w:hAnsi="Garamond"/>
          <w:szCs w:val="24"/>
          <w:lang w:val="sq-AL"/>
        </w:rPr>
        <w:t>vendës</w:t>
      </w:r>
      <w:r w:rsidRPr="00E91B0C">
        <w:rPr>
          <w:rFonts w:ascii="Garamond" w:hAnsi="Garamond"/>
          <w:szCs w:val="24"/>
          <w:lang w:val="sq-AL"/>
        </w:rPr>
        <w:t xml:space="preserve">e duhet të bashkohet me meritat e ankesës së tyre mbështetur në </w:t>
      </w:r>
      <w:r w:rsidR="00CF528A" w:rsidRPr="00E91B0C">
        <w:rPr>
          <w:rFonts w:ascii="Garamond" w:hAnsi="Garamond"/>
          <w:szCs w:val="24"/>
          <w:lang w:val="sq-AL"/>
        </w:rPr>
        <w:t xml:space="preserve">nenin </w:t>
      </w:r>
      <w:r w:rsidRPr="00E91B0C">
        <w:rPr>
          <w:rFonts w:ascii="Garamond" w:hAnsi="Garamond"/>
          <w:szCs w:val="24"/>
          <w:lang w:val="sq-AL"/>
        </w:rPr>
        <w:t>13, n</w:t>
      </w:r>
      <w:r w:rsidR="00CF528A">
        <w:rPr>
          <w:rFonts w:ascii="Garamond" w:hAnsi="Garamond"/>
          <w:szCs w:val="24"/>
          <w:lang w:val="sq-AL"/>
        </w:rPr>
        <w:t>ë</w:t>
      </w:r>
      <w:r w:rsidRPr="00E91B0C">
        <w:rPr>
          <w:rFonts w:ascii="Garamond" w:hAnsi="Garamond"/>
          <w:szCs w:val="24"/>
          <w:lang w:val="sq-AL"/>
        </w:rPr>
        <w:t xml:space="preserve"> lidhje me </w:t>
      </w:r>
      <w:r w:rsidR="00CF528A" w:rsidRPr="00E91B0C">
        <w:rPr>
          <w:rFonts w:ascii="Garamond" w:hAnsi="Garamond"/>
          <w:szCs w:val="24"/>
          <w:lang w:val="sq-AL"/>
        </w:rPr>
        <w:t xml:space="preserve">nenin </w:t>
      </w:r>
      <w:r w:rsidRPr="00E91B0C">
        <w:rPr>
          <w:rFonts w:ascii="Garamond" w:hAnsi="Garamond"/>
          <w:szCs w:val="24"/>
          <w:lang w:val="sq-AL"/>
        </w:rPr>
        <w:t>8 të Konventës.</w:t>
      </w:r>
      <w:r w:rsidR="00E91B0C">
        <w:rPr>
          <w:rFonts w:ascii="Garamond" w:hAnsi="Garamond"/>
          <w:szCs w:val="24"/>
          <w:lang w:val="sq-AL"/>
        </w:rPr>
        <w:t xml:space="preserve"> </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Nëse kërkuesit nuk kanë “statusin e viktimës”</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104</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Qeveria i parashtroi se Gjykata Administrative e Apelit, në vendimin e saj të datës 21 janar 2014, i kishte deklaruar të paligjshme veprimet e INUK</w:t>
      </w:r>
      <w:r w:rsidR="00DC4E24">
        <w:rPr>
          <w:rFonts w:ascii="Garamond" w:hAnsi="Garamond"/>
          <w:szCs w:val="24"/>
          <w:lang w:val="sq-AL"/>
        </w:rPr>
        <w:t>-ut</w:t>
      </w:r>
      <w:r w:rsidR="00395112" w:rsidRPr="00E91B0C">
        <w:rPr>
          <w:rFonts w:ascii="Garamond" w:hAnsi="Garamond"/>
          <w:szCs w:val="24"/>
          <w:lang w:val="sq-AL"/>
        </w:rPr>
        <w:t xml:space="preserve">, të datës 3 nëntor 2013; për këtë arsye, çështja tashmë ishte adresuar në nivel të brendshëm.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Kërkuesit nuk parashtruan ndonjë koment të veçantë.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106. Për sa më sipër (shih paragrafët 76</w:t>
      </w:r>
      <w:r w:rsidR="005B203A">
        <w:rPr>
          <w:rFonts w:ascii="Garamond" w:hAnsi="Garamond"/>
          <w:szCs w:val="24"/>
          <w:lang w:val="sq-AL"/>
        </w:rPr>
        <w:t>–</w:t>
      </w:r>
      <w:r w:rsidRPr="00E91B0C">
        <w:rPr>
          <w:rFonts w:ascii="Garamond" w:hAnsi="Garamond"/>
          <w:szCs w:val="24"/>
          <w:lang w:val="sq-AL"/>
        </w:rPr>
        <w:t xml:space="preserve">79 më sipër), Gjykata është e mendimit se autoritetet kombëtare nuk </w:t>
      </w:r>
      <w:r w:rsidR="00B84459">
        <w:rPr>
          <w:rFonts w:ascii="Garamond" w:hAnsi="Garamond"/>
          <w:szCs w:val="24"/>
          <w:lang w:val="sq-AL"/>
        </w:rPr>
        <w:t>u</w:t>
      </w:r>
      <w:r w:rsidRPr="00E91B0C">
        <w:rPr>
          <w:rFonts w:ascii="Garamond" w:hAnsi="Garamond"/>
          <w:szCs w:val="24"/>
          <w:lang w:val="sq-AL"/>
        </w:rPr>
        <w:t xml:space="preserve"> garantuan kompensim kërkuesve në lidhje me ankimin e tyre për një shkelje të së drejtës për respektimin e shtëpisë së tyre dhe se ata mund të pretendojnë ende të jenë viktima të shkeljes së pretenduar. </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iii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Përfundim</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mendon se ankesat e kërkuesve, sipas </w:t>
      </w:r>
      <w:r w:rsidR="001073BE" w:rsidRPr="00E91B0C">
        <w:rPr>
          <w:rFonts w:ascii="Garamond" w:hAnsi="Garamond"/>
          <w:szCs w:val="24"/>
          <w:lang w:val="sq-AL"/>
        </w:rPr>
        <w:t>n</w:t>
      </w:r>
      <w:r w:rsidR="00395112" w:rsidRPr="00E91B0C">
        <w:rPr>
          <w:rFonts w:ascii="Garamond" w:hAnsi="Garamond"/>
          <w:szCs w:val="24"/>
          <w:lang w:val="sq-AL"/>
        </w:rPr>
        <w:t xml:space="preserve">eneve 8 dhe 13 të Konventës, nuk janë haptazi të pabazuara, sipas kuptimit të </w:t>
      </w:r>
      <w:r w:rsidR="001073BE" w:rsidRPr="00E91B0C">
        <w:rPr>
          <w:rFonts w:ascii="Garamond" w:hAnsi="Garamond"/>
          <w:szCs w:val="24"/>
          <w:lang w:val="sq-AL"/>
        </w:rPr>
        <w:t>n</w:t>
      </w:r>
      <w:r w:rsidR="00395112" w:rsidRPr="00E91B0C">
        <w:rPr>
          <w:rFonts w:ascii="Garamond" w:hAnsi="Garamond"/>
          <w:szCs w:val="24"/>
          <w:lang w:val="sq-AL"/>
        </w:rPr>
        <w:t>enit 35</w:t>
      </w:r>
      <w:r w:rsidR="008B2E1D">
        <w:rPr>
          <w:rFonts w:ascii="Garamond" w:hAnsi="Garamond"/>
          <w:szCs w:val="24"/>
          <w:lang w:val="sq-AL"/>
        </w:rPr>
        <w:t>§</w:t>
      </w:r>
      <w:r w:rsidR="00395112" w:rsidRPr="00E91B0C">
        <w:rPr>
          <w:rFonts w:ascii="Garamond" w:hAnsi="Garamond"/>
          <w:szCs w:val="24"/>
          <w:lang w:val="sq-AL"/>
        </w:rPr>
        <w:t>3 të Konventës. Më tej, ajo vëren se ato nuk janë të papranueshme sipas ndonjë arsye</w:t>
      </w:r>
      <w:r w:rsidR="00B84459">
        <w:rPr>
          <w:rFonts w:ascii="Garamond" w:hAnsi="Garamond"/>
          <w:szCs w:val="24"/>
          <w:lang w:val="sq-AL"/>
        </w:rPr>
        <w:t>je</w:t>
      </w:r>
      <w:r w:rsidR="00395112" w:rsidRPr="00E91B0C">
        <w:rPr>
          <w:rFonts w:ascii="Garamond" w:hAnsi="Garamond"/>
          <w:szCs w:val="24"/>
          <w:lang w:val="sq-AL"/>
        </w:rPr>
        <w:t xml:space="preserve"> tjetër. Për këtë arsye, ato duhet të deklarohen të pranueshme, pa </w:t>
      </w:r>
      <w:r w:rsidR="00395112" w:rsidRPr="00E91B0C">
        <w:rPr>
          <w:rFonts w:ascii="Garamond" w:hAnsi="Garamond"/>
          <w:szCs w:val="24"/>
          <w:lang w:val="sq-AL"/>
        </w:rPr>
        <w:lastRenderedPageBreak/>
        <w:t xml:space="preserve">paragjykim ndaj vendimit që do të merret për kundërshtimin e </w:t>
      </w:r>
      <w:r w:rsidR="0018461E" w:rsidRPr="00E91B0C">
        <w:rPr>
          <w:rFonts w:ascii="Garamond" w:hAnsi="Garamond"/>
          <w:szCs w:val="24"/>
          <w:lang w:val="sq-AL"/>
        </w:rPr>
        <w:t xml:space="preserve">qeverisë </w:t>
      </w:r>
      <w:r w:rsidR="00395112" w:rsidRPr="00E91B0C">
        <w:rPr>
          <w:rFonts w:ascii="Garamond" w:hAnsi="Garamond"/>
          <w:szCs w:val="24"/>
          <w:lang w:val="sq-AL"/>
        </w:rPr>
        <w:t xml:space="preserve">për mosshfrytëzimin e mjeteve të brendshme.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53" w:name="_Toc520459353"/>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Meritat</w:t>
      </w:r>
      <w:bookmarkEnd w:id="53"/>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 xml:space="preserve">Respektimi i </w:t>
      </w:r>
      <w:r w:rsidR="001073BE" w:rsidRPr="00E91B0C">
        <w:rPr>
          <w:rFonts w:ascii="Garamond" w:hAnsi="Garamond"/>
          <w:sz w:val="24"/>
          <w:szCs w:val="24"/>
          <w:lang w:val="sq-AL"/>
        </w:rPr>
        <w:t>n</w:t>
      </w:r>
      <w:r w:rsidRPr="00E91B0C">
        <w:rPr>
          <w:rFonts w:ascii="Garamond" w:hAnsi="Garamond"/>
          <w:sz w:val="24"/>
          <w:szCs w:val="24"/>
          <w:lang w:val="sq-AL"/>
        </w:rPr>
        <w:t>enit 8 të Konventës</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Parashtrimet e palëve</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108</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Kërkuesit parashtruan se e drejta e tyre për respektimin e shtëpisë ishte shkelur për shkak të dëbimit të papritur, me forcë, të paligjshëm dhe të përhershëm nga shtëpitë e tyre, pa ndonjë njoftim paraprak zyrtar. Ata pretenduan, se më 3 nëntor 2013, zyrtarë të INUK</w:t>
      </w:r>
      <w:r w:rsidR="00DC4E24">
        <w:rPr>
          <w:rFonts w:ascii="Garamond" w:hAnsi="Garamond"/>
          <w:szCs w:val="24"/>
          <w:lang w:val="sq-AL"/>
        </w:rPr>
        <w:t>-ut</w:t>
      </w:r>
      <w:r w:rsidR="00395112" w:rsidRPr="00E91B0C">
        <w:rPr>
          <w:rFonts w:ascii="Garamond" w:hAnsi="Garamond"/>
          <w:szCs w:val="24"/>
          <w:lang w:val="sq-AL"/>
        </w:rPr>
        <w:t xml:space="preserve"> dhe INU</w:t>
      </w:r>
      <w:r w:rsidR="00DC4E24">
        <w:rPr>
          <w:rFonts w:ascii="Garamond" w:hAnsi="Garamond"/>
          <w:szCs w:val="24"/>
          <w:lang w:val="sq-AL"/>
        </w:rPr>
        <w:t>-së</w:t>
      </w:r>
      <w:r w:rsidR="00395112" w:rsidRPr="00E91B0C">
        <w:rPr>
          <w:rFonts w:ascii="Garamond" w:hAnsi="Garamond"/>
          <w:szCs w:val="24"/>
          <w:lang w:val="sq-AL"/>
        </w:rPr>
        <w:t xml:space="preserve">, me ndihmën e Policisë së Shtetit, kishin rrethuar papritur godinën dhe e kishin rrethuar me një shirit të verdhë të policisë. Shumica prej tyre kishin mësuar për këtë situatë vetëm rastësisht, me anë të medias ose me anë të telefonit nga rojet e godinës. Ata të cilët kishin qenë brenda pronave të tyre në ato momente, ishin </w:t>
      </w:r>
      <w:r w:rsidR="00586EBD">
        <w:rPr>
          <w:rFonts w:ascii="Garamond" w:hAnsi="Garamond"/>
          <w:szCs w:val="24"/>
          <w:lang w:val="sq-AL"/>
        </w:rPr>
        <w:t xml:space="preserve">nxjerrë me forcë </w:t>
      </w:r>
      <w:r w:rsidR="00395112" w:rsidRPr="00E91B0C">
        <w:rPr>
          <w:rFonts w:ascii="Garamond" w:hAnsi="Garamond"/>
          <w:szCs w:val="24"/>
          <w:lang w:val="sq-AL"/>
        </w:rPr>
        <w:t>dhe</w:t>
      </w:r>
      <w:r w:rsidR="00586EBD">
        <w:rPr>
          <w:rFonts w:ascii="Garamond" w:hAnsi="Garamond"/>
          <w:szCs w:val="24"/>
          <w:lang w:val="sq-AL"/>
        </w:rPr>
        <w:t>,</w:t>
      </w:r>
      <w:r w:rsidR="00395112" w:rsidRPr="00E91B0C">
        <w:rPr>
          <w:rFonts w:ascii="Garamond" w:hAnsi="Garamond"/>
          <w:szCs w:val="24"/>
          <w:lang w:val="sq-AL"/>
        </w:rPr>
        <w:t xml:space="preserve"> që prej atij momenti dhe në vijim, të gjithëve iu ishte ndaluar të hynin në shtëpitë e tyre, madje edhe për të marrë sendet e tyre personale dhe objektet me vlerë më të rëndësishme, përpara se të shembej godina. Gjithashtu, ata parashtruan </w:t>
      </w:r>
      <w:r w:rsidR="00802AC0">
        <w:rPr>
          <w:rFonts w:ascii="Garamond" w:hAnsi="Garamond"/>
          <w:szCs w:val="24"/>
          <w:lang w:val="sq-AL"/>
        </w:rPr>
        <w:t>s</w:t>
      </w:r>
      <w:r w:rsidR="00395112" w:rsidRPr="00E91B0C">
        <w:rPr>
          <w:rFonts w:ascii="Garamond" w:hAnsi="Garamond"/>
          <w:szCs w:val="24"/>
          <w:lang w:val="sq-AL"/>
        </w:rPr>
        <w:t>e me nxjerrjen e vendimit të përkohshëm, më në fund iu ishte lejuar të ktheheshin në shtëpitë e tyre, në rast se tregonin një certifikatë pronësie dhe një kartë të vlefshme identiteti (ID).</w:t>
      </w:r>
      <w:r w:rsidR="00E91B0C">
        <w:rPr>
          <w:rFonts w:ascii="Garamond" w:hAnsi="Garamond"/>
          <w:szCs w:val="24"/>
          <w:lang w:val="sq-AL"/>
        </w:rPr>
        <w:t xml:space="preserve">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109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Kërkuesit, më tej, parashtruan se konfiskimi i godinës dhe pamundësia në të ardhmen që ata të hynin në pronat e tyre nuk bazohej në një vendim gjykate. Për më tepër, konfiskimi i godinës kishte vijuar, pavarësisht urdhrit të përkohshëm. Paligjshmëria e sjelljes së autoriteteve administrative tashmë ishte pranuar nga gjykatat </w:t>
      </w:r>
      <w:r w:rsidR="003C06FD">
        <w:rPr>
          <w:rFonts w:ascii="Garamond" w:hAnsi="Garamond"/>
          <w:szCs w:val="24"/>
          <w:lang w:val="sq-AL"/>
        </w:rPr>
        <w:t>vendës</w:t>
      </w:r>
      <w:r w:rsidR="00395112" w:rsidRPr="00E91B0C">
        <w:rPr>
          <w:rFonts w:ascii="Garamond" w:hAnsi="Garamond"/>
          <w:szCs w:val="24"/>
          <w:lang w:val="sq-AL"/>
        </w:rPr>
        <w:t xml:space="preserve">e. Për këtë arsye, konfiskimi i shtëpive dhe </w:t>
      </w:r>
      <w:r w:rsidR="00802AC0">
        <w:rPr>
          <w:rFonts w:ascii="Garamond" w:hAnsi="Garamond"/>
          <w:szCs w:val="24"/>
          <w:lang w:val="sq-AL"/>
        </w:rPr>
        <w:t xml:space="preserve">i </w:t>
      </w:r>
      <w:r w:rsidR="00395112" w:rsidRPr="00E91B0C">
        <w:rPr>
          <w:rFonts w:ascii="Garamond" w:hAnsi="Garamond"/>
          <w:szCs w:val="24"/>
          <w:lang w:val="sq-AL"/>
        </w:rPr>
        <w:t xml:space="preserve">pasurive të kërkuesve nuk kishte qenë i ligjshëm, nuk kishte ndjekur një qëllim legjitim dhe nuk kishte qenë proporcional më ndonjë qëllim të ndjekur.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110. Qeveria pranoi se kishte pasur një ndërhyrje me të drejtat e kërkuesve, bazuar në </w:t>
      </w:r>
      <w:r w:rsidR="001073BE" w:rsidRPr="00E91B0C">
        <w:rPr>
          <w:rFonts w:ascii="Garamond" w:hAnsi="Garamond"/>
          <w:szCs w:val="24"/>
          <w:lang w:val="sq-AL"/>
        </w:rPr>
        <w:t>n</w:t>
      </w:r>
      <w:r w:rsidRPr="00E91B0C">
        <w:rPr>
          <w:rFonts w:ascii="Garamond" w:hAnsi="Garamond"/>
          <w:szCs w:val="24"/>
          <w:lang w:val="sq-AL"/>
        </w:rPr>
        <w:t xml:space="preserve">enin 8 të Konventës, por ajo ndërhyrje ishte e bazuar në ligj dhe kishte ndjekur gjithashtu një qëllim legjitim, më konkretisht përmirësimin dhe rindërtimin e bregdetit të qytetit. Për sa i përket proporcionalitetit, </w:t>
      </w:r>
      <w:r w:rsidR="0018461E" w:rsidRPr="00E91B0C">
        <w:rPr>
          <w:rFonts w:ascii="Garamond" w:hAnsi="Garamond"/>
          <w:szCs w:val="24"/>
          <w:lang w:val="sq-AL"/>
        </w:rPr>
        <w:t>q</w:t>
      </w:r>
      <w:r w:rsidRPr="00E91B0C">
        <w:rPr>
          <w:rFonts w:ascii="Garamond" w:hAnsi="Garamond"/>
          <w:szCs w:val="24"/>
          <w:lang w:val="sq-AL"/>
        </w:rPr>
        <w:t xml:space="preserve">everia parashtroi se ishte ruajtur një balancë midis të drejtave të kërkuesve dhe interesit publik. Kërkuesve iu ishte dhënë kompensim i drejtë. Rrethanat në çështjen konkrete ishin të ndryshme nga ato në çështjet </w:t>
      </w:r>
      <w:r w:rsidRPr="00E91B0C">
        <w:rPr>
          <w:rFonts w:ascii="Garamond" w:hAnsi="Garamond"/>
          <w:i/>
          <w:szCs w:val="24"/>
          <w:lang w:val="sq-AL"/>
        </w:rPr>
        <w:t>Demades kundër Turqisë</w:t>
      </w:r>
      <w:r w:rsidR="00886FBD">
        <w:rPr>
          <w:rFonts w:ascii="Garamond" w:hAnsi="Garamond"/>
          <w:i/>
          <w:szCs w:val="24"/>
          <w:lang w:val="sq-AL"/>
        </w:rPr>
        <w:t xml:space="preserve"> </w:t>
      </w:r>
      <w:r w:rsidRPr="00E91B0C">
        <w:rPr>
          <w:rFonts w:ascii="Garamond" w:hAnsi="Garamond"/>
          <w:szCs w:val="24"/>
          <w:lang w:val="sq-AL"/>
        </w:rPr>
        <w:t>(nr. 16219/90, 31 korrik 2003) dhe</w:t>
      </w:r>
      <w:r w:rsidRPr="00E91B0C">
        <w:rPr>
          <w:rFonts w:ascii="Garamond" w:hAnsi="Garamond"/>
          <w:i/>
          <w:szCs w:val="24"/>
          <w:lang w:val="sq-AL"/>
        </w:rPr>
        <w:t xml:space="preserve"> Loizidou kundër Turqisë</w:t>
      </w:r>
      <w:r w:rsidRPr="00E91B0C">
        <w:rPr>
          <w:rFonts w:ascii="Garamond" w:hAnsi="Garamond"/>
          <w:szCs w:val="24"/>
          <w:lang w:val="sq-AL"/>
        </w:rPr>
        <w:t xml:space="preserve"> (themeli) (18 dhjetor 1996, </w:t>
      </w:r>
      <w:r w:rsidRPr="00E91B0C">
        <w:rPr>
          <w:rFonts w:ascii="Garamond" w:hAnsi="Garamond"/>
          <w:i/>
          <w:szCs w:val="24"/>
          <w:lang w:val="sq-AL"/>
        </w:rPr>
        <w:t>Raportet</w:t>
      </w:r>
      <w:r w:rsidR="00CF528A">
        <w:rPr>
          <w:rFonts w:ascii="Garamond" w:hAnsi="Garamond"/>
          <w:i/>
          <w:szCs w:val="24"/>
          <w:lang w:val="sq-AL"/>
        </w:rPr>
        <w:t xml:space="preserve"> </w:t>
      </w:r>
      <w:r w:rsidRPr="00886FBD">
        <w:rPr>
          <w:rFonts w:ascii="Garamond" w:hAnsi="Garamond"/>
          <w:i/>
          <w:szCs w:val="24"/>
          <w:lang w:val="sq-AL"/>
        </w:rPr>
        <w:t>1996</w:t>
      </w:r>
      <w:r w:rsidRPr="00886FBD">
        <w:rPr>
          <w:rFonts w:ascii="Garamond" w:hAnsi="Garamond"/>
          <w:i/>
          <w:szCs w:val="24"/>
          <w:lang w:val="sq-AL"/>
        </w:rPr>
        <w:noBreakHyphen/>
        <w:t>VI</w:t>
      </w:r>
      <w:r w:rsidRPr="00E91B0C">
        <w:rPr>
          <w:rFonts w:ascii="Garamond" w:hAnsi="Garamond"/>
          <w:szCs w:val="24"/>
          <w:lang w:val="sq-AL"/>
        </w:rPr>
        <w:t>).</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111</w:t>
      </w:r>
      <w:r w:rsidR="00395112" w:rsidRPr="00E91B0C">
        <w:rPr>
          <w:rFonts w:ascii="Garamond" w:hAnsi="Garamond"/>
          <w:szCs w:val="24"/>
          <w:lang w:val="sq-AL"/>
        </w:rPr>
        <w:t xml:space="preserve">. Më tej, </w:t>
      </w:r>
      <w:r w:rsidR="0018461E" w:rsidRPr="00E91B0C">
        <w:rPr>
          <w:rFonts w:ascii="Garamond" w:hAnsi="Garamond"/>
          <w:szCs w:val="24"/>
          <w:lang w:val="sq-AL"/>
        </w:rPr>
        <w:t>q</w:t>
      </w:r>
      <w:r w:rsidR="00395112" w:rsidRPr="00E91B0C">
        <w:rPr>
          <w:rFonts w:ascii="Garamond" w:hAnsi="Garamond"/>
          <w:szCs w:val="24"/>
          <w:lang w:val="sq-AL"/>
        </w:rPr>
        <w:t>everia parashtroi se apartamentet e kërkuesve kishin qenë kryesisht shtëpi vere dhe se nuk iu duhej të mbanin një barrë të madhe. Qeveria vërejti se pas urdhrit të përkohshëm të datës 7 nëntor 2013, vet</w:t>
      </w:r>
      <w:r w:rsidR="00886FBD">
        <w:rPr>
          <w:rFonts w:ascii="Garamond" w:hAnsi="Garamond"/>
          <w:szCs w:val="24"/>
          <w:lang w:val="sq-AL"/>
        </w:rPr>
        <w:t>ë</w:t>
      </w:r>
      <w:r w:rsidR="00395112" w:rsidRPr="00E91B0C">
        <w:rPr>
          <w:rFonts w:ascii="Garamond" w:hAnsi="Garamond"/>
          <w:szCs w:val="24"/>
          <w:lang w:val="sq-AL"/>
        </w:rPr>
        <w:t xml:space="preserve"> kërkuesit kishin pranuar se ishin lejuar të hynin në apartamentet e tyre. Qeveria parashtroi se përdorimi i shiritit të policisë për skenat e krimit kishte qenë një procedurë standarde për INUK</w:t>
      </w:r>
      <w:r w:rsidR="00DC4E24">
        <w:rPr>
          <w:rFonts w:ascii="Garamond" w:hAnsi="Garamond"/>
          <w:szCs w:val="24"/>
          <w:lang w:val="sq-AL"/>
        </w:rPr>
        <w:t>-un</w:t>
      </w:r>
      <w:r w:rsidR="00395112" w:rsidRPr="00E91B0C">
        <w:rPr>
          <w:rFonts w:ascii="Garamond" w:hAnsi="Garamond"/>
          <w:szCs w:val="24"/>
          <w:lang w:val="sq-AL"/>
        </w:rPr>
        <w:t xml:space="preserve"> (shih paragrafin 177 më poshtë). Në parashtrimet e saj verbal</w:t>
      </w:r>
      <w:r w:rsidR="00886FBD">
        <w:rPr>
          <w:rFonts w:ascii="Garamond" w:hAnsi="Garamond"/>
          <w:szCs w:val="24"/>
          <w:lang w:val="sq-AL"/>
        </w:rPr>
        <w:t>e</w:t>
      </w:r>
      <w:r w:rsidR="00395112" w:rsidRPr="00E91B0C">
        <w:rPr>
          <w:rFonts w:ascii="Garamond" w:hAnsi="Garamond"/>
          <w:szCs w:val="24"/>
          <w:lang w:val="sq-AL"/>
        </w:rPr>
        <w:t xml:space="preserve">, </w:t>
      </w:r>
      <w:r w:rsidR="0018461E" w:rsidRPr="00E91B0C">
        <w:rPr>
          <w:rFonts w:ascii="Garamond" w:hAnsi="Garamond"/>
          <w:szCs w:val="24"/>
          <w:lang w:val="sq-AL"/>
        </w:rPr>
        <w:t>q</w:t>
      </w:r>
      <w:r w:rsidR="00395112" w:rsidRPr="00E91B0C">
        <w:rPr>
          <w:rFonts w:ascii="Garamond" w:hAnsi="Garamond"/>
          <w:szCs w:val="24"/>
          <w:lang w:val="sq-AL"/>
        </w:rPr>
        <w:t xml:space="preserve">everia parashtroi se çështja ishte e lidhur ngushtë me shqyrtimin e çështjes mbështetur në </w:t>
      </w:r>
      <w:r w:rsidR="0018461E" w:rsidRPr="00E91B0C">
        <w:rPr>
          <w:rFonts w:ascii="Garamond" w:hAnsi="Garamond"/>
          <w:szCs w:val="24"/>
          <w:lang w:val="sq-AL"/>
        </w:rPr>
        <w:t xml:space="preserve">nenin 1 të protokollit </w:t>
      </w:r>
      <w:r w:rsidR="00896E0E" w:rsidRPr="00E91B0C">
        <w:rPr>
          <w:rFonts w:ascii="Garamond" w:hAnsi="Garamond"/>
          <w:szCs w:val="24"/>
          <w:lang w:val="sq-AL"/>
        </w:rPr>
        <w:t>n</w:t>
      </w:r>
      <w:r w:rsidR="00395112" w:rsidRPr="00E91B0C">
        <w:rPr>
          <w:rFonts w:ascii="Garamond" w:hAnsi="Garamond"/>
          <w:szCs w:val="24"/>
          <w:lang w:val="sq-AL"/>
        </w:rPr>
        <w:t>r. 1</w:t>
      </w:r>
      <w:r w:rsidR="00886FBD">
        <w:rPr>
          <w:rFonts w:ascii="Garamond" w:hAnsi="Garamond"/>
          <w:szCs w:val="24"/>
          <w:lang w:val="sq-AL"/>
        </w:rPr>
        <w:t>,</w:t>
      </w:r>
      <w:r w:rsidR="00395112" w:rsidRPr="00E91B0C">
        <w:rPr>
          <w:rFonts w:ascii="Garamond" w:hAnsi="Garamond"/>
          <w:szCs w:val="24"/>
          <w:lang w:val="sq-AL"/>
        </w:rPr>
        <w:t xml:space="preserve"> në lidhje me procedurën e shpronësimit.</w:t>
      </w:r>
      <w:r w:rsidR="00E91B0C">
        <w:rPr>
          <w:rFonts w:ascii="Garamond" w:hAnsi="Garamond"/>
          <w:szCs w:val="24"/>
          <w:lang w:val="sq-AL"/>
        </w:rPr>
        <w:t xml:space="preserve"> </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Vlerësimi i Gjykatës</w:t>
      </w:r>
    </w:p>
    <w:p w:rsidR="00395112" w:rsidRPr="0078056F" w:rsidRDefault="00886FBD" w:rsidP="00395112">
      <w:pPr>
        <w:pStyle w:val="ECHRHeading6"/>
        <w:keepNext w:val="0"/>
        <w:keepLines w:val="0"/>
        <w:widowControl w:val="0"/>
        <w:spacing w:before="0" w:after="0"/>
        <w:ind w:left="0" w:firstLine="284"/>
        <w:rPr>
          <w:rFonts w:ascii="Garamond" w:hAnsi="Garamond"/>
          <w:i/>
          <w:sz w:val="24"/>
          <w:szCs w:val="24"/>
          <w:lang w:val="sq-AL"/>
        </w:rPr>
      </w:pPr>
      <w:r w:rsidRPr="0078056F">
        <w:rPr>
          <w:rFonts w:ascii="Garamond" w:hAnsi="Garamond"/>
          <w:i/>
          <w:sz w:val="24"/>
          <w:szCs w:val="24"/>
          <w:lang w:val="sq-AL"/>
        </w:rPr>
        <w:t>a</w:t>
      </w:r>
      <w:r w:rsidR="00395112" w:rsidRPr="0078056F">
        <w:rPr>
          <w:rFonts w:ascii="Garamond" w:hAnsi="Garamond"/>
          <w:i/>
          <w:sz w:val="24"/>
          <w:szCs w:val="24"/>
          <w:lang w:val="sq-AL"/>
        </w:rPr>
        <w:t>)</w:t>
      </w:r>
      <w:r w:rsidR="00E91B0C" w:rsidRPr="0078056F">
        <w:rPr>
          <w:rFonts w:ascii="Garamond" w:hAnsi="Garamond"/>
          <w:i/>
          <w:sz w:val="24"/>
          <w:szCs w:val="24"/>
          <w:lang w:val="sq-AL"/>
        </w:rPr>
        <w:t xml:space="preserve"> </w:t>
      </w:r>
      <w:r w:rsidR="00395112" w:rsidRPr="0078056F">
        <w:rPr>
          <w:rFonts w:ascii="Garamond" w:hAnsi="Garamond"/>
          <w:i/>
          <w:sz w:val="24"/>
          <w:szCs w:val="24"/>
          <w:lang w:val="sq-AL"/>
        </w:rPr>
        <w:t>Nëse Rezidenca Jon ishte “</w:t>
      </w:r>
      <w:r w:rsidRPr="0078056F">
        <w:rPr>
          <w:rFonts w:ascii="Garamond" w:hAnsi="Garamond"/>
          <w:i/>
          <w:sz w:val="24"/>
          <w:szCs w:val="24"/>
          <w:lang w:val="sq-AL"/>
        </w:rPr>
        <w:t>banesa</w:t>
      </w:r>
      <w:r w:rsidR="00395112" w:rsidRPr="0078056F">
        <w:rPr>
          <w:rFonts w:ascii="Garamond" w:hAnsi="Garamond"/>
          <w:i/>
          <w:sz w:val="24"/>
          <w:szCs w:val="24"/>
          <w:lang w:val="sq-AL"/>
        </w:rPr>
        <w:t xml:space="preserve">” e kërkuesve, sipas kuptimit të </w:t>
      </w:r>
      <w:r w:rsidR="001073BE" w:rsidRPr="0078056F">
        <w:rPr>
          <w:rFonts w:ascii="Garamond" w:hAnsi="Garamond"/>
          <w:i/>
          <w:sz w:val="24"/>
          <w:szCs w:val="24"/>
          <w:lang w:val="sq-AL"/>
        </w:rPr>
        <w:t>n</w:t>
      </w:r>
      <w:r w:rsidR="00395112" w:rsidRPr="0078056F">
        <w:rPr>
          <w:rFonts w:ascii="Garamond" w:hAnsi="Garamond"/>
          <w:i/>
          <w:sz w:val="24"/>
          <w:szCs w:val="24"/>
          <w:lang w:val="sq-AL"/>
        </w:rPr>
        <w:t xml:space="preserve">enit 8 të Konventës.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112</w:t>
      </w:r>
      <w:r w:rsidR="00395112" w:rsidRPr="00E91B0C">
        <w:rPr>
          <w:rFonts w:ascii="Garamond" w:hAnsi="Garamond"/>
          <w:szCs w:val="24"/>
          <w:lang w:val="sq-AL"/>
        </w:rPr>
        <w:t>. Gjykata vëren në fillim se kërkuesit nr. 3</w:t>
      </w:r>
      <w:r w:rsidR="005B203A">
        <w:rPr>
          <w:rFonts w:ascii="Garamond" w:hAnsi="Garamond"/>
          <w:szCs w:val="24"/>
          <w:lang w:val="sq-AL"/>
        </w:rPr>
        <w:t>–</w:t>
      </w:r>
      <w:r w:rsidR="00395112" w:rsidRPr="00E91B0C">
        <w:rPr>
          <w:rFonts w:ascii="Garamond" w:hAnsi="Garamond"/>
          <w:szCs w:val="24"/>
          <w:lang w:val="sq-AL"/>
        </w:rPr>
        <w:t>19, sipas renditjes në shtojcë, u bënë pronarë të apartamenteve në bazë të marrëveshjeve të blerjeve (shih paragrafin 8 më sipër). Ajo konstaton se ata kishin dorëzuar mjaftueshëm të dhëna në dokumente të cilat tregonin se me përfundimin e punimeve të ndërtimit, apartamentet e tyre u mobiluan dhe përdoreshin si shtëpi pushimesh (shih paragrafin 9 më sipër). Gjithashtu, ajo vëren se kërkuesit tashmë kishin filluar të përdornin rregullisht apartamentet e tyre dhe të jetonin në to. Më tej, Gjykata vëren se apartamentet e kërkuesve trajtoheshin prej tyre si shtëpi. Për të gjitha parashtrimet e mësipërme, Gjykata, duke marr</w:t>
      </w:r>
      <w:r w:rsidR="00E14238">
        <w:rPr>
          <w:rFonts w:ascii="Garamond" w:hAnsi="Garamond"/>
          <w:szCs w:val="24"/>
          <w:lang w:val="sq-AL"/>
        </w:rPr>
        <w:t>ë</w:t>
      </w:r>
      <w:r w:rsidR="00395112" w:rsidRPr="00E91B0C">
        <w:rPr>
          <w:rFonts w:ascii="Garamond" w:hAnsi="Garamond"/>
          <w:szCs w:val="24"/>
          <w:lang w:val="sq-AL"/>
        </w:rPr>
        <w:t xml:space="preserve"> në konsideratë edhe dokumentet në dosjen e çështjes, arrin në përfundimin se edhe pse disa nga apartamentet e kërkuesve përdoreshin si shtëpi pushimi, ato kualifikoheshin si “shtëpi”, sipas </w:t>
      </w:r>
      <w:r w:rsidR="001073BE" w:rsidRPr="00E91B0C">
        <w:rPr>
          <w:rFonts w:ascii="Garamond" w:hAnsi="Garamond"/>
          <w:szCs w:val="24"/>
          <w:lang w:val="sq-AL"/>
        </w:rPr>
        <w:t>n</w:t>
      </w:r>
      <w:r w:rsidR="00395112" w:rsidRPr="00E91B0C">
        <w:rPr>
          <w:rFonts w:ascii="Garamond" w:hAnsi="Garamond"/>
          <w:szCs w:val="24"/>
          <w:lang w:val="sq-AL"/>
        </w:rPr>
        <w:t xml:space="preserve">enit 8 të Konventës, sepse kërkuesit duhej të kishin krijuar edhe lidhje emocionale me shtëpitë e tyre të dyta (shih </w:t>
      </w:r>
      <w:r w:rsidR="00395112" w:rsidRPr="00E91B0C">
        <w:rPr>
          <w:rFonts w:ascii="Garamond" w:hAnsi="Garamond"/>
          <w:i/>
          <w:szCs w:val="24"/>
          <w:lang w:val="sq-AL"/>
        </w:rPr>
        <w:t>demades</w:t>
      </w:r>
      <w:r w:rsidR="00395112" w:rsidRPr="00E91B0C">
        <w:rPr>
          <w:rFonts w:ascii="Garamond" w:hAnsi="Garamond"/>
          <w:szCs w:val="24"/>
          <w:lang w:val="sq-AL"/>
        </w:rPr>
        <w:t>, cituar më sipër,</w:t>
      </w:r>
      <w:r w:rsidR="00CF528A">
        <w:rPr>
          <w:rFonts w:ascii="Garamond" w:hAnsi="Garamond"/>
          <w:szCs w:val="24"/>
          <w:lang w:val="sq-AL"/>
        </w:rPr>
        <w:t xml:space="preserve"> </w:t>
      </w:r>
      <w:r w:rsidR="008B2E1D">
        <w:rPr>
          <w:rFonts w:ascii="Garamond" w:hAnsi="Garamond"/>
          <w:szCs w:val="24"/>
          <w:lang w:val="sq-AL"/>
        </w:rPr>
        <w:t>§</w:t>
      </w:r>
      <w:r w:rsidR="00395112" w:rsidRPr="00E91B0C">
        <w:rPr>
          <w:rFonts w:ascii="Garamond" w:hAnsi="Garamond"/>
          <w:szCs w:val="24"/>
          <w:lang w:val="sq-AL"/>
        </w:rPr>
        <w:t xml:space="preserve">34). </w:t>
      </w:r>
    </w:p>
    <w:p w:rsidR="00395112" w:rsidRPr="0078056F" w:rsidRDefault="00585CC6" w:rsidP="00395112">
      <w:pPr>
        <w:pStyle w:val="ECHRHeading6"/>
        <w:keepNext w:val="0"/>
        <w:keepLines w:val="0"/>
        <w:widowControl w:val="0"/>
        <w:spacing w:before="0" w:after="0"/>
        <w:ind w:left="0" w:firstLine="284"/>
        <w:rPr>
          <w:rFonts w:ascii="Garamond" w:hAnsi="Garamond"/>
          <w:i/>
          <w:sz w:val="24"/>
          <w:szCs w:val="24"/>
          <w:lang w:val="sq-AL"/>
        </w:rPr>
      </w:pPr>
      <w:r w:rsidRPr="0078056F">
        <w:rPr>
          <w:rFonts w:ascii="Garamond" w:hAnsi="Garamond"/>
          <w:i/>
          <w:sz w:val="24"/>
          <w:szCs w:val="24"/>
          <w:lang w:val="sq-AL"/>
        </w:rPr>
        <w:t>b</w:t>
      </w:r>
      <w:r w:rsidR="00395112" w:rsidRPr="0078056F">
        <w:rPr>
          <w:rFonts w:ascii="Garamond" w:hAnsi="Garamond"/>
          <w:i/>
          <w:sz w:val="24"/>
          <w:szCs w:val="24"/>
          <w:lang w:val="sq-AL"/>
        </w:rPr>
        <w:t>)</w:t>
      </w:r>
      <w:r w:rsidR="00E91B0C" w:rsidRPr="0078056F">
        <w:rPr>
          <w:rFonts w:ascii="Garamond" w:hAnsi="Garamond"/>
          <w:i/>
          <w:sz w:val="24"/>
          <w:szCs w:val="24"/>
          <w:lang w:val="sq-AL"/>
        </w:rPr>
        <w:t xml:space="preserve"> </w:t>
      </w:r>
      <w:r w:rsidR="00395112" w:rsidRPr="0078056F">
        <w:rPr>
          <w:rFonts w:ascii="Garamond" w:hAnsi="Garamond"/>
          <w:i/>
          <w:sz w:val="24"/>
          <w:szCs w:val="24"/>
          <w:lang w:val="sq-AL"/>
        </w:rPr>
        <w:t xml:space="preserve">Nëse kishte një ndërhyrje nga një autoritet publik në të drejtën e kërkuesve për respektimin e shtëpive të tyre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113</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Pasi ishte vendosur se apartamentet konkrete ishin shtëpitë e kërkuesve sipas nenit 8 të Konventës, Gjykata duhet të vendos</w:t>
      </w:r>
      <w:r w:rsidR="00585CC6">
        <w:rPr>
          <w:rFonts w:ascii="Garamond" w:hAnsi="Garamond"/>
          <w:szCs w:val="24"/>
          <w:lang w:val="sq-AL"/>
        </w:rPr>
        <w:t>te</w:t>
      </w:r>
      <w:r w:rsidR="00395112" w:rsidRPr="00E91B0C">
        <w:rPr>
          <w:rFonts w:ascii="Garamond" w:hAnsi="Garamond"/>
          <w:szCs w:val="24"/>
          <w:lang w:val="sq-AL"/>
        </w:rPr>
        <w:t xml:space="preserve"> nëse kishte pasur një ndërhyrje në të drejtën e tyre për respektimin e shtëpive të tyre nga një autoritet publik.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114</w:t>
      </w:r>
      <w:r w:rsidR="00395112" w:rsidRPr="00E91B0C">
        <w:rPr>
          <w:rFonts w:ascii="Garamond" w:hAnsi="Garamond"/>
          <w:szCs w:val="24"/>
          <w:lang w:val="sq-AL"/>
        </w:rPr>
        <w:t>. Gjykata vëren se gjykatat e brendshme kishin vendosur se kërkuesit nuk kishin mundur të kishin akses në shtëpitë e tyre (shih paragrafët 19, 26</w:t>
      </w:r>
      <w:r w:rsidR="005B203A">
        <w:rPr>
          <w:rFonts w:ascii="Garamond" w:hAnsi="Garamond"/>
          <w:szCs w:val="24"/>
          <w:lang w:val="sq-AL"/>
        </w:rPr>
        <w:t>–</w:t>
      </w:r>
      <w:r w:rsidR="00395112" w:rsidRPr="00E91B0C">
        <w:rPr>
          <w:rFonts w:ascii="Garamond" w:hAnsi="Garamond"/>
          <w:szCs w:val="24"/>
          <w:lang w:val="sq-AL"/>
        </w:rPr>
        <w:t>27, 37 më sipër</w:t>
      </w:r>
      <w:r w:rsidR="002C11DE">
        <w:rPr>
          <w:rFonts w:ascii="Garamond" w:hAnsi="Garamond"/>
          <w:szCs w:val="24"/>
          <w:lang w:val="sq-AL"/>
        </w:rPr>
        <w:t>)</w:t>
      </w:r>
      <w:r w:rsidR="00395112" w:rsidRPr="00E91B0C">
        <w:rPr>
          <w:rFonts w:ascii="Garamond" w:hAnsi="Garamond"/>
          <w:szCs w:val="24"/>
          <w:lang w:val="sq-AL"/>
        </w:rPr>
        <w:t xml:space="preserve">. Më tej, Gjykata vëren se kërkuesit, gjithsesi, e kishin bërë të qartë në parashtrimet e tyre me shkrim se iu ishte lejuar të </w:t>
      </w:r>
      <w:r w:rsidR="00395112" w:rsidRPr="00E91B0C">
        <w:rPr>
          <w:rFonts w:ascii="Garamond" w:hAnsi="Garamond"/>
          <w:szCs w:val="24"/>
          <w:lang w:val="sq-AL"/>
        </w:rPr>
        <w:lastRenderedPageBreak/>
        <w:t>ktheheshin n</w:t>
      </w:r>
      <w:r w:rsidR="002C11DE" w:rsidRPr="00E91B0C">
        <w:rPr>
          <w:rFonts w:ascii="Garamond" w:hAnsi="Garamond"/>
          <w:szCs w:val="24"/>
          <w:lang w:val="sq-AL"/>
        </w:rPr>
        <w:t>ë</w:t>
      </w:r>
      <w:r w:rsidR="00395112" w:rsidRPr="00E91B0C">
        <w:rPr>
          <w:rFonts w:ascii="Garamond" w:hAnsi="Garamond"/>
          <w:szCs w:val="24"/>
          <w:lang w:val="sq-AL"/>
        </w:rPr>
        <w:t xml:space="preserve"> shtëpitë e tyre në Rezidencën Jon. Megjithatë, aksesi ishte i mundur vetëm nëse banorët paraqisnin një certifikatë pronësie dhe një kartë identiteti të vlefshme tek autoritetet. Gjithashtu, Gjykata vëren se njëri prej banorëve deklaroi gjatë procedimeve përpara Prokurorit të Rrethit, se i ishte lejuar të hynte në apartamentin e tij vetëm një ditë pasi i kishte treguar autoriteteve certifikatën e tij të pronësisë (shih paragrafin 46 më sipër). Fakti se Prokurori i Rrethit, pas ankesës penale të kërkuesit të parë vendosi të mos fillonte procedime penale</w:t>
      </w:r>
      <w:r w:rsidR="002C11DE">
        <w:rPr>
          <w:rFonts w:ascii="Garamond" w:hAnsi="Garamond"/>
          <w:szCs w:val="24"/>
          <w:lang w:val="sq-AL"/>
        </w:rPr>
        <w:t>,</w:t>
      </w:r>
      <w:r w:rsidR="00395112" w:rsidRPr="00E91B0C">
        <w:rPr>
          <w:rFonts w:ascii="Garamond" w:hAnsi="Garamond"/>
          <w:szCs w:val="24"/>
          <w:lang w:val="sq-AL"/>
        </w:rPr>
        <w:t xml:space="preserve"> me arsyen se më 3 nëntor 2013, autoritetet kishin vepruar në përputhje me ligjin, nuk i ndryshon vendimet e gjykatave </w:t>
      </w:r>
      <w:r w:rsidR="003C06FD">
        <w:rPr>
          <w:rFonts w:ascii="Garamond" w:hAnsi="Garamond"/>
          <w:szCs w:val="24"/>
          <w:lang w:val="sq-AL"/>
        </w:rPr>
        <w:t>vendës</w:t>
      </w:r>
      <w:r w:rsidR="00395112" w:rsidRPr="00E91B0C">
        <w:rPr>
          <w:rFonts w:ascii="Garamond" w:hAnsi="Garamond"/>
          <w:szCs w:val="24"/>
          <w:lang w:val="sq-AL"/>
        </w:rPr>
        <w:t>e, të cilat pohonin se veprimet e datës 3 nëntor 2013 kishin qenë arbitrare (shih paragrafët 19, 26</w:t>
      </w:r>
      <w:r w:rsidR="005B203A">
        <w:rPr>
          <w:rFonts w:ascii="Garamond" w:hAnsi="Garamond"/>
          <w:szCs w:val="24"/>
          <w:lang w:val="sq-AL"/>
        </w:rPr>
        <w:t>–</w:t>
      </w:r>
      <w:r w:rsidR="00395112" w:rsidRPr="00E91B0C">
        <w:rPr>
          <w:rFonts w:ascii="Garamond" w:hAnsi="Garamond"/>
          <w:szCs w:val="24"/>
          <w:lang w:val="sq-AL"/>
        </w:rPr>
        <w:t>27 dhe 37 më sipër).</w:t>
      </w:r>
      <w:r w:rsidR="00E91B0C">
        <w:rPr>
          <w:rFonts w:ascii="Garamond" w:hAnsi="Garamond"/>
          <w:szCs w:val="24"/>
          <w:lang w:val="sq-AL"/>
        </w:rPr>
        <w:t xml:space="preserve">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115</w:t>
      </w:r>
      <w:r w:rsidR="00395112" w:rsidRPr="00E91B0C">
        <w:rPr>
          <w:rFonts w:ascii="Garamond" w:hAnsi="Garamond"/>
          <w:szCs w:val="24"/>
          <w:lang w:val="sq-AL"/>
        </w:rPr>
        <w:t xml:space="preserve">. Bazuar në parashtrimet më sipër, Gjykata arrin në përfundimin se kërkuesit nuk kishin mundësi të fitonin akses për të hyrë në shtëpitë e tyre dhe për t’i përdorur ato, por edhe ai akses ishte i mundur vetëm nëse autoriteteve iu paraqitej një certifikatë pronësie dhe kartë identiteti e vlefshme. Për më tepër, Gjykata vëren se fakti se disa kërkues kishin akses të kufizuar në shtëpitë e tyre nën kushte të caktuara nuk e ndryshon faktin se aksesi i plotë dhe i lirë i dhënë në urdhrin e përkohshëm, nuk lejohej. Kështu, Gjykata konstaton se ndërhyrja e policisë, e cila çoi në rrethimin e ndërtesës dhe në ndalimin e kërkuesve të kishin akses në shtëpitë e tyre dhe t’i përdornin ato, përbënte një ndërhyrje nga një autoritet publik ndaj </w:t>
      </w:r>
      <w:r w:rsidR="008A7DCB">
        <w:rPr>
          <w:rFonts w:ascii="Garamond" w:hAnsi="Garamond"/>
          <w:szCs w:val="24"/>
          <w:lang w:val="sq-AL"/>
        </w:rPr>
        <w:t>s</w:t>
      </w:r>
      <w:r w:rsidR="00395112" w:rsidRPr="00E91B0C">
        <w:rPr>
          <w:rFonts w:ascii="Garamond" w:hAnsi="Garamond"/>
          <w:szCs w:val="24"/>
          <w:lang w:val="sq-AL"/>
        </w:rPr>
        <w:t>ë drejtës së tyre për respektimin e shtëpive të tyre.</w:t>
      </w:r>
      <w:r w:rsidR="00E91B0C">
        <w:rPr>
          <w:rFonts w:ascii="Garamond" w:hAnsi="Garamond"/>
          <w:szCs w:val="24"/>
          <w:lang w:val="sq-AL"/>
        </w:rPr>
        <w:t xml:space="preserve"> </w:t>
      </w:r>
    </w:p>
    <w:p w:rsidR="00395112" w:rsidRPr="0078056F" w:rsidRDefault="00B70EBE" w:rsidP="00395112">
      <w:pPr>
        <w:pStyle w:val="ECHRHeading6"/>
        <w:keepNext w:val="0"/>
        <w:keepLines w:val="0"/>
        <w:widowControl w:val="0"/>
        <w:spacing w:before="0" w:after="0"/>
        <w:ind w:left="0" w:firstLine="284"/>
        <w:rPr>
          <w:rFonts w:ascii="Garamond" w:hAnsi="Garamond"/>
          <w:i/>
          <w:sz w:val="24"/>
          <w:szCs w:val="24"/>
          <w:lang w:val="sq-AL"/>
        </w:rPr>
      </w:pPr>
      <w:r w:rsidRPr="0078056F">
        <w:rPr>
          <w:rFonts w:ascii="Garamond" w:hAnsi="Garamond"/>
          <w:i/>
          <w:sz w:val="24"/>
          <w:szCs w:val="24"/>
          <w:lang w:val="sq-AL"/>
        </w:rPr>
        <w:t>c</w:t>
      </w:r>
      <w:r w:rsidR="00395112" w:rsidRPr="0078056F">
        <w:rPr>
          <w:rFonts w:ascii="Garamond" w:hAnsi="Garamond"/>
          <w:i/>
          <w:sz w:val="24"/>
          <w:szCs w:val="24"/>
          <w:lang w:val="sq-AL"/>
        </w:rPr>
        <w:t>)</w:t>
      </w:r>
      <w:r w:rsidR="00E91B0C" w:rsidRPr="0078056F">
        <w:rPr>
          <w:rFonts w:ascii="Garamond" w:hAnsi="Garamond"/>
          <w:i/>
          <w:sz w:val="24"/>
          <w:szCs w:val="24"/>
          <w:lang w:val="sq-AL"/>
        </w:rPr>
        <w:t xml:space="preserve"> </w:t>
      </w:r>
      <w:r w:rsidR="00395112" w:rsidRPr="0078056F">
        <w:rPr>
          <w:rFonts w:ascii="Garamond" w:hAnsi="Garamond"/>
          <w:i/>
          <w:sz w:val="24"/>
          <w:szCs w:val="24"/>
          <w:lang w:val="sq-AL"/>
        </w:rPr>
        <w:t>Nëse ndërhyrja justifikohej</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116</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Sipas praktikës gjyqësore të Gjykatës, shprehja “në përputhje me ligjin” nuk kërkon vetëm që masa e dyshimtë të kishte baza në ligjin </w:t>
      </w:r>
      <w:r w:rsidR="003C06FD">
        <w:rPr>
          <w:rFonts w:ascii="Garamond" w:hAnsi="Garamond"/>
          <w:szCs w:val="24"/>
          <w:lang w:val="sq-AL"/>
        </w:rPr>
        <w:t>vendës</w:t>
      </w:r>
      <w:r w:rsidR="00395112" w:rsidRPr="00E91B0C">
        <w:rPr>
          <w:rFonts w:ascii="Garamond" w:hAnsi="Garamond"/>
          <w:szCs w:val="24"/>
          <w:lang w:val="sq-AL"/>
        </w:rPr>
        <w:t>, por edhe t’i referohej cilësisë së ligjit konkret, me kërkesën që të ishte e aksesueshme për personin në fjalë dhe që efektet e saj të ishin të parashikuesh</w:t>
      </w:r>
      <w:r w:rsidR="004A004E">
        <w:rPr>
          <w:rFonts w:ascii="Garamond" w:hAnsi="Garamond"/>
          <w:szCs w:val="24"/>
          <w:lang w:val="sq-AL"/>
        </w:rPr>
        <w:t>me</w:t>
      </w:r>
      <w:r w:rsidR="00395112" w:rsidRPr="00E91B0C">
        <w:rPr>
          <w:rFonts w:ascii="Garamond" w:hAnsi="Garamond"/>
          <w:szCs w:val="24"/>
          <w:lang w:val="sq-AL"/>
        </w:rPr>
        <w:t xml:space="preserve">. Megjithatë, </w:t>
      </w:r>
      <w:r w:rsidR="004A004E">
        <w:rPr>
          <w:rFonts w:ascii="Garamond" w:hAnsi="Garamond"/>
          <w:szCs w:val="24"/>
          <w:lang w:val="sq-AL"/>
        </w:rPr>
        <w:t>u</w:t>
      </w:r>
      <w:r w:rsidR="00395112" w:rsidRPr="00E91B0C">
        <w:rPr>
          <w:rFonts w:ascii="Garamond" w:hAnsi="Garamond"/>
          <w:szCs w:val="24"/>
          <w:lang w:val="sq-AL"/>
        </w:rPr>
        <w:t xml:space="preserve"> takon autoriteteve kombëtar</w:t>
      </w:r>
      <w:r w:rsidR="004A004E">
        <w:rPr>
          <w:rFonts w:ascii="Garamond" w:hAnsi="Garamond"/>
          <w:szCs w:val="24"/>
          <w:lang w:val="sq-AL"/>
        </w:rPr>
        <w:t>e</w:t>
      </w:r>
      <w:r w:rsidR="00395112" w:rsidRPr="00E91B0C">
        <w:rPr>
          <w:rFonts w:ascii="Garamond" w:hAnsi="Garamond"/>
          <w:szCs w:val="24"/>
          <w:lang w:val="sq-AL"/>
        </w:rPr>
        <w:t>, veçanërisht gjykatave, të interpretonin dhe të zbatonin ligjin e brendshëm (shih, midis shumë vendimeve të tjer</w:t>
      </w:r>
      <w:r w:rsidR="004A004E">
        <w:rPr>
          <w:rFonts w:ascii="Garamond" w:hAnsi="Garamond"/>
          <w:szCs w:val="24"/>
          <w:lang w:val="sq-AL"/>
        </w:rPr>
        <w:t>a</w:t>
      </w:r>
      <w:r w:rsidR="00395112" w:rsidRPr="00E91B0C">
        <w:rPr>
          <w:rFonts w:ascii="Garamond" w:hAnsi="Garamond"/>
          <w:szCs w:val="24"/>
          <w:lang w:val="sq-AL"/>
        </w:rPr>
        <w:t xml:space="preserve">, </w:t>
      </w:r>
      <w:r w:rsidR="00395112" w:rsidRPr="00E91B0C">
        <w:rPr>
          <w:rFonts w:ascii="Garamond" w:hAnsi="Garamond"/>
          <w:i/>
          <w:szCs w:val="24"/>
          <w:lang w:val="sq-AL"/>
        </w:rPr>
        <w:t>Paradiso dhe Campanelli kundër Italisë</w:t>
      </w:r>
      <w:r w:rsidR="00395112" w:rsidRPr="00E91B0C">
        <w:rPr>
          <w:rFonts w:ascii="Garamond" w:hAnsi="Garamond"/>
          <w:szCs w:val="24"/>
          <w:lang w:val="sq-AL"/>
        </w:rPr>
        <w:t xml:space="preserve"> [DHM], nr. 25358/12</w:t>
      </w:r>
      <w:r w:rsidR="008541A0">
        <w:rPr>
          <w:rFonts w:ascii="Garamond" w:hAnsi="Garamond"/>
          <w:szCs w:val="24"/>
          <w:lang w:val="sq-AL"/>
        </w:rPr>
        <w:t>, §</w:t>
      </w:r>
      <w:r w:rsidR="00395112" w:rsidRPr="00E91B0C">
        <w:rPr>
          <w:rFonts w:ascii="Garamond" w:hAnsi="Garamond"/>
          <w:szCs w:val="24"/>
          <w:lang w:val="sq-AL"/>
        </w:rPr>
        <w:t>169, GJEDNJ 2017).</w:t>
      </w:r>
    </w:p>
    <w:p w:rsidR="00395112" w:rsidRPr="00E91B0C" w:rsidRDefault="002E226A" w:rsidP="00395112">
      <w:pPr>
        <w:pStyle w:val="JuPara"/>
        <w:widowControl w:val="0"/>
        <w:rPr>
          <w:rFonts w:ascii="Garamond" w:hAnsi="Garamond"/>
          <w:snapToGrid w:val="0"/>
          <w:szCs w:val="24"/>
          <w:lang w:val="sq-AL"/>
        </w:rPr>
      </w:pPr>
      <w:r>
        <w:rPr>
          <w:rFonts w:ascii="Garamond" w:hAnsi="Garamond"/>
          <w:szCs w:val="24"/>
          <w:lang w:val="sq-AL"/>
        </w:rPr>
        <w:t>117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vëren se parashtrimet e </w:t>
      </w:r>
      <w:r w:rsidR="0018461E" w:rsidRPr="00E91B0C">
        <w:rPr>
          <w:rFonts w:ascii="Garamond" w:hAnsi="Garamond"/>
          <w:szCs w:val="24"/>
          <w:lang w:val="sq-AL"/>
        </w:rPr>
        <w:t xml:space="preserve">qeverisë </w:t>
      </w:r>
      <w:r w:rsidR="00395112" w:rsidRPr="00E91B0C">
        <w:rPr>
          <w:rFonts w:ascii="Garamond" w:hAnsi="Garamond"/>
          <w:szCs w:val="24"/>
          <w:lang w:val="sq-AL"/>
        </w:rPr>
        <w:t xml:space="preserve">në lidhje me rregullsinë e konfiskimit dhe rrethimin e godinës u kundërshtuan nga gjykatat </w:t>
      </w:r>
      <w:r w:rsidR="003C06FD">
        <w:rPr>
          <w:rFonts w:ascii="Garamond" w:hAnsi="Garamond"/>
          <w:szCs w:val="24"/>
          <w:lang w:val="sq-AL"/>
        </w:rPr>
        <w:t>vendës</w:t>
      </w:r>
      <w:r w:rsidR="00395112" w:rsidRPr="00E91B0C">
        <w:rPr>
          <w:rFonts w:ascii="Garamond" w:hAnsi="Garamond"/>
          <w:szCs w:val="24"/>
          <w:lang w:val="sq-AL"/>
        </w:rPr>
        <w:t>e. Më konkretisht, Gjykata e Rrethit, në vendimin e saj të datës 28 janar 2014, arriti në përfundimin se rrethimi i godinës kishte ndodhur pa informuar pronarët ose kompaninë e ndërtimit dhe se nuk ishte lëshuar asnjë urdhër nga autoritetet, i cili ndalonte kërkuesit të hynin në apartamentet e tyre (shih paragrafët 19 dhe 26 më sipër). Ai vendim u la në fuqi nga Gjykata Administrative e Apelit, më 6 maj 2016 (shih paragrafin 27 më sipër). Gjithashtu, Gjykata vëren se urdhri i përkohshëm për të hequr shiritin e verdhë të policisë nuk ishte respektuar, në shkelje të qartë të ligjit kombëtar, sipas deklarimit të gjykatave shqiptare (shih edhe paragrafin 37 më sipër). Është e qartë se në çështjen konkrete, nuk kishte asnjë bazë ligjore për ndërhyrjen e policisë në konfiskimin</w:t>
      </w:r>
      <w:r w:rsidR="00E91B0C">
        <w:rPr>
          <w:rFonts w:ascii="Garamond" w:hAnsi="Garamond"/>
          <w:szCs w:val="24"/>
          <w:lang w:val="sq-AL"/>
        </w:rPr>
        <w:t xml:space="preserve"> </w:t>
      </w:r>
      <w:r w:rsidR="00395112" w:rsidRPr="00E91B0C">
        <w:rPr>
          <w:rFonts w:ascii="Garamond" w:hAnsi="Garamond"/>
          <w:szCs w:val="24"/>
          <w:lang w:val="sq-AL"/>
        </w:rPr>
        <w:t>dhe rrethimin e godinës. Për më tepër, kërkesa që kërkuesit t’</w:t>
      </w:r>
      <w:r w:rsidR="004A004E">
        <w:rPr>
          <w:rFonts w:ascii="Garamond" w:hAnsi="Garamond"/>
          <w:szCs w:val="24"/>
          <w:lang w:val="sq-AL"/>
        </w:rPr>
        <w:t>u</w:t>
      </w:r>
      <w:r w:rsidR="00395112" w:rsidRPr="00E91B0C">
        <w:rPr>
          <w:rFonts w:ascii="Garamond" w:hAnsi="Garamond"/>
          <w:szCs w:val="24"/>
          <w:lang w:val="sq-AL"/>
        </w:rPr>
        <w:t xml:space="preserve"> tregonin autoriteteve një certifikatë pronësie ose kartë identiteti për të hyrë në pronat e tyre nuk bazohej në ndonjë ligj </w:t>
      </w:r>
      <w:r w:rsidR="003C06FD">
        <w:rPr>
          <w:rFonts w:ascii="Garamond" w:hAnsi="Garamond"/>
          <w:szCs w:val="24"/>
          <w:lang w:val="sq-AL"/>
        </w:rPr>
        <w:t>vendës</w:t>
      </w:r>
      <w:r w:rsidR="00395112" w:rsidRPr="00E91B0C">
        <w:rPr>
          <w:rFonts w:ascii="Garamond" w:hAnsi="Garamond"/>
          <w:szCs w:val="24"/>
          <w:lang w:val="sq-AL"/>
        </w:rPr>
        <w:t xml:space="preserve"> ose në një vendim gjykate. Në këto rrethana, Gjykata mendon se është e nevojshme të theksojë faktin se praktika e forcave policore</w:t>
      </w:r>
      <w:r w:rsidR="0009253A">
        <w:rPr>
          <w:rFonts w:ascii="Garamond" w:hAnsi="Garamond"/>
          <w:szCs w:val="24"/>
          <w:lang w:val="sq-AL"/>
        </w:rPr>
        <w:t>,</w:t>
      </w:r>
      <w:r w:rsidR="00395112" w:rsidRPr="00E91B0C">
        <w:rPr>
          <w:rFonts w:ascii="Garamond" w:hAnsi="Garamond"/>
          <w:szCs w:val="24"/>
          <w:lang w:val="sq-AL"/>
        </w:rPr>
        <w:t xml:space="preserve"> të cilat penguan njerëzit të hynin në shtëpitë e tyre pa asnjë bazë ligjore, si edhe konfiskimi dhe rrethimi i ndërtesës në kundërshtim me ligjin </w:t>
      </w:r>
      <w:r w:rsidR="003C06FD">
        <w:rPr>
          <w:rFonts w:ascii="Garamond" w:hAnsi="Garamond"/>
          <w:szCs w:val="24"/>
          <w:lang w:val="sq-AL"/>
        </w:rPr>
        <w:t>vendës</w:t>
      </w:r>
      <w:r w:rsidR="00395112" w:rsidRPr="00E91B0C">
        <w:rPr>
          <w:rFonts w:ascii="Garamond" w:hAnsi="Garamond"/>
          <w:szCs w:val="24"/>
          <w:lang w:val="sq-AL"/>
        </w:rPr>
        <w:t xml:space="preserve">, nuk janë në përputhje me shtetin e së drejtës në një shoqëri demokratike, e cila respekton të drejtat dhe liritë themelore të garantuara sipas Konventës (shih, </w:t>
      </w:r>
      <w:r w:rsidR="00395112" w:rsidRPr="00E91B0C">
        <w:rPr>
          <w:rFonts w:ascii="Garamond" w:hAnsi="Garamond"/>
          <w:i/>
          <w:szCs w:val="24"/>
          <w:lang w:val="sq-AL"/>
        </w:rPr>
        <w:t>mutatis mutandis</w:t>
      </w:r>
      <w:r w:rsidR="00395112" w:rsidRPr="00E91B0C">
        <w:rPr>
          <w:rFonts w:ascii="Garamond" w:hAnsi="Garamond"/>
          <w:szCs w:val="24"/>
          <w:lang w:val="sq-AL"/>
        </w:rPr>
        <w:t xml:space="preserve">, </w:t>
      </w:r>
      <w:r w:rsidR="00395112" w:rsidRPr="00E91B0C">
        <w:rPr>
          <w:rFonts w:ascii="Garamond" w:hAnsi="Garamond"/>
          <w:i/>
          <w:szCs w:val="24"/>
          <w:lang w:val="sq-AL"/>
        </w:rPr>
        <w:t>Khalikova kundër Azerbajxhanit</w:t>
      </w:r>
      <w:r w:rsidR="00395112" w:rsidRPr="00E91B0C">
        <w:rPr>
          <w:rFonts w:ascii="Garamond" w:hAnsi="Garamond"/>
          <w:szCs w:val="24"/>
          <w:lang w:val="sq-AL"/>
        </w:rPr>
        <w:t>, nr. 42883/11</w:t>
      </w:r>
      <w:r w:rsidR="008541A0">
        <w:rPr>
          <w:rFonts w:ascii="Garamond" w:hAnsi="Garamond"/>
          <w:snapToGrid w:val="0"/>
          <w:szCs w:val="24"/>
          <w:lang w:val="sq-AL"/>
        </w:rPr>
        <w:t>, §</w:t>
      </w:r>
      <w:r w:rsidR="00395112" w:rsidRPr="00E91B0C">
        <w:rPr>
          <w:rFonts w:ascii="Garamond" w:hAnsi="Garamond"/>
          <w:snapToGrid w:val="0"/>
          <w:szCs w:val="24"/>
          <w:lang w:val="sq-AL"/>
        </w:rPr>
        <w:t>128, 22 tetor 2015).</w:t>
      </w:r>
    </w:p>
    <w:p w:rsidR="00395112" w:rsidRPr="00E91B0C" w:rsidRDefault="002E226A" w:rsidP="00395112">
      <w:pPr>
        <w:pStyle w:val="JuPara"/>
        <w:widowControl w:val="0"/>
        <w:rPr>
          <w:rFonts w:ascii="Garamond" w:eastAsia="Times New Roman" w:hAnsi="Garamond"/>
          <w:szCs w:val="24"/>
          <w:lang w:val="sq-AL"/>
        </w:rPr>
      </w:pPr>
      <w:r>
        <w:rPr>
          <w:rFonts w:ascii="Garamond" w:eastAsia="Times New Roman" w:hAnsi="Garamond"/>
          <w:szCs w:val="24"/>
          <w:lang w:val="sq-AL"/>
        </w:rPr>
        <w:t>118</w:t>
      </w:r>
      <w:r w:rsidR="00395112" w:rsidRPr="00E91B0C">
        <w:rPr>
          <w:rFonts w:ascii="Garamond" w:eastAsia="Times New Roman" w:hAnsi="Garamond"/>
          <w:szCs w:val="24"/>
          <w:lang w:val="sq-AL"/>
        </w:rPr>
        <w:t>.</w:t>
      </w:r>
      <w:r w:rsidR="00E91B0C">
        <w:rPr>
          <w:rFonts w:ascii="Garamond" w:eastAsia="Times New Roman" w:hAnsi="Garamond"/>
          <w:szCs w:val="24"/>
          <w:lang w:val="sq-AL"/>
        </w:rPr>
        <w:t xml:space="preserve"> </w:t>
      </w:r>
      <w:r w:rsidR="00395112" w:rsidRPr="00E91B0C">
        <w:rPr>
          <w:rFonts w:ascii="Garamond" w:eastAsia="Times New Roman" w:hAnsi="Garamond"/>
          <w:szCs w:val="24"/>
          <w:lang w:val="sq-AL"/>
        </w:rPr>
        <w:t xml:space="preserve">Më tej, Gjykata vijon se ndërhyrja në çështjen konkrete nuk mund të konsiderohet të ketë qenë “në përputhje me ligjin” sipas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enit 8</w:t>
      </w:r>
      <w:r w:rsidR="008B2E1D">
        <w:rPr>
          <w:rFonts w:ascii="Garamond" w:eastAsia="Times New Roman" w:hAnsi="Garamond"/>
          <w:szCs w:val="24"/>
          <w:lang w:val="sq-AL"/>
        </w:rPr>
        <w:t>§</w:t>
      </w:r>
      <w:r w:rsidR="00395112" w:rsidRPr="00E91B0C">
        <w:rPr>
          <w:rFonts w:ascii="Garamond" w:eastAsia="Times New Roman" w:hAnsi="Garamond"/>
          <w:szCs w:val="24"/>
          <w:lang w:val="sq-AL"/>
        </w:rPr>
        <w:t xml:space="preserve">2 të Konventës. Pasi arriti në këtë përfundim, Gjykatës nuk i kërkohet të përcaktojë nëse ndërhyrja ishte “e nevojshme në një shoqëri demokratike” për një nga qëllimet e listuara në paragrafin 2 të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enit 8. Në këtë mënyrë, ka pasur një shkelje </w:t>
      </w:r>
      <w:r w:rsidR="0009253A">
        <w:rPr>
          <w:rFonts w:ascii="Garamond" w:eastAsia="Times New Roman" w:hAnsi="Garamond"/>
          <w:szCs w:val="24"/>
          <w:lang w:val="sq-AL"/>
        </w:rPr>
        <w:t>të</w:t>
      </w:r>
      <w:r w:rsidR="00395112" w:rsidRPr="00E91B0C">
        <w:rPr>
          <w:rFonts w:ascii="Garamond" w:eastAsia="Times New Roman" w:hAnsi="Garamond"/>
          <w:szCs w:val="24"/>
          <w:lang w:val="sq-AL"/>
        </w:rPr>
        <w:t xml:space="preserve"> </w:t>
      </w:r>
      <w:r w:rsidR="008A7DCB">
        <w:rPr>
          <w:rFonts w:ascii="Garamond" w:eastAsia="Times New Roman" w:hAnsi="Garamond"/>
          <w:szCs w:val="24"/>
          <w:lang w:val="sq-AL"/>
        </w:rPr>
        <w:t>s</w:t>
      </w:r>
      <w:r w:rsidR="00395112" w:rsidRPr="00E91B0C">
        <w:rPr>
          <w:rFonts w:ascii="Garamond" w:eastAsia="Times New Roman" w:hAnsi="Garamond"/>
          <w:szCs w:val="24"/>
          <w:lang w:val="sq-AL"/>
        </w:rPr>
        <w:t xml:space="preserve">ë drejtës së këtyre kërkuesve për respektimin e shtëpisë së tyre, sipas kuptimit të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enit 8, për shkak të konfiskimit dhe </w:t>
      </w:r>
      <w:r w:rsidR="005C3E03">
        <w:rPr>
          <w:rFonts w:ascii="Garamond" w:eastAsia="Times New Roman" w:hAnsi="Garamond"/>
          <w:szCs w:val="24"/>
          <w:lang w:val="sq-AL"/>
        </w:rPr>
        <w:t xml:space="preserve">të </w:t>
      </w:r>
      <w:r w:rsidR="00395112" w:rsidRPr="00E91B0C">
        <w:rPr>
          <w:rFonts w:ascii="Garamond" w:eastAsia="Times New Roman" w:hAnsi="Garamond"/>
          <w:szCs w:val="24"/>
          <w:lang w:val="sq-AL"/>
        </w:rPr>
        <w:t xml:space="preserve">rrethimit të godinës (shih midis shumë vendimeve të tjera, </w:t>
      </w:r>
      <w:r w:rsidR="00395112" w:rsidRPr="00E91B0C">
        <w:rPr>
          <w:rFonts w:ascii="Garamond" w:eastAsia="Times New Roman" w:hAnsi="Garamond"/>
          <w:i/>
          <w:szCs w:val="24"/>
          <w:lang w:val="sq-AL"/>
        </w:rPr>
        <w:t>Khalikova</w:t>
      </w:r>
      <w:r w:rsidR="00395112" w:rsidRPr="00E91B0C">
        <w:rPr>
          <w:rFonts w:ascii="Garamond" w:eastAsia="Times New Roman" w:hAnsi="Garamond"/>
          <w:szCs w:val="24"/>
          <w:lang w:val="sq-AL"/>
        </w:rPr>
        <w:t>, cituar më sipër,</w:t>
      </w:r>
      <w:r w:rsidR="00CF528A">
        <w:rPr>
          <w:rFonts w:ascii="Garamond" w:eastAsia="Times New Roman" w:hAnsi="Garamond"/>
          <w:szCs w:val="24"/>
          <w:lang w:val="sq-AL"/>
        </w:rPr>
        <w:t xml:space="preserve"> </w:t>
      </w:r>
      <w:r w:rsidR="008B2E1D">
        <w:rPr>
          <w:rFonts w:ascii="Garamond" w:eastAsia="Times New Roman" w:hAnsi="Garamond"/>
          <w:szCs w:val="24"/>
          <w:lang w:val="sq-AL"/>
        </w:rPr>
        <w:t>§</w:t>
      </w:r>
      <w:r w:rsidR="00395112" w:rsidRPr="00E91B0C">
        <w:rPr>
          <w:rFonts w:ascii="Garamond" w:eastAsia="Times New Roman" w:hAnsi="Garamond"/>
          <w:szCs w:val="24"/>
          <w:lang w:val="sq-AL"/>
        </w:rPr>
        <w:t xml:space="preserve">129, dhe </w:t>
      </w:r>
      <w:r w:rsidR="00395112" w:rsidRPr="00E91B0C">
        <w:rPr>
          <w:rFonts w:ascii="Garamond" w:eastAsia="Times New Roman" w:hAnsi="Garamond"/>
          <w:i/>
          <w:szCs w:val="24"/>
          <w:lang w:val="sq-AL"/>
        </w:rPr>
        <w:t>Demades</w:t>
      </w:r>
      <w:r w:rsidR="00395112" w:rsidRPr="00E91B0C">
        <w:rPr>
          <w:rFonts w:ascii="Garamond" w:eastAsia="Times New Roman" w:hAnsi="Garamond"/>
          <w:szCs w:val="24"/>
          <w:lang w:val="sq-AL"/>
        </w:rPr>
        <w:t>, cituar më sipër,</w:t>
      </w:r>
      <w:r w:rsidR="00CF528A">
        <w:rPr>
          <w:rFonts w:ascii="Garamond" w:eastAsia="Times New Roman" w:hAnsi="Garamond"/>
          <w:szCs w:val="24"/>
          <w:lang w:val="sq-AL"/>
        </w:rPr>
        <w:t xml:space="preserve"> </w:t>
      </w:r>
      <w:r w:rsidR="008B2E1D">
        <w:rPr>
          <w:rFonts w:ascii="Garamond" w:eastAsia="Times New Roman" w:hAnsi="Garamond"/>
          <w:szCs w:val="24"/>
          <w:lang w:val="sq-AL"/>
        </w:rPr>
        <w:t>§</w:t>
      </w:r>
      <w:r w:rsidR="00395112" w:rsidRPr="00E91B0C">
        <w:rPr>
          <w:rFonts w:ascii="Garamond" w:eastAsia="Times New Roman" w:hAnsi="Garamond"/>
          <w:szCs w:val="24"/>
          <w:lang w:val="sq-AL"/>
        </w:rPr>
        <w:t xml:space="preserve">37). </w:t>
      </w:r>
    </w:p>
    <w:p w:rsidR="00395112" w:rsidRPr="00E91B0C" w:rsidRDefault="00E4573F" w:rsidP="00395112">
      <w:pPr>
        <w:pStyle w:val="ECHRHeading4"/>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b)</w:t>
      </w:r>
      <w:r w:rsidR="00E91B0C">
        <w:rPr>
          <w:rFonts w:ascii="Garamond" w:hAnsi="Garamond"/>
          <w:sz w:val="24"/>
          <w:szCs w:val="24"/>
          <w:lang w:val="sq-AL"/>
        </w:rPr>
        <w:t xml:space="preserve"> </w:t>
      </w:r>
      <w:r w:rsidR="00395112" w:rsidRPr="00E91B0C">
        <w:rPr>
          <w:rFonts w:ascii="Garamond" w:hAnsi="Garamond"/>
          <w:sz w:val="24"/>
          <w:szCs w:val="24"/>
          <w:lang w:val="sq-AL"/>
        </w:rPr>
        <w:t xml:space="preserve">Respektimi i </w:t>
      </w:r>
      <w:r w:rsidRPr="00E91B0C">
        <w:rPr>
          <w:rFonts w:ascii="Garamond" w:eastAsia="Times New Roman" w:hAnsi="Garamond"/>
          <w:sz w:val="24"/>
          <w:szCs w:val="24"/>
          <w:lang w:val="sq-AL"/>
        </w:rPr>
        <w:t xml:space="preserve">nenit </w:t>
      </w:r>
      <w:r w:rsidR="00395112" w:rsidRPr="00E91B0C">
        <w:rPr>
          <w:rFonts w:ascii="Garamond" w:eastAsia="Times New Roman" w:hAnsi="Garamond"/>
          <w:sz w:val="24"/>
          <w:szCs w:val="24"/>
          <w:lang w:val="sq-AL"/>
        </w:rPr>
        <w:t>13 s</w:t>
      </w:r>
      <w:r w:rsidR="006A55AA">
        <w:rPr>
          <w:rFonts w:ascii="Garamond" w:eastAsia="Times New Roman" w:hAnsi="Garamond"/>
          <w:sz w:val="24"/>
          <w:szCs w:val="24"/>
          <w:lang w:val="sq-AL"/>
        </w:rPr>
        <w:t>ë</w:t>
      </w:r>
      <w:r w:rsidR="00395112" w:rsidRPr="00E91B0C">
        <w:rPr>
          <w:rFonts w:ascii="Garamond" w:eastAsia="Times New Roman" w:hAnsi="Garamond"/>
          <w:sz w:val="24"/>
          <w:szCs w:val="24"/>
          <w:lang w:val="sq-AL"/>
        </w:rPr>
        <w:t xml:space="preserve"> bashku me </w:t>
      </w:r>
      <w:r w:rsidRPr="00E91B0C">
        <w:rPr>
          <w:rFonts w:ascii="Garamond" w:eastAsia="Times New Roman" w:hAnsi="Garamond"/>
          <w:sz w:val="24"/>
          <w:szCs w:val="24"/>
          <w:lang w:val="sq-AL"/>
        </w:rPr>
        <w:t xml:space="preserve">nenin </w:t>
      </w:r>
      <w:r w:rsidR="00395112" w:rsidRPr="00E91B0C">
        <w:rPr>
          <w:rFonts w:ascii="Garamond" w:eastAsia="Times New Roman" w:hAnsi="Garamond"/>
          <w:sz w:val="24"/>
          <w:szCs w:val="24"/>
          <w:lang w:val="sq-AL"/>
        </w:rPr>
        <w:t xml:space="preserve">8 të Konventës </w:t>
      </w:r>
    </w:p>
    <w:p w:rsidR="00395112" w:rsidRPr="00E91B0C" w:rsidRDefault="002E226A" w:rsidP="00395112">
      <w:pPr>
        <w:pStyle w:val="JuPara"/>
        <w:widowControl w:val="0"/>
        <w:rPr>
          <w:rFonts w:ascii="Garamond" w:hAnsi="Garamond"/>
          <w:szCs w:val="24"/>
          <w:lang w:val="sq-AL"/>
        </w:rPr>
      </w:pPr>
      <w:r>
        <w:rPr>
          <w:rFonts w:ascii="Garamond" w:hAnsi="Garamond"/>
          <w:szCs w:val="24"/>
          <w:lang w:val="sq-AL"/>
        </w:rPr>
        <w:t>119</w:t>
      </w:r>
      <w:r w:rsidR="00395112" w:rsidRPr="00E91B0C">
        <w:rPr>
          <w:rFonts w:ascii="Garamond" w:hAnsi="Garamond"/>
          <w:szCs w:val="24"/>
          <w:lang w:val="sq-AL"/>
        </w:rPr>
        <w:t xml:space="preserve">. </w:t>
      </w:r>
      <w:r w:rsidR="00395112" w:rsidRPr="00E91B0C">
        <w:rPr>
          <w:rFonts w:ascii="Garamond" w:eastAsia="Times New Roman" w:hAnsi="Garamond"/>
          <w:szCs w:val="24"/>
          <w:lang w:val="sq-AL"/>
        </w:rPr>
        <w:t xml:space="preserve">Sipas konstatimeve të saj, bazuar në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enin 8 të Konventës, Gjykata arsyeton se ankesat mbështetur në atë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 ishin “objekt kundërshtimi” sipas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enit 13 të Konventës</w:t>
      </w:r>
      <w:r w:rsidR="00E91B0C">
        <w:rPr>
          <w:rFonts w:ascii="Garamond" w:eastAsia="Times New Roman" w:hAnsi="Garamond"/>
          <w:szCs w:val="24"/>
          <w:lang w:val="sq-AL"/>
        </w:rPr>
        <w:t xml:space="preserve"> </w:t>
      </w:r>
      <w:r w:rsidR="00395112" w:rsidRPr="00E91B0C">
        <w:rPr>
          <w:rFonts w:ascii="Garamond" w:hAnsi="Garamond"/>
          <w:szCs w:val="24"/>
          <w:lang w:val="sq-AL"/>
        </w:rPr>
        <w:t xml:space="preserve">(shih, </w:t>
      </w:r>
      <w:r w:rsidR="00395112" w:rsidRPr="00E91B0C">
        <w:rPr>
          <w:rFonts w:ascii="Garamond" w:hAnsi="Garamond"/>
          <w:i/>
          <w:szCs w:val="24"/>
          <w:lang w:val="sq-AL"/>
        </w:rPr>
        <w:t>mutatis mutandis</w:t>
      </w:r>
      <w:r w:rsidR="00395112" w:rsidRPr="00E91B0C">
        <w:rPr>
          <w:rFonts w:ascii="Garamond" w:hAnsi="Garamond"/>
          <w:szCs w:val="24"/>
          <w:lang w:val="sq-AL"/>
        </w:rPr>
        <w:t xml:space="preserve">, </w:t>
      </w:r>
      <w:r w:rsidR="00395112" w:rsidRPr="00E91B0C">
        <w:rPr>
          <w:rFonts w:ascii="Garamond" w:hAnsi="Garamond"/>
          <w:i/>
          <w:szCs w:val="24"/>
          <w:lang w:val="sq-AL"/>
        </w:rPr>
        <w:t>Boyle kundër Mbretërisë së Bashkuar</w:t>
      </w:r>
      <w:r w:rsidR="00395112" w:rsidRPr="00E91B0C">
        <w:rPr>
          <w:rFonts w:ascii="Garamond" w:hAnsi="Garamond"/>
          <w:szCs w:val="24"/>
          <w:lang w:val="sq-AL"/>
        </w:rPr>
        <w:t>, 27 prill 1988</w:t>
      </w:r>
      <w:r w:rsidR="008541A0">
        <w:rPr>
          <w:rFonts w:ascii="Garamond" w:hAnsi="Garamond"/>
          <w:szCs w:val="24"/>
          <w:lang w:val="sq-AL"/>
        </w:rPr>
        <w:t>, §</w:t>
      </w:r>
      <w:r w:rsidR="00395112" w:rsidRPr="00E91B0C">
        <w:rPr>
          <w:rFonts w:ascii="Garamond" w:hAnsi="Garamond"/>
          <w:szCs w:val="24"/>
          <w:lang w:val="sq-AL"/>
        </w:rPr>
        <w:t xml:space="preserve">52, </w:t>
      </w:r>
      <w:r w:rsidR="001073BE" w:rsidRPr="00E91B0C">
        <w:rPr>
          <w:rFonts w:ascii="Garamond" w:hAnsi="Garamond"/>
          <w:szCs w:val="24"/>
          <w:lang w:val="sq-AL"/>
        </w:rPr>
        <w:t xml:space="preserve">seritë </w:t>
      </w:r>
      <w:r w:rsidR="00395112" w:rsidRPr="00E91B0C">
        <w:rPr>
          <w:rFonts w:ascii="Garamond" w:hAnsi="Garamond"/>
          <w:szCs w:val="24"/>
          <w:lang w:val="sq-AL"/>
        </w:rPr>
        <w:t xml:space="preserve">A nr. 131, dhe </w:t>
      </w:r>
      <w:r w:rsidR="00395112" w:rsidRPr="00E91B0C">
        <w:rPr>
          <w:rFonts w:ascii="Garamond" w:hAnsi="Garamond"/>
          <w:i/>
          <w:szCs w:val="24"/>
          <w:lang w:val="sq-AL"/>
        </w:rPr>
        <w:t>Sabanchiyeva dhe të tjerët kundër Rusisë</w:t>
      </w:r>
      <w:r w:rsidR="00395112" w:rsidRPr="00E91B0C">
        <w:rPr>
          <w:rFonts w:ascii="Garamond" w:hAnsi="Garamond"/>
          <w:szCs w:val="24"/>
          <w:lang w:val="sq-AL"/>
        </w:rPr>
        <w:t>, nr. 38450/05</w:t>
      </w:r>
      <w:r w:rsidR="008541A0">
        <w:rPr>
          <w:rFonts w:ascii="Garamond" w:hAnsi="Garamond"/>
          <w:snapToGrid w:val="0"/>
          <w:szCs w:val="24"/>
          <w:lang w:val="sq-AL"/>
        </w:rPr>
        <w:t>, §</w:t>
      </w:r>
      <w:r w:rsidR="00395112" w:rsidRPr="00E91B0C">
        <w:rPr>
          <w:rFonts w:ascii="Garamond" w:hAnsi="Garamond"/>
          <w:snapToGrid w:val="0"/>
          <w:szCs w:val="24"/>
          <w:lang w:val="sq-AL"/>
        </w:rPr>
        <w:t xml:space="preserve">153, </w:t>
      </w:r>
      <w:r w:rsidR="00395112" w:rsidRPr="00E91B0C">
        <w:rPr>
          <w:rFonts w:ascii="Garamond" w:hAnsi="Garamond"/>
          <w:szCs w:val="24"/>
          <w:lang w:val="sq-AL"/>
        </w:rPr>
        <w:t>GJEDNJ 2013 (ekstraktet)).</w:t>
      </w:r>
    </w:p>
    <w:p w:rsidR="00395112" w:rsidRPr="00E91B0C" w:rsidRDefault="002E226A" w:rsidP="00395112">
      <w:pPr>
        <w:pStyle w:val="JuPara"/>
        <w:widowControl w:val="0"/>
        <w:rPr>
          <w:rFonts w:ascii="Garamond" w:eastAsia="Times New Roman" w:hAnsi="Garamond"/>
          <w:szCs w:val="24"/>
          <w:lang w:val="sq-AL"/>
        </w:rPr>
      </w:pPr>
      <w:r>
        <w:rPr>
          <w:rFonts w:ascii="Garamond" w:hAnsi="Garamond"/>
          <w:szCs w:val="24"/>
          <w:lang w:val="sq-AL"/>
        </w:rPr>
        <w:t>120</w:t>
      </w:r>
      <w:r w:rsidR="00395112" w:rsidRPr="00E91B0C">
        <w:rPr>
          <w:rFonts w:ascii="Garamond" w:hAnsi="Garamond"/>
          <w:szCs w:val="24"/>
          <w:lang w:val="sq-AL"/>
        </w:rPr>
        <w:t>. </w:t>
      </w:r>
      <w:r w:rsidR="00395112" w:rsidRPr="00E91B0C">
        <w:rPr>
          <w:rFonts w:ascii="Garamond" w:eastAsia="Times New Roman" w:hAnsi="Garamond"/>
          <w:szCs w:val="24"/>
          <w:lang w:val="sq-AL"/>
        </w:rPr>
        <w:t xml:space="preserve">Gjykata vëren se kërkuesit u ankuan për </w:t>
      </w:r>
      <w:r w:rsidR="00395112" w:rsidRPr="000507EB">
        <w:rPr>
          <w:rFonts w:ascii="Garamond" w:eastAsia="Times New Roman" w:hAnsi="Garamond"/>
          <w:spacing w:val="-4"/>
          <w:szCs w:val="24"/>
          <w:lang w:val="sq-AL"/>
        </w:rPr>
        <w:t xml:space="preserve">konfiskimin dhe rrethimin e godinës si në procedimet e përkohshme dhe në ato kryesore, në lidhje me veprimet e datës 3 nëntor 2013, dhe se gjykatat </w:t>
      </w:r>
      <w:r w:rsidR="003C06FD" w:rsidRPr="000507EB">
        <w:rPr>
          <w:rFonts w:ascii="Garamond" w:eastAsia="Times New Roman" w:hAnsi="Garamond"/>
          <w:spacing w:val="-4"/>
          <w:szCs w:val="24"/>
          <w:lang w:val="sq-AL"/>
        </w:rPr>
        <w:t>vendës</w:t>
      </w:r>
      <w:r w:rsidR="00395112" w:rsidRPr="000507EB">
        <w:rPr>
          <w:rFonts w:ascii="Garamond" w:eastAsia="Times New Roman" w:hAnsi="Garamond"/>
          <w:spacing w:val="-4"/>
          <w:szCs w:val="24"/>
          <w:lang w:val="sq-AL"/>
        </w:rPr>
        <w:t>e, në përputhje me rrethanat, morën një vendim për kërkesat e tyre, duke nënvizuar se ata ishin ndaluar të hynin në shtëpitë e tyre</w:t>
      </w:r>
      <w:r w:rsidR="00E91B0C" w:rsidRPr="000507EB">
        <w:rPr>
          <w:rFonts w:ascii="Garamond" w:eastAsia="Times New Roman" w:hAnsi="Garamond"/>
          <w:spacing w:val="-4"/>
          <w:szCs w:val="24"/>
          <w:lang w:val="sq-AL"/>
        </w:rPr>
        <w:t xml:space="preserve"> </w:t>
      </w:r>
      <w:r w:rsidR="00395112" w:rsidRPr="000507EB">
        <w:rPr>
          <w:rFonts w:ascii="Garamond" w:hAnsi="Garamond"/>
          <w:spacing w:val="-4"/>
          <w:szCs w:val="24"/>
          <w:lang w:val="sq-AL"/>
        </w:rPr>
        <w:t>(shih paragrafët 16</w:t>
      </w:r>
      <w:r w:rsidR="00CF528A" w:rsidRPr="000507EB">
        <w:rPr>
          <w:rFonts w:ascii="Garamond" w:hAnsi="Garamond"/>
          <w:spacing w:val="-4"/>
          <w:szCs w:val="24"/>
          <w:lang w:val="sq-AL"/>
        </w:rPr>
        <w:t>–</w:t>
      </w:r>
      <w:r w:rsidR="00395112" w:rsidRPr="000507EB">
        <w:rPr>
          <w:rFonts w:ascii="Garamond" w:hAnsi="Garamond"/>
          <w:spacing w:val="-4"/>
          <w:szCs w:val="24"/>
          <w:lang w:val="sq-AL"/>
        </w:rPr>
        <w:t>19, 22, 25</w:t>
      </w:r>
      <w:r w:rsidR="00CF528A" w:rsidRPr="000507EB">
        <w:rPr>
          <w:rFonts w:ascii="Garamond" w:hAnsi="Garamond"/>
          <w:spacing w:val="-4"/>
          <w:szCs w:val="24"/>
          <w:lang w:val="sq-AL"/>
        </w:rPr>
        <w:t>–</w:t>
      </w:r>
      <w:r w:rsidR="00395112" w:rsidRPr="000507EB">
        <w:rPr>
          <w:rFonts w:ascii="Garamond" w:hAnsi="Garamond"/>
          <w:spacing w:val="-4"/>
          <w:szCs w:val="24"/>
          <w:lang w:val="sq-AL"/>
        </w:rPr>
        <w:t>26 dhe 94</w:t>
      </w:r>
      <w:r w:rsidR="00CF528A" w:rsidRPr="000507EB">
        <w:rPr>
          <w:rFonts w:ascii="Garamond" w:hAnsi="Garamond"/>
          <w:spacing w:val="-4"/>
          <w:szCs w:val="24"/>
          <w:lang w:val="sq-AL"/>
        </w:rPr>
        <w:t>–</w:t>
      </w:r>
      <w:r w:rsidR="00395112" w:rsidRPr="000507EB">
        <w:rPr>
          <w:rFonts w:ascii="Garamond" w:hAnsi="Garamond"/>
          <w:spacing w:val="-4"/>
          <w:szCs w:val="24"/>
          <w:lang w:val="sq-AL"/>
        </w:rPr>
        <w:t xml:space="preserve">95 më sipër). </w:t>
      </w:r>
      <w:r w:rsidR="00395112" w:rsidRPr="000507EB">
        <w:rPr>
          <w:rFonts w:ascii="Garamond" w:eastAsia="Times New Roman" w:hAnsi="Garamond"/>
          <w:spacing w:val="-4"/>
          <w:szCs w:val="24"/>
          <w:lang w:val="sq-AL"/>
        </w:rPr>
        <w:t xml:space="preserve">U parashtruan edhe procedimet </w:t>
      </w:r>
      <w:r w:rsidR="00395112" w:rsidRPr="000507EB">
        <w:rPr>
          <w:rFonts w:ascii="Garamond" w:eastAsia="Times New Roman" w:hAnsi="Garamond"/>
          <w:spacing w:val="-4"/>
          <w:szCs w:val="24"/>
          <w:lang w:val="sq-AL"/>
        </w:rPr>
        <w:lastRenderedPageBreak/>
        <w:t xml:space="preserve">penale (shih paragrafin 45 më sipër). Gjykata vëren se të gjitha kërkesat ishin bërë përpara se kërkuesit të ishin në pozicionin të kishin dijeni se godina do të shembej më 4 dhjetor 2013, pavarësisht kërkesave për pronën dhe kompensimin. Bazuar në parashtrimet e mësipërme, Gjykata pranon se kërkuesit nuk u ankuan në thelb te gjykatat </w:t>
      </w:r>
      <w:r w:rsidR="003C06FD" w:rsidRPr="000507EB">
        <w:rPr>
          <w:rFonts w:ascii="Garamond" w:eastAsia="Times New Roman" w:hAnsi="Garamond"/>
          <w:spacing w:val="-4"/>
          <w:szCs w:val="24"/>
          <w:lang w:val="sq-AL"/>
        </w:rPr>
        <w:t>vendës</w:t>
      </w:r>
      <w:r w:rsidR="00395112" w:rsidRPr="000507EB">
        <w:rPr>
          <w:rFonts w:ascii="Garamond" w:eastAsia="Times New Roman" w:hAnsi="Garamond"/>
          <w:spacing w:val="-4"/>
          <w:szCs w:val="24"/>
          <w:lang w:val="sq-AL"/>
        </w:rPr>
        <w:t xml:space="preserve">e, sipas </w:t>
      </w:r>
      <w:r w:rsidR="001073BE" w:rsidRPr="000507EB">
        <w:rPr>
          <w:rFonts w:ascii="Garamond" w:eastAsia="Times New Roman" w:hAnsi="Garamond"/>
          <w:spacing w:val="-4"/>
          <w:szCs w:val="24"/>
          <w:lang w:val="sq-AL"/>
        </w:rPr>
        <w:t>n</w:t>
      </w:r>
      <w:r w:rsidR="00395112" w:rsidRPr="000507EB">
        <w:rPr>
          <w:rFonts w:ascii="Garamond" w:eastAsia="Times New Roman" w:hAnsi="Garamond"/>
          <w:spacing w:val="-4"/>
          <w:szCs w:val="24"/>
          <w:lang w:val="sq-AL"/>
        </w:rPr>
        <w:t>enit 8 të Konventës</w:t>
      </w:r>
      <w:r w:rsidR="001073BE" w:rsidRPr="000507EB">
        <w:rPr>
          <w:rFonts w:ascii="Garamond" w:eastAsia="Times New Roman" w:hAnsi="Garamond"/>
          <w:spacing w:val="-4"/>
          <w:szCs w:val="24"/>
          <w:lang w:val="sq-AL"/>
        </w:rPr>
        <w:t>:</w:t>
      </w:r>
      <w:r w:rsidR="00395112" w:rsidRPr="000507EB">
        <w:rPr>
          <w:rFonts w:ascii="Garamond" w:eastAsia="Times New Roman" w:hAnsi="Garamond"/>
          <w:spacing w:val="-4"/>
          <w:szCs w:val="24"/>
          <w:lang w:val="sq-AL"/>
        </w:rPr>
        <w:t xml:space="preserve"> e drejta për respektimin e banesës së tyre</w:t>
      </w:r>
      <w:r w:rsidR="00395112" w:rsidRPr="00E91B0C">
        <w:rPr>
          <w:rFonts w:ascii="Garamond" w:eastAsia="Times New Roman" w:hAnsi="Garamond"/>
          <w:szCs w:val="24"/>
          <w:lang w:val="sq-AL"/>
        </w:rPr>
        <w:t xml:space="preserve">. </w:t>
      </w:r>
    </w:p>
    <w:p w:rsidR="00395112" w:rsidRPr="00E91B0C" w:rsidRDefault="00395112" w:rsidP="00395112">
      <w:pPr>
        <w:pStyle w:val="JuPara"/>
        <w:widowControl w:val="0"/>
        <w:rPr>
          <w:rFonts w:ascii="Garamond" w:eastAsia="Times New Roman" w:hAnsi="Garamond"/>
          <w:szCs w:val="24"/>
          <w:lang w:val="sq-AL"/>
        </w:rPr>
      </w:pPr>
      <w:r w:rsidRPr="00E91B0C">
        <w:rPr>
          <w:rFonts w:ascii="Garamond" w:eastAsia="Times New Roman" w:hAnsi="Garamond"/>
          <w:szCs w:val="24"/>
          <w:lang w:val="sq-AL"/>
        </w:rPr>
        <w:t xml:space="preserve">121. Në lidhje me kërkesën për kompensim, sipas Kodit Civil, </w:t>
      </w:r>
      <w:r w:rsidR="00CF528A" w:rsidRPr="00E91B0C">
        <w:rPr>
          <w:rFonts w:ascii="Garamond" w:eastAsia="Times New Roman" w:hAnsi="Garamond"/>
          <w:szCs w:val="24"/>
          <w:lang w:val="sq-AL"/>
        </w:rPr>
        <w:t>akti shtetëror për përgjegjësi jokontraktuale</w:t>
      </w:r>
      <w:r w:rsidRPr="00E91B0C">
        <w:rPr>
          <w:rFonts w:ascii="Garamond" w:eastAsia="Times New Roman" w:hAnsi="Garamond"/>
          <w:szCs w:val="24"/>
          <w:lang w:val="sq-AL"/>
        </w:rPr>
        <w:t xml:space="preserve"> dhe </w:t>
      </w:r>
      <w:r w:rsidR="00DC4E24" w:rsidRPr="00E91B0C">
        <w:rPr>
          <w:rFonts w:ascii="Garamond" w:eastAsia="Times New Roman" w:hAnsi="Garamond"/>
          <w:szCs w:val="24"/>
          <w:lang w:val="sq-AL"/>
        </w:rPr>
        <w:t>akti për inspektimin e ndërtesav</w:t>
      </w:r>
      <w:r w:rsidRPr="00E91B0C">
        <w:rPr>
          <w:rFonts w:ascii="Garamond" w:eastAsia="Times New Roman" w:hAnsi="Garamond"/>
          <w:szCs w:val="24"/>
          <w:lang w:val="sq-AL"/>
        </w:rPr>
        <w:t xml:space="preserve">e, Gjykata i rrëzon kundërshtimet e </w:t>
      </w:r>
      <w:r w:rsidR="0018461E" w:rsidRPr="00E91B0C">
        <w:rPr>
          <w:rFonts w:ascii="Garamond" w:eastAsia="Times New Roman" w:hAnsi="Garamond"/>
          <w:szCs w:val="24"/>
          <w:lang w:val="sq-AL"/>
        </w:rPr>
        <w:t>q</w:t>
      </w:r>
      <w:r w:rsidRPr="00E91B0C">
        <w:rPr>
          <w:rFonts w:ascii="Garamond" w:eastAsia="Times New Roman" w:hAnsi="Garamond"/>
          <w:szCs w:val="24"/>
          <w:lang w:val="sq-AL"/>
        </w:rPr>
        <w:t xml:space="preserve">everisë, bazuar në të njëjtat shkaqe si më herët (shih paragrafin 83 më sipër). </w:t>
      </w:r>
    </w:p>
    <w:p w:rsidR="00510480" w:rsidRPr="00E91B0C" w:rsidRDefault="00395112" w:rsidP="00922378">
      <w:pPr>
        <w:pStyle w:val="JuPara"/>
        <w:widowControl w:val="0"/>
        <w:rPr>
          <w:rFonts w:ascii="Garamond" w:eastAsia="Times New Roman" w:hAnsi="Garamond"/>
          <w:szCs w:val="24"/>
          <w:lang w:val="sq-AL"/>
        </w:rPr>
      </w:pPr>
      <w:r w:rsidRPr="00E91B0C">
        <w:rPr>
          <w:rFonts w:ascii="Garamond" w:eastAsia="Times New Roman" w:hAnsi="Garamond"/>
          <w:szCs w:val="24"/>
          <w:lang w:val="sq-AL"/>
        </w:rPr>
        <w:t xml:space="preserve">122. Në vijim, Gjykata vëren se rrethimi i godinës konsiderohej qartazi një shkelje e të drejtave të kërkuesve nga gjykatat </w:t>
      </w:r>
      <w:r w:rsidR="003C06FD">
        <w:rPr>
          <w:rFonts w:ascii="Garamond" w:eastAsia="Times New Roman" w:hAnsi="Garamond"/>
          <w:szCs w:val="24"/>
          <w:lang w:val="sq-AL"/>
        </w:rPr>
        <w:t>vendës</w:t>
      </w:r>
      <w:r w:rsidRPr="00E91B0C">
        <w:rPr>
          <w:rFonts w:ascii="Garamond" w:eastAsia="Times New Roman" w:hAnsi="Garamond"/>
          <w:szCs w:val="24"/>
          <w:lang w:val="sq-AL"/>
        </w:rPr>
        <w:t xml:space="preserve">e. Megjithatë, Gjykata Administrative nuk i akordoi kërkuesve ndonjë kompensim për këtë shkelje. </w:t>
      </w:r>
    </w:p>
    <w:p w:rsidR="00395112" w:rsidRPr="00E91B0C" w:rsidRDefault="00395112" w:rsidP="00395112">
      <w:pPr>
        <w:pStyle w:val="JuPara"/>
        <w:widowControl w:val="0"/>
        <w:rPr>
          <w:rFonts w:ascii="Garamond" w:hAnsi="Garamond"/>
          <w:szCs w:val="24"/>
          <w:lang w:val="sq-AL"/>
        </w:rPr>
      </w:pPr>
      <w:r w:rsidRPr="00E91B0C">
        <w:rPr>
          <w:rFonts w:ascii="Garamond" w:eastAsia="Times New Roman" w:hAnsi="Garamond"/>
          <w:szCs w:val="24"/>
          <w:lang w:val="sq-AL"/>
        </w:rPr>
        <w:t xml:space="preserve">123. Për arsyet e mësipërme, Gjykata shprehet se është shkelur </w:t>
      </w:r>
      <w:r w:rsidR="001073BE" w:rsidRPr="00E91B0C">
        <w:rPr>
          <w:rFonts w:ascii="Garamond" w:eastAsia="Times New Roman" w:hAnsi="Garamond"/>
          <w:szCs w:val="24"/>
          <w:lang w:val="sq-AL"/>
        </w:rPr>
        <w:t>n</w:t>
      </w:r>
      <w:r w:rsidRPr="00E91B0C">
        <w:rPr>
          <w:rFonts w:ascii="Garamond" w:eastAsia="Times New Roman" w:hAnsi="Garamond"/>
          <w:szCs w:val="24"/>
          <w:lang w:val="sq-AL"/>
        </w:rPr>
        <w:t xml:space="preserve">eni 13 së bashku me </w:t>
      </w:r>
      <w:r w:rsidR="001073BE" w:rsidRPr="00E91B0C">
        <w:rPr>
          <w:rFonts w:ascii="Garamond" w:eastAsia="Times New Roman" w:hAnsi="Garamond"/>
          <w:szCs w:val="24"/>
          <w:lang w:val="sq-AL"/>
        </w:rPr>
        <w:t>n</w:t>
      </w:r>
      <w:r w:rsidRPr="00E91B0C">
        <w:rPr>
          <w:rFonts w:ascii="Garamond" w:eastAsia="Times New Roman" w:hAnsi="Garamond"/>
          <w:szCs w:val="24"/>
          <w:lang w:val="sq-AL"/>
        </w:rPr>
        <w:t xml:space="preserve">enin 8 të Konventës. Më tej ajo vijon se kundërshtimi paraprak i </w:t>
      </w:r>
      <w:r w:rsidR="0018461E" w:rsidRPr="00E91B0C">
        <w:rPr>
          <w:rFonts w:ascii="Garamond" w:eastAsia="Times New Roman" w:hAnsi="Garamond"/>
          <w:szCs w:val="24"/>
          <w:lang w:val="sq-AL"/>
        </w:rPr>
        <w:t>q</w:t>
      </w:r>
      <w:r w:rsidRPr="00E91B0C">
        <w:rPr>
          <w:rFonts w:ascii="Garamond" w:eastAsia="Times New Roman" w:hAnsi="Garamond"/>
          <w:szCs w:val="24"/>
          <w:lang w:val="sq-AL"/>
        </w:rPr>
        <w:t>everisë për mosshfrytëzim në këtë aspekt duhet pushuar.</w:t>
      </w:r>
      <w:r w:rsidR="00E91B0C">
        <w:rPr>
          <w:rFonts w:ascii="Garamond" w:eastAsia="Times New Roman"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54" w:name="_Toc520459354"/>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Ankesë në lidhje me shpronësimin dhe shembjen e godinës</w:t>
      </w:r>
      <w:bookmarkEnd w:id="54"/>
      <w:r w:rsidRPr="00E91B0C">
        <w:rPr>
          <w:rFonts w:ascii="Garamond" w:hAnsi="Garamond"/>
          <w:szCs w:val="24"/>
          <w:lang w:val="sq-AL"/>
        </w:rPr>
        <w:t xml:space="preserve"> </w:t>
      </w:r>
    </w:p>
    <w:p w:rsidR="00395112" w:rsidRPr="000507EB" w:rsidRDefault="00267729" w:rsidP="00395112">
      <w:pPr>
        <w:pStyle w:val="JuPara"/>
        <w:widowControl w:val="0"/>
        <w:rPr>
          <w:rFonts w:ascii="Garamond" w:hAnsi="Garamond"/>
          <w:spacing w:val="-4"/>
          <w:szCs w:val="24"/>
          <w:lang w:val="sq-AL"/>
        </w:rPr>
      </w:pPr>
      <w:r>
        <w:rPr>
          <w:rFonts w:ascii="Garamond" w:hAnsi="Garamond"/>
          <w:spacing w:val="-4"/>
          <w:szCs w:val="24"/>
          <w:lang w:val="sq-AL"/>
        </w:rPr>
        <w:t>124</w:t>
      </w:r>
      <w:r w:rsidR="00395112" w:rsidRPr="000507EB">
        <w:rPr>
          <w:rFonts w:ascii="Garamond" w:hAnsi="Garamond"/>
          <w:spacing w:val="-4"/>
          <w:szCs w:val="24"/>
          <w:lang w:val="sq-AL"/>
        </w:rPr>
        <w:t xml:space="preserve">. </w:t>
      </w:r>
      <w:r w:rsidR="00395112" w:rsidRPr="000507EB">
        <w:rPr>
          <w:rFonts w:ascii="Garamond" w:eastAsia="Times New Roman" w:hAnsi="Garamond"/>
          <w:spacing w:val="-4"/>
          <w:szCs w:val="24"/>
          <w:lang w:val="sq-AL"/>
        </w:rPr>
        <w:t xml:space="preserve">Qeveria parashtroi se kërkuesit nuk e kishin paraqitur këtë ankesë përpara gjykatave </w:t>
      </w:r>
      <w:r w:rsidR="003C06FD" w:rsidRPr="000507EB">
        <w:rPr>
          <w:rFonts w:ascii="Garamond" w:eastAsia="Times New Roman" w:hAnsi="Garamond"/>
          <w:spacing w:val="-4"/>
          <w:szCs w:val="24"/>
          <w:lang w:val="sq-AL"/>
        </w:rPr>
        <w:t>vendës</w:t>
      </w:r>
      <w:r w:rsidR="00395112" w:rsidRPr="000507EB">
        <w:rPr>
          <w:rFonts w:ascii="Garamond" w:eastAsia="Times New Roman" w:hAnsi="Garamond"/>
          <w:spacing w:val="-4"/>
          <w:szCs w:val="24"/>
          <w:lang w:val="sq-AL"/>
        </w:rPr>
        <w:t xml:space="preserve">e. Gjithashtu, </w:t>
      </w:r>
      <w:r w:rsidR="0018461E" w:rsidRPr="000507EB">
        <w:rPr>
          <w:rFonts w:ascii="Garamond" w:eastAsia="Times New Roman" w:hAnsi="Garamond"/>
          <w:spacing w:val="-4"/>
          <w:szCs w:val="24"/>
          <w:lang w:val="sq-AL"/>
        </w:rPr>
        <w:t>q</w:t>
      </w:r>
      <w:r w:rsidR="00395112" w:rsidRPr="000507EB">
        <w:rPr>
          <w:rFonts w:ascii="Garamond" w:eastAsia="Times New Roman" w:hAnsi="Garamond"/>
          <w:spacing w:val="-4"/>
          <w:szCs w:val="24"/>
          <w:lang w:val="sq-AL"/>
        </w:rPr>
        <w:t xml:space="preserve">everia parashtroi se Gjykata nuk duhet të shqyrtojë </w:t>
      </w:r>
      <w:r w:rsidR="0018461E" w:rsidRPr="000507EB">
        <w:rPr>
          <w:rFonts w:ascii="Garamond" w:eastAsia="Times New Roman" w:hAnsi="Garamond"/>
          <w:spacing w:val="-4"/>
          <w:szCs w:val="24"/>
          <w:lang w:val="sq-AL"/>
        </w:rPr>
        <w:t xml:space="preserve">nenin </w:t>
      </w:r>
      <w:r w:rsidR="00395112" w:rsidRPr="000507EB">
        <w:rPr>
          <w:rFonts w:ascii="Garamond" w:eastAsia="Times New Roman" w:hAnsi="Garamond"/>
          <w:spacing w:val="-4"/>
          <w:szCs w:val="24"/>
          <w:lang w:val="sq-AL"/>
        </w:rPr>
        <w:t xml:space="preserve">8 të Konventës në mënyrë të ndarë, por duhet të veprojë sipas </w:t>
      </w:r>
      <w:r w:rsidR="0018461E" w:rsidRPr="000507EB">
        <w:rPr>
          <w:rFonts w:ascii="Garamond" w:eastAsia="Times New Roman" w:hAnsi="Garamond"/>
          <w:spacing w:val="-4"/>
          <w:szCs w:val="24"/>
          <w:lang w:val="sq-AL"/>
        </w:rPr>
        <w:t>nenit 1 të protokollit nr. 1 të</w:t>
      </w:r>
      <w:r w:rsidR="00395112" w:rsidRPr="000507EB">
        <w:rPr>
          <w:rFonts w:ascii="Garamond" w:eastAsia="Times New Roman" w:hAnsi="Garamond"/>
          <w:spacing w:val="-4"/>
          <w:szCs w:val="24"/>
          <w:lang w:val="sq-AL"/>
        </w:rPr>
        <w:t xml:space="preserve"> Konventës.</w:t>
      </w:r>
      <w:r w:rsidR="00E91B0C" w:rsidRPr="000507EB">
        <w:rPr>
          <w:rFonts w:ascii="Garamond" w:eastAsia="Times New Roman" w:hAnsi="Garamond"/>
          <w:spacing w:val="-4"/>
          <w:szCs w:val="24"/>
          <w:lang w:val="sq-AL"/>
        </w:rPr>
        <w:t xml:space="preserve"> </w:t>
      </w:r>
    </w:p>
    <w:p w:rsidR="00395112" w:rsidRPr="000507EB" w:rsidRDefault="00267729" w:rsidP="00395112">
      <w:pPr>
        <w:pStyle w:val="JuPara"/>
        <w:widowControl w:val="0"/>
        <w:rPr>
          <w:rFonts w:ascii="Garamond" w:hAnsi="Garamond"/>
          <w:spacing w:val="-4"/>
          <w:szCs w:val="24"/>
          <w:lang w:val="sq-AL"/>
        </w:rPr>
      </w:pPr>
      <w:r>
        <w:rPr>
          <w:rFonts w:ascii="Garamond" w:hAnsi="Garamond"/>
          <w:spacing w:val="-4"/>
          <w:szCs w:val="24"/>
          <w:lang w:val="sq-AL"/>
        </w:rPr>
        <w:t>125</w:t>
      </w:r>
      <w:r w:rsidR="00395112" w:rsidRPr="000507EB">
        <w:rPr>
          <w:rFonts w:ascii="Garamond" w:hAnsi="Garamond"/>
          <w:spacing w:val="-4"/>
          <w:szCs w:val="24"/>
          <w:lang w:val="sq-AL"/>
        </w:rPr>
        <w:t xml:space="preserve">. </w:t>
      </w:r>
      <w:r w:rsidR="00395112" w:rsidRPr="000507EB">
        <w:rPr>
          <w:rFonts w:ascii="Garamond" w:eastAsia="Times New Roman" w:hAnsi="Garamond"/>
          <w:spacing w:val="-4"/>
          <w:szCs w:val="24"/>
          <w:lang w:val="sq-AL"/>
        </w:rPr>
        <w:t xml:space="preserve">Kërkuesit parashtruan se ishte shkelur </w:t>
      </w:r>
      <w:r w:rsidR="001073BE" w:rsidRPr="000507EB">
        <w:rPr>
          <w:rFonts w:ascii="Garamond" w:eastAsia="Times New Roman" w:hAnsi="Garamond"/>
          <w:spacing w:val="-4"/>
          <w:szCs w:val="24"/>
          <w:lang w:val="sq-AL"/>
        </w:rPr>
        <w:t>n</w:t>
      </w:r>
      <w:r w:rsidR="00395112" w:rsidRPr="000507EB">
        <w:rPr>
          <w:rFonts w:ascii="Garamond" w:eastAsia="Times New Roman" w:hAnsi="Garamond"/>
          <w:spacing w:val="-4"/>
          <w:szCs w:val="24"/>
          <w:lang w:val="sq-AL"/>
        </w:rPr>
        <w:t xml:space="preserve">eni 8 i Konventës për shkak të shembjes së banesave të tyre. Përderisa shembja e godinës ishte kryer në shkelje të </w:t>
      </w:r>
      <w:r w:rsidR="00CF528A" w:rsidRPr="000507EB">
        <w:rPr>
          <w:rFonts w:ascii="Garamond" w:eastAsia="Times New Roman" w:hAnsi="Garamond"/>
          <w:spacing w:val="-4"/>
          <w:szCs w:val="24"/>
          <w:lang w:val="sq-AL"/>
        </w:rPr>
        <w:t xml:space="preserve">nenit </w:t>
      </w:r>
      <w:r w:rsidR="00395112" w:rsidRPr="000507EB">
        <w:rPr>
          <w:rFonts w:ascii="Garamond" w:eastAsia="Times New Roman" w:hAnsi="Garamond"/>
          <w:spacing w:val="-4"/>
          <w:szCs w:val="24"/>
          <w:lang w:val="sq-AL"/>
        </w:rPr>
        <w:t xml:space="preserve">1 të </w:t>
      </w:r>
      <w:r w:rsidR="00DC4E24" w:rsidRPr="000507EB">
        <w:rPr>
          <w:rFonts w:ascii="Garamond" w:eastAsia="Times New Roman" w:hAnsi="Garamond"/>
          <w:spacing w:val="-4"/>
          <w:szCs w:val="24"/>
          <w:lang w:val="sq-AL"/>
        </w:rPr>
        <w:t>protokollit n</w:t>
      </w:r>
      <w:r w:rsidR="00CF528A" w:rsidRPr="000507EB">
        <w:rPr>
          <w:rFonts w:ascii="Garamond" w:eastAsia="Times New Roman" w:hAnsi="Garamond"/>
          <w:spacing w:val="-4"/>
          <w:szCs w:val="24"/>
          <w:lang w:val="sq-AL"/>
        </w:rPr>
        <w:t>r</w:t>
      </w:r>
      <w:r w:rsidR="00395112" w:rsidRPr="000507EB">
        <w:rPr>
          <w:rFonts w:ascii="Garamond" w:eastAsia="Times New Roman" w:hAnsi="Garamond"/>
          <w:spacing w:val="-4"/>
          <w:szCs w:val="24"/>
          <w:lang w:val="sq-AL"/>
        </w:rPr>
        <w:t>. 1, kjo kishte shkaktuar një shkelje të</w:t>
      </w:r>
      <w:r w:rsidR="001073BE" w:rsidRPr="000507EB">
        <w:rPr>
          <w:rFonts w:ascii="Garamond" w:eastAsia="Times New Roman" w:hAnsi="Garamond"/>
          <w:spacing w:val="-4"/>
          <w:szCs w:val="24"/>
          <w:lang w:val="sq-AL"/>
        </w:rPr>
        <w:t xml:space="preserve"> nenit </w:t>
      </w:r>
      <w:r w:rsidR="00395112" w:rsidRPr="000507EB">
        <w:rPr>
          <w:rFonts w:ascii="Garamond" w:eastAsia="Times New Roman" w:hAnsi="Garamond"/>
          <w:spacing w:val="-4"/>
          <w:szCs w:val="24"/>
          <w:lang w:val="sq-AL"/>
        </w:rPr>
        <w:t>8 të Konventës.</w:t>
      </w:r>
      <w:r w:rsidR="00E91B0C" w:rsidRPr="000507EB">
        <w:rPr>
          <w:rFonts w:ascii="Garamond" w:eastAsia="Times New Roman" w:hAnsi="Garamond"/>
          <w:spacing w:val="-4"/>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126. Gjykata mendon se nuk është i nevojshëm shqyrtimi i kësaj ankese mëveçantë, sipas </w:t>
      </w:r>
      <w:r w:rsidR="001073BE" w:rsidRPr="00E91B0C">
        <w:rPr>
          <w:rFonts w:ascii="Garamond" w:hAnsi="Garamond"/>
          <w:szCs w:val="24"/>
          <w:lang w:val="sq-AL"/>
        </w:rPr>
        <w:t>n</w:t>
      </w:r>
      <w:r w:rsidRPr="00E91B0C">
        <w:rPr>
          <w:rFonts w:ascii="Garamond" w:hAnsi="Garamond"/>
          <w:szCs w:val="24"/>
          <w:lang w:val="sq-AL"/>
        </w:rPr>
        <w:t xml:space="preserve">enit 8 </w:t>
      </w:r>
      <w:r w:rsidRPr="00E91B0C">
        <w:rPr>
          <w:rFonts w:ascii="Garamond" w:eastAsia="Times New Roman" w:hAnsi="Garamond"/>
          <w:szCs w:val="24"/>
          <w:lang w:val="sq-AL"/>
        </w:rPr>
        <w:t xml:space="preserve">veçantë dhe së bashku me nenin 13 të Konventës. Ajo gjykon se është më e përshtatshme që kjo ankesë të shqyrtohet sipas </w:t>
      </w:r>
      <w:r w:rsidR="001073BE" w:rsidRPr="00E91B0C">
        <w:rPr>
          <w:rFonts w:ascii="Garamond" w:eastAsia="Times New Roman" w:hAnsi="Garamond"/>
          <w:szCs w:val="24"/>
          <w:lang w:val="sq-AL"/>
        </w:rPr>
        <w:t>n</w:t>
      </w:r>
      <w:r w:rsidRPr="00E91B0C">
        <w:rPr>
          <w:rFonts w:ascii="Garamond" w:eastAsia="Times New Roman" w:hAnsi="Garamond"/>
          <w:szCs w:val="24"/>
          <w:lang w:val="sq-AL"/>
        </w:rPr>
        <w:t xml:space="preserve">enit 1 të </w:t>
      </w:r>
      <w:r w:rsidR="00DC4E24" w:rsidRPr="00E91B0C">
        <w:rPr>
          <w:rFonts w:ascii="Garamond" w:eastAsia="Times New Roman" w:hAnsi="Garamond"/>
          <w:szCs w:val="24"/>
          <w:lang w:val="sq-AL"/>
        </w:rPr>
        <w:t xml:space="preserve">protokollit nr. </w:t>
      </w:r>
      <w:r w:rsidRPr="00E91B0C">
        <w:rPr>
          <w:rFonts w:ascii="Garamond" w:eastAsia="Times New Roman" w:hAnsi="Garamond"/>
          <w:szCs w:val="24"/>
          <w:lang w:val="sq-AL"/>
        </w:rPr>
        <w:t xml:space="preserve">1 të Konventës vetëm dhe së bashku me </w:t>
      </w:r>
      <w:r w:rsidR="001073BE" w:rsidRPr="00E91B0C">
        <w:rPr>
          <w:rFonts w:ascii="Garamond" w:eastAsia="Times New Roman" w:hAnsi="Garamond"/>
          <w:szCs w:val="24"/>
          <w:lang w:val="sq-AL"/>
        </w:rPr>
        <w:t>n</w:t>
      </w:r>
      <w:r w:rsidRPr="00E91B0C">
        <w:rPr>
          <w:rFonts w:ascii="Garamond" w:eastAsia="Times New Roman" w:hAnsi="Garamond"/>
          <w:szCs w:val="24"/>
          <w:lang w:val="sq-AL"/>
        </w:rPr>
        <w:t>enin 13 të Konventës (shih paragrafët 137</w:t>
      </w:r>
      <w:r w:rsidR="005B203A">
        <w:rPr>
          <w:rFonts w:ascii="Garamond" w:hAnsi="Garamond"/>
          <w:szCs w:val="24"/>
          <w:lang w:val="sq-AL"/>
        </w:rPr>
        <w:t>–</w:t>
      </w:r>
      <w:r w:rsidRPr="00E91B0C">
        <w:rPr>
          <w:rFonts w:ascii="Garamond" w:eastAsia="Times New Roman" w:hAnsi="Garamond"/>
          <w:szCs w:val="24"/>
          <w:lang w:val="sq-AL"/>
        </w:rPr>
        <w:t xml:space="preserve">175, më poshtë). </w:t>
      </w:r>
    </w:p>
    <w:p w:rsidR="00395112" w:rsidRPr="00E91B0C" w:rsidRDefault="00395112" w:rsidP="00395112">
      <w:pPr>
        <w:pStyle w:val="ECHRHeading1"/>
        <w:keepNext w:val="0"/>
        <w:keepLines w:val="0"/>
        <w:widowControl w:val="0"/>
        <w:spacing w:before="0" w:after="0"/>
        <w:ind w:left="0" w:firstLine="284"/>
        <w:rPr>
          <w:rFonts w:ascii="Garamond" w:hAnsi="Garamond"/>
          <w:szCs w:val="24"/>
          <w:lang w:val="sq-AL"/>
        </w:rPr>
      </w:pPr>
      <w:bookmarkStart w:id="55" w:name="_Toc520459355"/>
      <w:r w:rsidRPr="00E91B0C">
        <w:rPr>
          <w:rFonts w:ascii="Garamond" w:hAnsi="Garamond"/>
          <w:szCs w:val="24"/>
          <w:lang w:val="sq-AL"/>
        </w:rPr>
        <w:t>III.</w:t>
      </w:r>
      <w:r w:rsidR="00E91B0C">
        <w:rPr>
          <w:rFonts w:ascii="Garamond" w:hAnsi="Garamond"/>
          <w:szCs w:val="24"/>
          <w:lang w:val="sq-AL"/>
        </w:rPr>
        <w:t xml:space="preserve"> </w:t>
      </w:r>
      <w:r w:rsidRPr="00E91B0C">
        <w:rPr>
          <w:rFonts w:ascii="Garamond" w:hAnsi="Garamond"/>
          <w:szCs w:val="24"/>
          <w:lang w:val="sq-AL"/>
        </w:rPr>
        <w:t xml:space="preserve">SHKELJE TË </w:t>
      </w:r>
      <w:r w:rsidRPr="00E91B0C">
        <w:rPr>
          <w:rFonts w:ascii="Garamond" w:eastAsia="Times New Roman" w:hAnsi="Garamond"/>
          <w:szCs w:val="24"/>
          <w:lang w:val="sq-AL"/>
        </w:rPr>
        <w:t>PRETENDUARA TË NENIT 1</w:t>
      </w:r>
      <w:r w:rsidR="00CF528A">
        <w:rPr>
          <w:rFonts w:ascii="Garamond" w:eastAsia="Times New Roman" w:hAnsi="Garamond"/>
          <w:szCs w:val="24"/>
          <w:lang w:val="sq-AL"/>
        </w:rPr>
        <w:t xml:space="preserve"> </w:t>
      </w:r>
      <w:r w:rsidRPr="00E91B0C">
        <w:rPr>
          <w:rFonts w:ascii="Garamond" w:eastAsia="Times New Roman" w:hAnsi="Garamond"/>
          <w:szCs w:val="24"/>
          <w:lang w:val="sq-AL"/>
        </w:rPr>
        <w:t>TË PROTOKOLLIT NR. 1 TË KONVENTËS VEÇANTË DHE SË BASHKU ME NENIN 13 TË KONVENTËS</w:t>
      </w:r>
      <w:bookmarkEnd w:id="55"/>
      <w:r w:rsidR="00E91B0C">
        <w:rPr>
          <w:rFonts w:ascii="Garamond" w:eastAsia="Times New Roman" w:hAnsi="Garamond"/>
          <w:szCs w:val="24"/>
          <w:lang w:val="sq-AL"/>
        </w:rPr>
        <w:t xml:space="preserve"> </w:t>
      </w:r>
    </w:p>
    <w:p w:rsidR="00395112" w:rsidRPr="00E91B0C" w:rsidRDefault="00267729" w:rsidP="00395112">
      <w:pPr>
        <w:pStyle w:val="JuPara"/>
        <w:widowControl w:val="0"/>
        <w:rPr>
          <w:rFonts w:ascii="Garamond" w:eastAsia="Times New Roman" w:hAnsi="Garamond"/>
          <w:szCs w:val="24"/>
          <w:lang w:val="sq-AL"/>
        </w:rPr>
      </w:pPr>
      <w:r>
        <w:rPr>
          <w:rFonts w:ascii="Garamond" w:hAnsi="Garamond"/>
          <w:szCs w:val="24"/>
          <w:lang w:val="sq-AL"/>
        </w:rPr>
        <w:t>127</w:t>
      </w:r>
      <w:r w:rsidR="00395112" w:rsidRPr="00E91B0C">
        <w:rPr>
          <w:rFonts w:ascii="Garamond" w:hAnsi="Garamond"/>
          <w:szCs w:val="24"/>
          <w:lang w:val="sq-AL"/>
        </w:rPr>
        <w:t xml:space="preserve">. </w:t>
      </w:r>
      <w:r w:rsidR="00395112" w:rsidRPr="00E91B0C">
        <w:rPr>
          <w:rFonts w:ascii="Garamond" w:eastAsia="Times New Roman" w:hAnsi="Garamond"/>
          <w:szCs w:val="24"/>
          <w:lang w:val="sq-AL"/>
        </w:rPr>
        <w:t xml:space="preserve">Të gjithë kërkuesit u ankuan se konfiskimi, shpronësimi dhe shembja e pronave të tyre pa kompensim, kishte shkelur të drejtën e tyre për të gëzuar paqësisht pasuritë e tyre, sipas </w:t>
      </w:r>
      <w:r w:rsidR="001073BE" w:rsidRPr="00E91B0C">
        <w:rPr>
          <w:rFonts w:ascii="Garamond" w:eastAsia="Times New Roman" w:hAnsi="Garamond"/>
          <w:szCs w:val="24"/>
          <w:lang w:val="sq-AL"/>
        </w:rPr>
        <w:t>n</w:t>
      </w:r>
      <w:r w:rsidR="00395112" w:rsidRPr="00E91B0C">
        <w:rPr>
          <w:rFonts w:ascii="Garamond" w:eastAsia="Times New Roman" w:hAnsi="Garamond"/>
          <w:szCs w:val="24"/>
          <w:lang w:val="sq-AL"/>
        </w:rPr>
        <w:t xml:space="preserve">enit 1 të </w:t>
      </w:r>
      <w:r w:rsidR="001B2C72" w:rsidRPr="00E91B0C">
        <w:rPr>
          <w:rFonts w:ascii="Garamond" w:eastAsia="Times New Roman" w:hAnsi="Garamond"/>
          <w:szCs w:val="24"/>
          <w:lang w:val="sq-AL"/>
        </w:rPr>
        <w:t>protokollit nr.</w:t>
      </w:r>
      <w:r w:rsidR="00395112" w:rsidRPr="00E91B0C">
        <w:rPr>
          <w:rFonts w:ascii="Garamond" w:eastAsia="Times New Roman" w:hAnsi="Garamond"/>
          <w:szCs w:val="24"/>
          <w:lang w:val="sq-AL"/>
        </w:rPr>
        <w:t xml:space="preserve"> 1 të Konventës. Gjithashtu, ata u ankuan për mungesën e një mjeti efikas në këtë aspekt. </w:t>
      </w:r>
    </w:p>
    <w:p w:rsidR="00395112" w:rsidRPr="00E91B0C" w:rsidRDefault="00395112" w:rsidP="00395112">
      <w:pPr>
        <w:pStyle w:val="JuPara"/>
        <w:widowControl w:val="0"/>
        <w:rPr>
          <w:rFonts w:ascii="Garamond" w:hAnsi="Garamond"/>
          <w:szCs w:val="24"/>
          <w:lang w:val="sq-AL"/>
        </w:rPr>
      </w:pPr>
      <w:r w:rsidRPr="00E91B0C">
        <w:rPr>
          <w:rFonts w:ascii="Garamond" w:eastAsia="Times New Roman" w:hAnsi="Garamond"/>
          <w:szCs w:val="24"/>
          <w:lang w:val="sq-AL"/>
        </w:rPr>
        <w:t xml:space="preserve">Neni 1 i </w:t>
      </w:r>
      <w:r w:rsidR="001B2C72" w:rsidRPr="00E91B0C">
        <w:rPr>
          <w:rFonts w:ascii="Garamond" w:eastAsia="Times New Roman" w:hAnsi="Garamond"/>
          <w:szCs w:val="24"/>
          <w:lang w:val="sq-AL"/>
        </w:rPr>
        <w:t xml:space="preserve">protokollit nr. </w:t>
      </w:r>
      <w:r w:rsidRPr="00E91B0C">
        <w:rPr>
          <w:rFonts w:ascii="Garamond" w:eastAsia="Times New Roman" w:hAnsi="Garamond"/>
          <w:szCs w:val="24"/>
          <w:lang w:val="sq-AL"/>
        </w:rPr>
        <w:t>1 i Konventës pohon si më poshtë:</w:t>
      </w:r>
      <w:r w:rsidR="00E91B0C">
        <w:rPr>
          <w:rFonts w:ascii="Garamond" w:eastAsia="Times New Roman" w:hAnsi="Garamond"/>
          <w:szCs w:val="24"/>
          <w:lang w:val="sq-AL"/>
        </w:rPr>
        <w:t xml:space="preserve"> </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“Çdo person fizik ose juridik ka të drejtën e gëzimit paqësor të pasurisë e tij. Askush nuk mund të privohet nga prona e tij, përveçse për arsye të interesit publik dhe në kushtet e parashikuara nga ligji dhe nga parimet e përgjithshme të së drejtës ndërkombëtare. </w:t>
      </w:r>
    </w:p>
    <w:p w:rsidR="000D3DDC" w:rsidRPr="00922378" w:rsidRDefault="00395112" w:rsidP="00922378">
      <w:pPr>
        <w:pStyle w:val="ECHRParaQuote"/>
        <w:widowControl w:val="0"/>
        <w:spacing w:before="0" w:after="0"/>
        <w:ind w:left="0" w:firstLine="284"/>
        <w:rPr>
          <w:rFonts w:ascii="Garamond" w:hAnsi="Garamond"/>
          <w:sz w:val="22"/>
          <w:lang w:val="sq-AL"/>
        </w:rPr>
      </w:pPr>
      <w:r w:rsidRPr="00E91B0C">
        <w:rPr>
          <w:rFonts w:ascii="Garamond" w:hAnsi="Garamond"/>
          <w:sz w:val="22"/>
          <w:lang w:val="sq-AL"/>
        </w:rPr>
        <w:t xml:space="preserve">Megjithatë, dispozitat e mëparshme nuk </w:t>
      </w:r>
      <w:r w:rsidR="00CF528A" w:rsidRPr="00E91B0C">
        <w:rPr>
          <w:rFonts w:ascii="Garamond" w:hAnsi="Garamond"/>
          <w:sz w:val="22"/>
          <w:lang w:val="sq-AL"/>
        </w:rPr>
        <w:t>cenojnë</w:t>
      </w:r>
      <w:r w:rsidRPr="00E91B0C">
        <w:rPr>
          <w:rFonts w:ascii="Garamond" w:hAnsi="Garamond"/>
          <w:sz w:val="22"/>
          <w:lang w:val="sq-AL"/>
        </w:rPr>
        <w:t xml:space="preserve"> të drejtën e Shteteve për të zbatuar ligje, që ato i çmojnë të nevojshme për të rregulluar përdorimin e pasurive në përputhje me interesin e përgjithshëm ose për të siguruar pagimin e taksave ose të kontributeve ose të gjobave të tjera.”</w:t>
      </w:r>
      <w:bookmarkStart w:id="56" w:name="_Toc520459356"/>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Ankesë në lidhje me konfiskimin e godinës</w:t>
      </w:r>
      <w:bookmarkEnd w:id="56"/>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57" w:name="_Toc520459357"/>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Pranueshmëria</w:t>
      </w:r>
      <w:bookmarkEnd w:id="57"/>
    </w:p>
    <w:p w:rsidR="00395112" w:rsidRPr="00E91B0C" w:rsidRDefault="00267729" w:rsidP="00395112">
      <w:pPr>
        <w:pStyle w:val="JuPara"/>
        <w:widowControl w:val="0"/>
        <w:rPr>
          <w:rFonts w:ascii="Garamond" w:hAnsi="Garamond"/>
          <w:szCs w:val="24"/>
          <w:lang w:val="sq-AL"/>
        </w:rPr>
      </w:pPr>
      <w:r>
        <w:rPr>
          <w:rFonts w:ascii="Garamond" w:hAnsi="Garamond"/>
          <w:szCs w:val="24"/>
          <w:lang w:val="sq-AL"/>
        </w:rPr>
        <w:t>128</w:t>
      </w:r>
      <w:r w:rsidR="00395112" w:rsidRPr="00E91B0C">
        <w:rPr>
          <w:rFonts w:ascii="Garamond" w:hAnsi="Garamond"/>
          <w:szCs w:val="24"/>
          <w:lang w:val="sq-AL"/>
        </w:rPr>
        <w:t xml:space="preserve">. Qeveria nuk parashtroi kundërshtime specifike në lidhje me ankesën, mbështetur në </w:t>
      </w:r>
      <w:r w:rsidR="001073BE" w:rsidRPr="00E91B0C">
        <w:rPr>
          <w:rFonts w:ascii="Garamond" w:hAnsi="Garamond"/>
          <w:szCs w:val="24"/>
          <w:lang w:val="sq-AL"/>
        </w:rPr>
        <w:t>n</w:t>
      </w:r>
      <w:r w:rsidR="00395112" w:rsidRPr="00E91B0C">
        <w:rPr>
          <w:rFonts w:ascii="Garamond" w:hAnsi="Garamond"/>
          <w:szCs w:val="24"/>
          <w:lang w:val="sq-AL"/>
        </w:rPr>
        <w:t xml:space="preserve">enin 1 të </w:t>
      </w:r>
      <w:r w:rsidR="001B2C72" w:rsidRPr="00E91B0C">
        <w:rPr>
          <w:rFonts w:ascii="Garamond" w:hAnsi="Garamond"/>
          <w:szCs w:val="24"/>
          <w:lang w:val="sq-AL"/>
        </w:rPr>
        <w:t>protokollit nr</w:t>
      </w:r>
      <w:r w:rsidR="00395112" w:rsidRPr="00E91B0C">
        <w:rPr>
          <w:rFonts w:ascii="Garamond" w:hAnsi="Garamond"/>
          <w:szCs w:val="24"/>
          <w:lang w:val="sq-AL"/>
        </w:rPr>
        <w:t>. 1 të Konventës. Argumentet e tyre kryesisht mbështeteshin në papranueshmërinë e ankesave të kërkuesve në lidhje me shembjen e pronës dhe procedurën e shpronësimit.</w:t>
      </w:r>
      <w:r w:rsidR="00E91B0C">
        <w:rPr>
          <w:rFonts w:ascii="Garamond" w:hAnsi="Garamond"/>
          <w:szCs w:val="24"/>
          <w:lang w:val="sq-AL"/>
        </w:rPr>
        <w:t xml:space="preserve"> </w:t>
      </w:r>
    </w:p>
    <w:p w:rsidR="00395112" w:rsidRPr="00E91B0C" w:rsidRDefault="00267729" w:rsidP="00395112">
      <w:pPr>
        <w:pStyle w:val="JuPara"/>
        <w:widowControl w:val="0"/>
        <w:rPr>
          <w:rFonts w:ascii="Garamond" w:hAnsi="Garamond"/>
          <w:szCs w:val="24"/>
          <w:lang w:val="sq-AL"/>
        </w:rPr>
      </w:pPr>
      <w:r>
        <w:rPr>
          <w:rFonts w:ascii="Garamond" w:hAnsi="Garamond"/>
          <w:szCs w:val="24"/>
          <w:lang w:val="sq-AL"/>
        </w:rPr>
        <w:t>129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duke marrë në konsideratë konstatimet në lidhje me pranueshmërinë e ankesave, sipas </w:t>
      </w:r>
      <w:r w:rsidR="001073BE" w:rsidRPr="00E91B0C">
        <w:rPr>
          <w:rFonts w:ascii="Garamond" w:hAnsi="Garamond"/>
          <w:szCs w:val="24"/>
          <w:lang w:val="sq-AL"/>
        </w:rPr>
        <w:t>n</w:t>
      </w:r>
      <w:r w:rsidR="00395112" w:rsidRPr="00E91B0C">
        <w:rPr>
          <w:rFonts w:ascii="Garamond" w:hAnsi="Garamond"/>
          <w:szCs w:val="24"/>
          <w:lang w:val="sq-AL"/>
        </w:rPr>
        <w:t>eneve 8 dhe 13 të Konventës (shih paragrafët 100</w:t>
      </w:r>
      <w:r w:rsidR="005B203A">
        <w:rPr>
          <w:rFonts w:ascii="Garamond" w:hAnsi="Garamond"/>
          <w:szCs w:val="24"/>
          <w:lang w:val="sq-AL"/>
        </w:rPr>
        <w:t>–</w:t>
      </w:r>
      <w:r w:rsidR="00395112" w:rsidRPr="00E91B0C">
        <w:rPr>
          <w:rFonts w:ascii="Garamond" w:hAnsi="Garamond"/>
          <w:szCs w:val="24"/>
          <w:lang w:val="sq-AL"/>
        </w:rPr>
        <w:t>107, më sipër) dhe se kërkuesi i parë dhe i dytë u ankuan për një shkelje të të drejtave të tyre mbi pronën, po ashtu në lidhje me apartamentet dhe mjediset e tyre të biznesit, vëren se këto ankesa nuk janë haptazi të pabazua</w:t>
      </w:r>
      <w:r w:rsidR="00E4573F">
        <w:rPr>
          <w:rFonts w:ascii="Garamond" w:hAnsi="Garamond"/>
          <w:szCs w:val="24"/>
          <w:lang w:val="sq-AL"/>
        </w:rPr>
        <w:t>ra sipas kuptimit të nenit 35§3</w:t>
      </w:r>
      <w:r w:rsidR="00395112" w:rsidRPr="00E91B0C">
        <w:rPr>
          <w:rFonts w:ascii="Garamond" w:hAnsi="Garamond"/>
          <w:szCs w:val="24"/>
          <w:lang w:val="sq-AL"/>
        </w:rPr>
        <w:t xml:space="preserve">(a) të Konventës. Më tej, ajo vëren se ato nuk janë të papranueshme sipas ndonjë arsyeje tjetër. Kështu, ato duhet të deklarohen të pranueshme.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58" w:name="_Toc520459358"/>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Meritat</w:t>
      </w:r>
      <w:bookmarkEnd w:id="58"/>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Parashtrimet e palëve</w:t>
      </w:r>
    </w:p>
    <w:p w:rsidR="00395112" w:rsidRPr="00E91B0C" w:rsidRDefault="00267729" w:rsidP="00395112">
      <w:pPr>
        <w:pStyle w:val="JuPara"/>
        <w:widowControl w:val="0"/>
        <w:rPr>
          <w:rFonts w:ascii="Garamond" w:hAnsi="Garamond"/>
          <w:szCs w:val="24"/>
          <w:lang w:val="sq-AL"/>
        </w:rPr>
      </w:pPr>
      <w:r>
        <w:rPr>
          <w:rFonts w:ascii="Garamond" w:hAnsi="Garamond"/>
          <w:szCs w:val="24"/>
          <w:lang w:val="sq-AL"/>
        </w:rPr>
        <w:t>130</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Kërkuesit ngritën të njëjtat argumente se ato të parashtruara në lidhje me nenin 8 të Konventës dhe </w:t>
      </w:r>
      <w:r w:rsidR="001073BE" w:rsidRPr="00E91B0C">
        <w:rPr>
          <w:rFonts w:ascii="Garamond" w:hAnsi="Garamond"/>
          <w:szCs w:val="24"/>
          <w:lang w:val="sq-AL"/>
        </w:rPr>
        <w:t>n</w:t>
      </w:r>
      <w:r w:rsidR="00395112" w:rsidRPr="00E91B0C">
        <w:rPr>
          <w:rFonts w:ascii="Garamond" w:hAnsi="Garamond"/>
          <w:szCs w:val="24"/>
          <w:lang w:val="sq-AL"/>
        </w:rPr>
        <w:t xml:space="preserve">enin 13 së bashku me </w:t>
      </w:r>
      <w:r w:rsidR="001073BE" w:rsidRPr="00E91B0C">
        <w:rPr>
          <w:rFonts w:ascii="Garamond" w:hAnsi="Garamond"/>
          <w:szCs w:val="24"/>
          <w:lang w:val="sq-AL"/>
        </w:rPr>
        <w:t>n</w:t>
      </w:r>
      <w:r w:rsidR="00395112" w:rsidRPr="00E91B0C">
        <w:rPr>
          <w:rFonts w:ascii="Garamond" w:hAnsi="Garamond"/>
          <w:szCs w:val="24"/>
          <w:lang w:val="sq-AL"/>
        </w:rPr>
        <w:t xml:space="preserve">enin 8 të Konventës.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131. Qeveria parashtroi se kërkuesit nuk ishin privuar nga pronat e tyre dhe iu ishte penguar aksesi për të njëjtat arsye si në çështjen </w:t>
      </w:r>
      <w:r w:rsidRPr="00E91B0C">
        <w:rPr>
          <w:rFonts w:ascii="Garamond" w:hAnsi="Garamond"/>
          <w:i/>
          <w:szCs w:val="24"/>
          <w:lang w:val="sq-AL"/>
        </w:rPr>
        <w:t xml:space="preserve">Demades </w:t>
      </w:r>
      <w:r w:rsidRPr="00E91B0C">
        <w:rPr>
          <w:rFonts w:ascii="Garamond" w:hAnsi="Garamond"/>
          <w:szCs w:val="24"/>
          <w:lang w:val="sq-AL"/>
        </w:rPr>
        <w:t>(cituar më sipër), pasi ishin shpronësuar në interesin publik në shkëmbim të kompensimit të drejtë.</w:t>
      </w:r>
      <w:r w:rsidR="00E91B0C">
        <w:rPr>
          <w:rFonts w:ascii="Garamond" w:hAnsi="Garamond"/>
          <w:szCs w:val="24"/>
          <w:lang w:val="sq-AL"/>
        </w:rPr>
        <w:t xml:space="preserve">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Vlerësimi i Gjykatës</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w:t>
      </w:r>
      <w:r w:rsidR="00E4573F">
        <w:rPr>
          <w:rFonts w:ascii="Garamond" w:hAnsi="Garamond"/>
          <w:sz w:val="24"/>
          <w:szCs w:val="24"/>
          <w:lang w:val="sq-AL"/>
        </w:rPr>
        <w:t xml:space="preserve">. </w:t>
      </w:r>
      <w:r w:rsidRPr="00E91B0C">
        <w:rPr>
          <w:rFonts w:ascii="Garamond" w:hAnsi="Garamond"/>
          <w:sz w:val="24"/>
          <w:szCs w:val="24"/>
          <w:lang w:val="sq-AL"/>
        </w:rPr>
        <w:t>Parime të përgjithshme</w:t>
      </w:r>
    </w:p>
    <w:p w:rsidR="00395112" w:rsidRPr="00E91B0C" w:rsidRDefault="00267729" w:rsidP="00395112">
      <w:pPr>
        <w:pStyle w:val="JuPara"/>
        <w:widowControl w:val="0"/>
        <w:rPr>
          <w:rFonts w:ascii="Garamond" w:eastAsia="Times New Roman" w:hAnsi="Garamond"/>
          <w:szCs w:val="24"/>
          <w:lang w:val="sq-AL"/>
        </w:rPr>
      </w:pPr>
      <w:r>
        <w:rPr>
          <w:rFonts w:ascii="Garamond" w:eastAsia="Times New Roman" w:hAnsi="Garamond"/>
          <w:szCs w:val="24"/>
          <w:lang w:val="sq-AL"/>
        </w:rPr>
        <w:lastRenderedPageBreak/>
        <w:t>132</w:t>
      </w:r>
      <w:r w:rsidR="00395112" w:rsidRPr="00E91B0C">
        <w:rPr>
          <w:rFonts w:ascii="Garamond" w:eastAsia="Times New Roman" w:hAnsi="Garamond"/>
          <w:szCs w:val="24"/>
          <w:lang w:val="sq-AL"/>
        </w:rPr>
        <w:t xml:space="preserve">. Gjykata përsërit se </w:t>
      </w:r>
      <w:r w:rsidR="001073BE" w:rsidRPr="00E91B0C">
        <w:rPr>
          <w:rFonts w:ascii="Garamond" w:eastAsia="Times New Roman" w:hAnsi="Garamond"/>
          <w:szCs w:val="24"/>
          <w:lang w:val="sq-AL"/>
        </w:rPr>
        <w:t>neni 1 i protokollit nr. 1, i cili garanton në thelb të drejtën mbi pronën, përfshin tr</w:t>
      </w:r>
      <w:r w:rsidR="003C06FD">
        <w:rPr>
          <w:rFonts w:ascii="Garamond" w:eastAsia="Times New Roman" w:hAnsi="Garamond"/>
          <w:szCs w:val="24"/>
          <w:lang w:val="sq-AL"/>
        </w:rPr>
        <w:t>i</w:t>
      </w:r>
      <w:r w:rsidR="001073BE" w:rsidRPr="00E91B0C">
        <w:rPr>
          <w:rFonts w:ascii="Garamond" w:eastAsia="Times New Roman" w:hAnsi="Garamond"/>
          <w:szCs w:val="24"/>
          <w:lang w:val="sq-AL"/>
        </w:rPr>
        <w:t xml:space="preserve"> rregulla specifik</w:t>
      </w:r>
      <w:r w:rsidR="003C06FD">
        <w:rPr>
          <w:rFonts w:ascii="Garamond" w:eastAsia="Times New Roman" w:hAnsi="Garamond"/>
          <w:szCs w:val="24"/>
          <w:lang w:val="sq-AL"/>
        </w:rPr>
        <w:t>e</w:t>
      </w:r>
      <w:r w:rsidR="001073BE" w:rsidRPr="00E91B0C">
        <w:rPr>
          <w:rFonts w:ascii="Garamond" w:eastAsia="Times New Roman" w:hAnsi="Garamond"/>
          <w:szCs w:val="24"/>
          <w:lang w:val="sq-AL"/>
        </w:rPr>
        <w:t xml:space="preserve">. </w:t>
      </w:r>
      <w:r w:rsidR="006A55AA" w:rsidRPr="00E91B0C">
        <w:rPr>
          <w:rFonts w:ascii="Garamond" w:eastAsia="Times New Roman" w:hAnsi="Garamond"/>
          <w:szCs w:val="24"/>
          <w:lang w:val="sq-AL"/>
        </w:rPr>
        <w:t>Rregull</w:t>
      </w:r>
      <w:r w:rsidR="006A55AA">
        <w:rPr>
          <w:rFonts w:ascii="Garamond" w:eastAsia="Times New Roman" w:hAnsi="Garamond"/>
          <w:szCs w:val="24"/>
          <w:lang w:val="sq-AL"/>
        </w:rPr>
        <w:t>a</w:t>
      </w:r>
      <w:r w:rsidR="006A55AA" w:rsidRPr="00E91B0C">
        <w:rPr>
          <w:rFonts w:ascii="Garamond" w:eastAsia="Times New Roman" w:hAnsi="Garamond"/>
          <w:szCs w:val="24"/>
          <w:lang w:val="sq-AL"/>
        </w:rPr>
        <w:t xml:space="preserve"> </w:t>
      </w:r>
      <w:r w:rsidR="006A55AA">
        <w:rPr>
          <w:rFonts w:ascii="Garamond" w:eastAsia="Times New Roman" w:hAnsi="Garamond"/>
          <w:szCs w:val="24"/>
          <w:lang w:val="sq-AL"/>
        </w:rPr>
        <w:t>e</w:t>
      </w:r>
      <w:r w:rsidR="001073BE" w:rsidRPr="00E91B0C">
        <w:rPr>
          <w:rFonts w:ascii="Garamond" w:eastAsia="Times New Roman" w:hAnsi="Garamond"/>
          <w:szCs w:val="24"/>
          <w:lang w:val="sq-AL"/>
        </w:rPr>
        <w:t xml:space="preserve"> parë, i cili parashikohet </w:t>
      </w:r>
      <w:r w:rsidR="00395112" w:rsidRPr="00E91B0C">
        <w:rPr>
          <w:rFonts w:ascii="Garamond" w:eastAsia="Times New Roman" w:hAnsi="Garamond"/>
          <w:szCs w:val="24"/>
          <w:lang w:val="sq-AL"/>
        </w:rPr>
        <w:t>në fjalinë e parë të paragrafit të parë, është i një natyre të përgjithshme dhe parashtron parimin për gëzimin paqësor të pronës. Rregull</w:t>
      </w:r>
      <w:r w:rsidR="00781175">
        <w:rPr>
          <w:rFonts w:ascii="Garamond" w:eastAsia="Times New Roman" w:hAnsi="Garamond"/>
          <w:szCs w:val="24"/>
          <w:lang w:val="sq-AL"/>
        </w:rPr>
        <w:t>a</w:t>
      </w:r>
      <w:r w:rsidR="00395112" w:rsidRPr="00E91B0C">
        <w:rPr>
          <w:rFonts w:ascii="Garamond" w:eastAsia="Times New Roman" w:hAnsi="Garamond"/>
          <w:szCs w:val="24"/>
          <w:lang w:val="sq-AL"/>
        </w:rPr>
        <w:t xml:space="preserve"> </w:t>
      </w:r>
      <w:r w:rsidR="00781175">
        <w:rPr>
          <w:rFonts w:ascii="Garamond" w:eastAsia="Times New Roman" w:hAnsi="Garamond"/>
          <w:szCs w:val="24"/>
          <w:lang w:val="sq-AL"/>
        </w:rPr>
        <w:t>e</w:t>
      </w:r>
      <w:r w:rsidR="00395112" w:rsidRPr="00E91B0C">
        <w:rPr>
          <w:rFonts w:ascii="Garamond" w:eastAsia="Times New Roman" w:hAnsi="Garamond"/>
          <w:szCs w:val="24"/>
          <w:lang w:val="sq-AL"/>
        </w:rPr>
        <w:t xml:space="preserve"> dytë, i përfshirë në fjalinë e dytë të </w:t>
      </w:r>
      <w:r w:rsidR="006A55AA">
        <w:rPr>
          <w:rFonts w:ascii="Garamond" w:eastAsia="Times New Roman" w:hAnsi="Garamond"/>
          <w:szCs w:val="24"/>
          <w:lang w:val="sq-AL"/>
        </w:rPr>
        <w:t>t</w:t>
      </w:r>
      <w:r w:rsidR="00395112" w:rsidRPr="00E91B0C">
        <w:rPr>
          <w:rFonts w:ascii="Garamond" w:eastAsia="Times New Roman" w:hAnsi="Garamond"/>
          <w:szCs w:val="24"/>
          <w:lang w:val="sq-AL"/>
        </w:rPr>
        <w:t>ë njëjtit paragraf, mbulon privimin nga pasuritë dhe e parashtron sipas disa kushteve. Rregull</w:t>
      </w:r>
      <w:r w:rsidR="00781175">
        <w:rPr>
          <w:rFonts w:ascii="Garamond" w:eastAsia="Times New Roman" w:hAnsi="Garamond"/>
          <w:szCs w:val="24"/>
          <w:lang w:val="sq-AL"/>
        </w:rPr>
        <w:t>a</w:t>
      </w:r>
      <w:r w:rsidR="00395112" w:rsidRPr="00E91B0C">
        <w:rPr>
          <w:rFonts w:ascii="Garamond" w:eastAsia="Times New Roman" w:hAnsi="Garamond"/>
          <w:szCs w:val="24"/>
          <w:lang w:val="sq-AL"/>
        </w:rPr>
        <w:t xml:space="preserve"> </w:t>
      </w:r>
      <w:r w:rsidR="00781175">
        <w:rPr>
          <w:rFonts w:ascii="Garamond" w:eastAsia="Times New Roman" w:hAnsi="Garamond"/>
          <w:szCs w:val="24"/>
          <w:lang w:val="sq-AL"/>
        </w:rPr>
        <w:t>e</w:t>
      </w:r>
      <w:r w:rsidR="00395112" w:rsidRPr="00E91B0C">
        <w:rPr>
          <w:rFonts w:ascii="Garamond" w:eastAsia="Times New Roman" w:hAnsi="Garamond"/>
          <w:szCs w:val="24"/>
          <w:lang w:val="sq-AL"/>
        </w:rPr>
        <w:t xml:space="preserve"> tretë, i parashtruar në paragrafin e dytë, njeh faktin se </w:t>
      </w:r>
      <w:r w:rsidR="00CF528A" w:rsidRPr="00E91B0C">
        <w:rPr>
          <w:rFonts w:ascii="Garamond" w:eastAsia="Times New Roman" w:hAnsi="Garamond"/>
          <w:szCs w:val="24"/>
          <w:lang w:val="sq-AL"/>
        </w:rPr>
        <w:t>shtetet kontraktuale</w:t>
      </w:r>
      <w:r w:rsidR="00395112" w:rsidRPr="00E91B0C">
        <w:rPr>
          <w:rFonts w:ascii="Garamond" w:eastAsia="Times New Roman" w:hAnsi="Garamond"/>
          <w:szCs w:val="24"/>
          <w:lang w:val="sq-AL"/>
        </w:rPr>
        <w:t xml:space="preserve"> kanë të drejtën, midis të tjerash, të kontrollojnë përdorimin e pronës në përputhje me interesin e përgjithshëm, duke i zbatuar të tilla ligje, ashtu siç ato e vlerësojnë të nevojshme për qëllimin. M</w:t>
      </w:r>
      <w:r w:rsidR="006A55AA">
        <w:rPr>
          <w:rFonts w:ascii="Garamond" w:eastAsia="Times New Roman" w:hAnsi="Garamond"/>
          <w:szCs w:val="24"/>
          <w:lang w:val="sq-AL"/>
        </w:rPr>
        <w:t>egjithatë, rregullat nuk janë</w:t>
      </w:r>
      <w:r w:rsidR="00395112" w:rsidRPr="00E91B0C">
        <w:rPr>
          <w:rFonts w:ascii="Garamond" w:eastAsia="Times New Roman" w:hAnsi="Garamond"/>
          <w:szCs w:val="24"/>
          <w:lang w:val="sq-AL"/>
        </w:rPr>
        <w:t xml:space="preserve"> “specifik</w:t>
      </w:r>
      <w:r w:rsidR="006A55AA">
        <w:rPr>
          <w:rFonts w:ascii="Garamond" w:eastAsia="Times New Roman" w:hAnsi="Garamond"/>
          <w:szCs w:val="24"/>
          <w:lang w:val="sq-AL"/>
        </w:rPr>
        <w:t>e</w:t>
      </w:r>
      <w:r w:rsidR="00395112" w:rsidRPr="00E91B0C">
        <w:rPr>
          <w:rFonts w:ascii="Garamond" w:eastAsia="Times New Roman" w:hAnsi="Garamond"/>
          <w:szCs w:val="24"/>
          <w:lang w:val="sq-AL"/>
        </w:rPr>
        <w:t>” në kuptimin që nuk janë të lidhur me njëri-tjetrin. Rregull</w:t>
      </w:r>
      <w:r w:rsidR="00781175">
        <w:rPr>
          <w:rFonts w:ascii="Garamond" w:eastAsia="Times New Roman" w:hAnsi="Garamond"/>
          <w:szCs w:val="24"/>
          <w:lang w:val="sq-AL"/>
        </w:rPr>
        <w:t>a</w:t>
      </w:r>
      <w:r w:rsidR="00395112" w:rsidRPr="00E91B0C">
        <w:rPr>
          <w:rFonts w:ascii="Garamond" w:eastAsia="Times New Roman" w:hAnsi="Garamond"/>
          <w:szCs w:val="24"/>
          <w:lang w:val="sq-AL"/>
        </w:rPr>
        <w:t xml:space="preserve"> </w:t>
      </w:r>
      <w:r w:rsidR="00781175">
        <w:rPr>
          <w:rFonts w:ascii="Garamond" w:eastAsia="Times New Roman" w:hAnsi="Garamond"/>
          <w:szCs w:val="24"/>
          <w:lang w:val="sq-AL"/>
        </w:rPr>
        <w:t>e</w:t>
      </w:r>
      <w:r w:rsidR="00395112" w:rsidRPr="00E91B0C">
        <w:rPr>
          <w:rFonts w:ascii="Garamond" w:eastAsia="Times New Roman" w:hAnsi="Garamond"/>
          <w:szCs w:val="24"/>
          <w:lang w:val="sq-AL"/>
        </w:rPr>
        <w:t xml:space="preserve"> dytë dhe i tretë kanë të bëjnë me shkallë të caktuara ndërhyrje ndaj së drejtës për një gëzim paqësor të pronës dhe për këtë arsye duhet të interpretohet sipas parimit të përgjithshëm të parashtruar në rregull</w:t>
      </w:r>
      <w:r w:rsidR="00781175">
        <w:rPr>
          <w:rFonts w:ascii="Garamond" w:eastAsia="Times New Roman" w:hAnsi="Garamond"/>
          <w:szCs w:val="24"/>
          <w:lang w:val="sq-AL"/>
        </w:rPr>
        <w:t>ë</w:t>
      </w:r>
      <w:r w:rsidR="00395112" w:rsidRPr="00E91B0C">
        <w:rPr>
          <w:rFonts w:ascii="Garamond" w:eastAsia="Times New Roman" w:hAnsi="Garamond"/>
          <w:szCs w:val="24"/>
          <w:lang w:val="sq-AL"/>
        </w:rPr>
        <w:t>n e parë (shih, midis shumë vendimeve të tjer</w:t>
      </w:r>
      <w:r w:rsidR="006A55AA">
        <w:rPr>
          <w:rFonts w:ascii="Garamond" w:eastAsia="Times New Roman" w:hAnsi="Garamond"/>
          <w:szCs w:val="24"/>
          <w:lang w:val="sq-AL"/>
        </w:rPr>
        <w:t>a</w:t>
      </w:r>
      <w:r w:rsidR="00395112" w:rsidRPr="00E91B0C">
        <w:rPr>
          <w:rFonts w:ascii="Garamond" w:eastAsia="Times New Roman" w:hAnsi="Garamond"/>
          <w:szCs w:val="24"/>
          <w:lang w:val="sq-AL"/>
        </w:rPr>
        <w:t xml:space="preserve">, </w:t>
      </w:r>
      <w:r w:rsidR="00395112" w:rsidRPr="00E91B0C">
        <w:rPr>
          <w:rFonts w:ascii="Garamond" w:eastAsia="Times New Roman" w:hAnsi="Garamond"/>
          <w:i/>
          <w:szCs w:val="24"/>
          <w:lang w:val="sq-AL"/>
        </w:rPr>
        <w:t>James dhe të tjerët kundër Mbretërisë së Bashkuar</w:t>
      </w:r>
      <w:r w:rsidR="00395112" w:rsidRPr="00E91B0C">
        <w:rPr>
          <w:rFonts w:ascii="Garamond" w:eastAsia="Times New Roman" w:hAnsi="Garamond"/>
          <w:szCs w:val="24"/>
          <w:lang w:val="sq-AL"/>
        </w:rPr>
        <w:t>, 21 shkurt 1986</w:t>
      </w:r>
      <w:r w:rsidR="008541A0">
        <w:rPr>
          <w:rFonts w:ascii="Garamond" w:eastAsia="Times New Roman" w:hAnsi="Garamond"/>
          <w:szCs w:val="24"/>
          <w:lang w:val="sq-AL"/>
        </w:rPr>
        <w:t>, §</w:t>
      </w:r>
      <w:r w:rsidR="00395112" w:rsidRPr="00E91B0C">
        <w:rPr>
          <w:rFonts w:ascii="Garamond" w:eastAsia="Times New Roman" w:hAnsi="Garamond"/>
          <w:szCs w:val="24"/>
          <w:lang w:val="sq-AL"/>
        </w:rPr>
        <w:t xml:space="preserve">37, </w:t>
      </w:r>
      <w:r w:rsidR="006A55AA" w:rsidRPr="00E91B0C">
        <w:rPr>
          <w:rFonts w:ascii="Garamond" w:eastAsia="Times New Roman" w:hAnsi="Garamond"/>
          <w:szCs w:val="24"/>
          <w:lang w:val="sq-AL"/>
        </w:rPr>
        <w:t xml:space="preserve">seritë </w:t>
      </w:r>
      <w:r w:rsidR="00395112" w:rsidRPr="00E91B0C">
        <w:rPr>
          <w:rFonts w:ascii="Garamond" w:eastAsia="Times New Roman" w:hAnsi="Garamond"/>
          <w:szCs w:val="24"/>
          <w:lang w:val="sq-AL"/>
        </w:rPr>
        <w:t xml:space="preserve">A nr. 98; dhe </w:t>
      </w:r>
      <w:r w:rsidR="00395112" w:rsidRPr="00E91B0C">
        <w:rPr>
          <w:rFonts w:ascii="Garamond" w:eastAsia="Times New Roman" w:hAnsi="Garamond"/>
          <w:i/>
          <w:szCs w:val="24"/>
          <w:lang w:val="sq-AL"/>
        </w:rPr>
        <w:t>Sargsyan kundër Azerbajxhanit</w:t>
      </w:r>
      <w:r w:rsidR="00395112" w:rsidRPr="00E91B0C">
        <w:rPr>
          <w:rFonts w:ascii="Garamond" w:eastAsia="Times New Roman" w:hAnsi="Garamond"/>
          <w:szCs w:val="24"/>
          <w:lang w:val="sq-AL"/>
        </w:rPr>
        <w:t xml:space="preserve"> [DHM], nr. 40167/06</w:t>
      </w:r>
      <w:r w:rsidR="008541A0">
        <w:rPr>
          <w:rFonts w:ascii="Garamond" w:eastAsia="Times New Roman" w:hAnsi="Garamond"/>
          <w:szCs w:val="24"/>
          <w:lang w:val="sq-AL"/>
        </w:rPr>
        <w:t>, §</w:t>
      </w:r>
      <w:r w:rsidR="00395112" w:rsidRPr="00E91B0C">
        <w:rPr>
          <w:rFonts w:ascii="Garamond" w:eastAsia="Times New Roman" w:hAnsi="Garamond"/>
          <w:szCs w:val="24"/>
          <w:lang w:val="sq-AL"/>
        </w:rPr>
        <w:t>217, GJEDNJ 2015).</w:t>
      </w:r>
    </w:p>
    <w:p w:rsidR="00395112" w:rsidRPr="00E91B0C" w:rsidRDefault="00267729" w:rsidP="00395112">
      <w:pPr>
        <w:pStyle w:val="JuPara"/>
        <w:widowControl w:val="0"/>
        <w:rPr>
          <w:rFonts w:ascii="Garamond" w:hAnsi="Garamond"/>
          <w:szCs w:val="24"/>
          <w:lang w:val="sq-AL"/>
        </w:rPr>
      </w:pPr>
      <w:r>
        <w:rPr>
          <w:rFonts w:ascii="Garamond" w:hAnsi="Garamond"/>
          <w:szCs w:val="24"/>
          <w:lang w:val="sq-AL"/>
        </w:rPr>
        <w:t>133</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Kërkesa e parë dhe më e rëndësishme e </w:t>
      </w:r>
      <w:r w:rsidR="001B2C72" w:rsidRPr="00E91B0C">
        <w:rPr>
          <w:rFonts w:ascii="Garamond" w:hAnsi="Garamond"/>
          <w:szCs w:val="24"/>
          <w:lang w:val="sq-AL"/>
        </w:rPr>
        <w:t>nenit 1 të protokollit nr</w:t>
      </w:r>
      <w:r w:rsidR="00395112" w:rsidRPr="00E91B0C">
        <w:rPr>
          <w:rFonts w:ascii="Garamond" w:hAnsi="Garamond"/>
          <w:szCs w:val="24"/>
          <w:lang w:val="sq-AL"/>
        </w:rPr>
        <w:t xml:space="preserve">. 1 është që çdo ndërhyrje nga një autoritet publik në gëzimin paqësor të pasurive duhet të jetë i ligjshëm: fjalia e dytë e paragrafit të parë autorizon një provim nga pasuritë vetëm “sipas kushteve të parashikuara me ligj” dhe paragrafi i dytë njeh faktin që </w:t>
      </w:r>
      <w:r w:rsidR="00DB639E" w:rsidRPr="00E91B0C">
        <w:rPr>
          <w:rFonts w:ascii="Garamond" w:hAnsi="Garamond"/>
          <w:szCs w:val="24"/>
          <w:lang w:val="sq-AL"/>
        </w:rPr>
        <w:t xml:space="preserve">shtetet </w:t>
      </w:r>
      <w:r w:rsidR="00395112" w:rsidRPr="00E91B0C">
        <w:rPr>
          <w:rFonts w:ascii="Garamond" w:hAnsi="Garamond"/>
          <w:szCs w:val="24"/>
          <w:lang w:val="sq-AL"/>
        </w:rPr>
        <w:t xml:space="preserve">kanë të drejtën të kontrollojnë përdorimin e pronës duke zbatuar “ligjet”. Për më tepër, shteti i së drejtës, një nga parimet themelore të një shoqërie demokratike, është i pandarë në të gjitha </w:t>
      </w:r>
      <w:r w:rsidR="001073BE" w:rsidRPr="00E91B0C">
        <w:rPr>
          <w:rFonts w:ascii="Garamond" w:hAnsi="Garamond"/>
          <w:szCs w:val="24"/>
          <w:lang w:val="sq-AL"/>
        </w:rPr>
        <w:t>n</w:t>
      </w:r>
      <w:r w:rsidR="00395112" w:rsidRPr="00E91B0C">
        <w:rPr>
          <w:rFonts w:ascii="Garamond" w:hAnsi="Garamond"/>
          <w:szCs w:val="24"/>
          <w:lang w:val="sq-AL"/>
        </w:rPr>
        <w:t>enet e Konventës. Ai parashikon se çështja nëse është arritur një balancë e drejtë midis kërkesës së interesit të përgjithshëm të komunitetit dhe kërkesave për mbrojtjen e të drejtave themelore të individit, lidhet me situatën sapo konstatohet se ndërhyrja konkrete ka plotësuar kërkesën e ligjshmërisë dhe nuk ka qenë arbitrare (shih, midis shumë vendimeve të tjer</w:t>
      </w:r>
      <w:r w:rsidR="00DB639E">
        <w:rPr>
          <w:rFonts w:ascii="Garamond" w:hAnsi="Garamond"/>
          <w:szCs w:val="24"/>
          <w:lang w:val="sq-AL"/>
        </w:rPr>
        <w:t>a</w:t>
      </w:r>
      <w:r w:rsidR="00395112" w:rsidRPr="00E91B0C">
        <w:rPr>
          <w:rFonts w:ascii="Garamond" w:hAnsi="Garamond"/>
          <w:szCs w:val="24"/>
          <w:lang w:val="sq-AL"/>
        </w:rPr>
        <w:t xml:space="preserve">, </w:t>
      </w:r>
      <w:r w:rsidR="00395112" w:rsidRPr="00E91B0C">
        <w:rPr>
          <w:rFonts w:ascii="Garamond" w:hAnsi="Garamond"/>
          <w:i/>
          <w:szCs w:val="24"/>
          <w:lang w:val="sq-AL"/>
        </w:rPr>
        <w:t>Serkov kundër Ukrainës</w:t>
      </w:r>
      <w:r w:rsidR="00395112" w:rsidRPr="00E91B0C">
        <w:rPr>
          <w:rFonts w:ascii="Garamond" w:hAnsi="Garamond"/>
          <w:szCs w:val="24"/>
          <w:lang w:val="sq-AL"/>
        </w:rPr>
        <w:t>, nr. 39766/05</w:t>
      </w:r>
      <w:r w:rsidR="008541A0">
        <w:rPr>
          <w:rFonts w:ascii="Garamond" w:hAnsi="Garamond"/>
          <w:szCs w:val="24"/>
          <w:lang w:val="sq-AL"/>
        </w:rPr>
        <w:t>, §</w:t>
      </w:r>
      <w:r w:rsidR="00395112" w:rsidRPr="00E91B0C">
        <w:rPr>
          <w:rFonts w:ascii="Garamond" w:hAnsi="Garamond"/>
          <w:szCs w:val="24"/>
          <w:lang w:val="sq-AL"/>
        </w:rPr>
        <w:t>33, 7 korrik 2011).</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ii</w:t>
      </w:r>
      <w:r w:rsidR="00E4573F">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Kërkesa në çështjen konkrete</w:t>
      </w:r>
    </w:p>
    <w:p w:rsidR="00395112" w:rsidRPr="00E91B0C" w:rsidRDefault="00267729" w:rsidP="00395112">
      <w:pPr>
        <w:pStyle w:val="JuPara"/>
        <w:widowControl w:val="0"/>
        <w:rPr>
          <w:rFonts w:ascii="Garamond" w:hAnsi="Garamond"/>
          <w:szCs w:val="24"/>
          <w:lang w:val="sq-AL"/>
        </w:rPr>
      </w:pPr>
      <w:r>
        <w:rPr>
          <w:rFonts w:ascii="Garamond" w:hAnsi="Garamond"/>
          <w:szCs w:val="24"/>
          <w:lang w:val="sq-AL"/>
        </w:rPr>
        <w:t>134</w:t>
      </w:r>
      <w:r w:rsidR="00395112" w:rsidRPr="00E91B0C">
        <w:rPr>
          <w:rFonts w:ascii="Garamond" w:hAnsi="Garamond"/>
          <w:szCs w:val="24"/>
          <w:lang w:val="sq-AL"/>
        </w:rPr>
        <w:t xml:space="preserve">. Gjykata vëren se, ashtu siç përcaktohet nga gjykatat </w:t>
      </w:r>
      <w:r w:rsidR="003C06FD">
        <w:rPr>
          <w:rFonts w:ascii="Garamond" w:hAnsi="Garamond"/>
          <w:szCs w:val="24"/>
          <w:lang w:val="sq-AL"/>
        </w:rPr>
        <w:t>vendës</w:t>
      </w:r>
      <w:r w:rsidR="00395112" w:rsidRPr="00E91B0C">
        <w:rPr>
          <w:rFonts w:ascii="Garamond" w:hAnsi="Garamond"/>
          <w:szCs w:val="24"/>
          <w:lang w:val="sq-AL"/>
        </w:rPr>
        <w:t xml:space="preserve">e, si pasojë e faktit se kërkuesve iu ishte refuzuar aksesi në pronat e tyre për një periudhë njëmujore, nga data 3 nëntor deri </w:t>
      </w:r>
      <w:r w:rsidR="00564BFA">
        <w:rPr>
          <w:rFonts w:ascii="Garamond" w:hAnsi="Garamond"/>
          <w:szCs w:val="24"/>
          <w:lang w:val="sq-AL"/>
        </w:rPr>
        <w:t>m</w:t>
      </w:r>
      <w:r w:rsidR="00395112" w:rsidRPr="00E91B0C">
        <w:rPr>
          <w:rFonts w:ascii="Garamond" w:hAnsi="Garamond"/>
          <w:szCs w:val="24"/>
          <w:lang w:val="sq-AL"/>
        </w:rPr>
        <w:t>ë 4 dhjetor 2013, ata humbën efektivisht kontrollin e plotë mbi pronat e tyre</w:t>
      </w:r>
      <w:r w:rsidR="00896E0E">
        <w:rPr>
          <w:rFonts w:ascii="Garamond" w:hAnsi="Garamond"/>
          <w:szCs w:val="24"/>
          <w:lang w:val="sq-AL"/>
        </w:rPr>
        <w:t>,</w:t>
      </w:r>
      <w:r w:rsidR="00395112" w:rsidRPr="00E91B0C">
        <w:rPr>
          <w:rFonts w:ascii="Garamond" w:hAnsi="Garamond"/>
          <w:szCs w:val="24"/>
          <w:lang w:val="sq-AL"/>
        </w:rPr>
        <w:t xml:space="preserve"> si edhe mundësinë për t’i përdorur dhe për t’i gëzuar ato. Mohimi i vazhdueshëm i aksesit për një periudhë njëmujore, kësisoj, duhet të konsiderohet si një ndërhyrje në të drejtat e tyre sipas </w:t>
      </w:r>
      <w:r w:rsidR="001073BE" w:rsidRPr="00E91B0C">
        <w:rPr>
          <w:rFonts w:ascii="Garamond" w:hAnsi="Garamond"/>
          <w:szCs w:val="24"/>
          <w:lang w:val="sq-AL"/>
        </w:rPr>
        <w:t xml:space="preserve">nenit 1 të protokollit nr. </w:t>
      </w:r>
      <w:r w:rsidR="00395112" w:rsidRPr="00E91B0C">
        <w:rPr>
          <w:rFonts w:ascii="Garamond" w:hAnsi="Garamond"/>
          <w:szCs w:val="24"/>
          <w:lang w:val="sq-AL"/>
        </w:rPr>
        <w:t xml:space="preserve">1. Një ndërhyrje e tillë, në pikëpamjen e faktit, se masat u ndërmorën me qëllimin për shembjen e Rezidencës Jon, nga data 4 deri </w:t>
      </w:r>
      <w:r w:rsidR="00564BFA">
        <w:rPr>
          <w:rFonts w:ascii="Garamond" w:hAnsi="Garamond"/>
          <w:szCs w:val="24"/>
          <w:lang w:val="sq-AL"/>
        </w:rPr>
        <w:t>m</w:t>
      </w:r>
      <w:r w:rsidR="00395112" w:rsidRPr="00E91B0C">
        <w:rPr>
          <w:rFonts w:ascii="Garamond" w:hAnsi="Garamond"/>
          <w:szCs w:val="24"/>
          <w:lang w:val="sq-AL"/>
        </w:rPr>
        <w:t>ë 8 dhjetor 2013,</w:t>
      </w:r>
      <w:r w:rsidR="00E91B0C">
        <w:rPr>
          <w:rFonts w:ascii="Garamond" w:hAnsi="Garamond"/>
          <w:szCs w:val="24"/>
          <w:lang w:val="sq-AL"/>
        </w:rPr>
        <w:t xml:space="preserve"> </w:t>
      </w:r>
      <w:r w:rsidR="00395112" w:rsidRPr="00E91B0C">
        <w:rPr>
          <w:rFonts w:ascii="Garamond" w:hAnsi="Garamond"/>
          <w:szCs w:val="24"/>
          <w:lang w:val="sq-AL"/>
        </w:rPr>
        <w:t xml:space="preserve">përkon qartazi me kuptimin e fjalisë së parë të fjalisë së parë të atij parashikimi, si një ndërhyrje ndaj gëzimit paqësor të pasurive. Bazuar në arsyet e dhëna nga gjykatat e brendshme, Gjykata vëren se </w:t>
      </w:r>
      <w:r w:rsidR="0018461E" w:rsidRPr="00E91B0C">
        <w:rPr>
          <w:rFonts w:ascii="Garamond" w:hAnsi="Garamond"/>
          <w:szCs w:val="24"/>
          <w:lang w:val="sq-AL"/>
        </w:rPr>
        <w:t>q</w:t>
      </w:r>
      <w:r w:rsidR="00395112" w:rsidRPr="00E91B0C">
        <w:rPr>
          <w:rFonts w:ascii="Garamond" w:hAnsi="Garamond"/>
          <w:szCs w:val="24"/>
          <w:lang w:val="sq-AL"/>
        </w:rPr>
        <w:t xml:space="preserve">everia nuk parashtroi ndonjë justifikim ligjor çfarëdo qoftë për këtë ndërhyrje. Gjykata konstaton, ashtu siç ndodhi me </w:t>
      </w:r>
      <w:r w:rsidR="001073BE" w:rsidRPr="00E91B0C">
        <w:rPr>
          <w:rFonts w:ascii="Garamond" w:hAnsi="Garamond"/>
          <w:szCs w:val="24"/>
          <w:lang w:val="sq-AL"/>
        </w:rPr>
        <w:t>ne</w:t>
      </w:r>
      <w:r w:rsidR="00395112" w:rsidRPr="00E91B0C">
        <w:rPr>
          <w:rFonts w:ascii="Garamond" w:hAnsi="Garamond"/>
          <w:szCs w:val="24"/>
          <w:lang w:val="sq-AL"/>
        </w:rPr>
        <w:t xml:space="preserve">nin 8 të Konventës më sipër, se konfiskimi dhe rrethimi i Rezidencës Jon me shirit të verdhë të policisë, dhe ndalimi i kërkuesve që të përdornin pronat e tyre për rreth një muaj, nuk ishin të ligjshme sipas ligjit të brendshëm, sepse autoritetet nuk e respektuan urdhrin e përkohshëm të lëshuar nga gjykatat e brendshme.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135. Për arsyet e mësipërme, Gjykata arriti në përfundimin se ishte shkelur </w:t>
      </w:r>
      <w:r w:rsidR="00CF528A" w:rsidRPr="00E91B0C">
        <w:rPr>
          <w:rFonts w:ascii="Garamond" w:hAnsi="Garamond"/>
          <w:szCs w:val="24"/>
          <w:lang w:val="sq-AL"/>
        </w:rPr>
        <w:t xml:space="preserve">neni 1 i protokollit nr. </w:t>
      </w:r>
      <w:r w:rsidRPr="00E91B0C">
        <w:rPr>
          <w:rFonts w:ascii="Garamond" w:hAnsi="Garamond"/>
          <w:szCs w:val="24"/>
          <w:lang w:val="sq-AL"/>
        </w:rPr>
        <w:t xml:space="preserve">1 të Konventës.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136. Për sa i përket ankesës sipas </w:t>
      </w:r>
      <w:r w:rsidR="00CF528A" w:rsidRPr="00E91B0C">
        <w:rPr>
          <w:rFonts w:ascii="Garamond" w:hAnsi="Garamond"/>
          <w:szCs w:val="24"/>
          <w:lang w:val="sq-AL"/>
        </w:rPr>
        <w:t>nenit 13 së bashku me nenin 1 të protokollit n</w:t>
      </w:r>
      <w:r w:rsidRPr="00E91B0C">
        <w:rPr>
          <w:rFonts w:ascii="Garamond" w:hAnsi="Garamond"/>
          <w:szCs w:val="24"/>
          <w:lang w:val="sq-AL"/>
        </w:rPr>
        <w:t>r. 1 të Konventë</w:t>
      </w:r>
      <w:r w:rsidR="00564BFA">
        <w:rPr>
          <w:rFonts w:ascii="Garamond" w:hAnsi="Garamond"/>
          <w:szCs w:val="24"/>
          <w:lang w:val="sq-AL"/>
        </w:rPr>
        <w:t>s</w:t>
      </w:r>
      <w:r w:rsidRPr="00E91B0C">
        <w:rPr>
          <w:rFonts w:ascii="Garamond" w:hAnsi="Garamond"/>
          <w:szCs w:val="24"/>
          <w:lang w:val="sq-AL"/>
        </w:rPr>
        <w:t>, Gjykata vëren s</w:t>
      </w:r>
      <w:r w:rsidR="00564BFA">
        <w:rPr>
          <w:rFonts w:ascii="Garamond" w:hAnsi="Garamond"/>
          <w:szCs w:val="24"/>
          <w:lang w:val="sq-AL"/>
        </w:rPr>
        <w:t>e</w:t>
      </w:r>
      <w:r w:rsidRPr="00E91B0C">
        <w:rPr>
          <w:rFonts w:ascii="Garamond" w:hAnsi="Garamond"/>
          <w:szCs w:val="24"/>
          <w:lang w:val="sq-AL"/>
        </w:rPr>
        <w:t xml:space="preserve"> kërkuesve nuk iu akordua ndonjë kompensim nga gjykatat e brendshme për kompensimin e godinës. Kërkuesit, kësisoj, nuk patën në dispozicion ndonjë mjet efikas për qëllimet e </w:t>
      </w:r>
      <w:r w:rsidR="001073BE" w:rsidRPr="00E91B0C">
        <w:rPr>
          <w:rFonts w:ascii="Garamond" w:hAnsi="Garamond"/>
          <w:szCs w:val="24"/>
          <w:lang w:val="sq-AL"/>
        </w:rPr>
        <w:t>n</w:t>
      </w:r>
      <w:r w:rsidRPr="00E91B0C">
        <w:rPr>
          <w:rFonts w:ascii="Garamond" w:hAnsi="Garamond"/>
          <w:szCs w:val="24"/>
          <w:lang w:val="sq-AL"/>
        </w:rPr>
        <w:t xml:space="preserve">enit 13 të Konventës. Në këto rrethana, Gjykata arrin në përfundimin se është shkelur </w:t>
      </w:r>
      <w:r w:rsidR="001073BE" w:rsidRPr="00E91B0C">
        <w:rPr>
          <w:rFonts w:ascii="Garamond" w:hAnsi="Garamond"/>
          <w:szCs w:val="24"/>
          <w:lang w:val="sq-AL"/>
        </w:rPr>
        <w:t>n</w:t>
      </w:r>
      <w:r w:rsidRPr="00E91B0C">
        <w:rPr>
          <w:rFonts w:ascii="Garamond" w:hAnsi="Garamond"/>
          <w:szCs w:val="24"/>
          <w:lang w:val="sq-AL"/>
        </w:rPr>
        <w:t xml:space="preserve">eni 13 së bashku me nenin 1 </w:t>
      </w:r>
      <w:r w:rsidR="001073BE" w:rsidRPr="00E91B0C">
        <w:rPr>
          <w:rFonts w:ascii="Garamond" w:hAnsi="Garamond"/>
          <w:szCs w:val="24"/>
          <w:lang w:val="sq-AL"/>
        </w:rPr>
        <w:t>të protokollit nr</w:t>
      </w:r>
      <w:r w:rsidRPr="00E91B0C">
        <w:rPr>
          <w:rFonts w:ascii="Garamond" w:hAnsi="Garamond"/>
          <w:szCs w:val="24"/>
          <w:lang w:val="sq-AL"/>
        </w:rPr>
        <w:t>. 1 të Konventës.</w:t>
      </w:r>
      <w:r w:rsidR="00E91B0C">
        <w:rPr>
          <w:rFonts w:ascii="Garamond" w:hAnsi="Garamond"/>
          <w:szCs w:val="24"/>
          <w:lang w:val="sq-AL"/>
        </w:rPr>
        <w:t xml:space="preserve"> </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59" w:name="_Toc520459359"/>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Ankesa në lidhje me shpronësimin dhe shembjen e pronës</w:t>
      </w:r>
      <w:bookmarkEnd w:id="59"/>
      <w:r w:rsidR="00E91B0C">
        <w:rPr>
          <w:rFonts w:ascii="Garamond" w:hAnsi="Garamond"/>
          <w:szCs w:val="24"/>
          <w:lang w:val="sq-AL"/>
        </w:rPr>
        <w:t xml:space="preserve">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60" w:name="_Toc520459360"/>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Pranueshmëria</w:t>
      </w:r>
      <w:bookmarkEnd w:id="60"/>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bidi="en-US"/>
        </w:rPr>
      </w:pPr>
      <w:r w:rsidRPr="00E91B0C">
        <w:rPr>
          <w:rFonts w:ascii="Garamond" w:hAnsi="Garamond"/>
          <w:sz w:val="24"/>
          <w:szCs w:val="24"/>
          <w:lang w:val="sq-AL" w:bidi="en-US"/>
        </w:rPr>
        <w:t>a)</w:t>
      </w:r>
      <w:r w:rsidR="00E91B0C">
        <w:rPr>
          <w:rFonts w:ascii="Garamond" w:hAnsi="Garamond"/>
          <w:sz w:val="24"/>
          <w:szCs w:val="24"/>
          <w:lang w:val="sq-AL" w:bidi="en-US"/>
        </w:rPr>
        <w:t xml:space="preserve"> </w:t>
      </w:r>
      <w:r w:rsidRPr="00E91B0C">
        <w:rPr>
          <w:rFonts w:ascii="Garamond" w:hAnsi="Garamond"/>
          <w:sz w:val="24"/>
          <w:szCs w:val="24"/>
          <w:lang w:val="sq-AL" w:bidi="en-US"/>
        </w:rPr>
        <w:t>Nëse kërkuesit kanë shfrytëzuar mjetet e brendshme</w:t>
      </w:r>
      <w:r w:rsidR="00E91B0C">
        <w:rPr>
          <w:rFonts w:ascii="Garamond" w:hAnsi="Garamond"/>
          <w:sz w:val="24"/>
          <w:szCs w:val="24"/>
          <w:lang w:val="sq-AL" w:bidi="en-US"/>
        </w:rPr>
        <w:t xml:space="preserve"> </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bidi="en-US"/>
        </w:rPr>
      </w:pPr>
      <w:r w:rsidRPr="00E91B0C">
        <w:rPr>
          <w:rFonts w:ascii="Garamond" w:hAnsi="Garamond"/>
          <w:sz w:val="24"/>
          <w:szCs w:val="24"/>
          <w:lang w:val="sq-AL" w:bidi="en-US"/>
        </w:rPr>
        <w:t>i</w:t>
      </w:r>
      <w:r w:rsidR="00E4573F">
        <w:rPr>
          <w:rFonts w:ascii="Garamond" w:hAnsi="Garamond"/>
          <w:sz w:val="24"/>
          <w:szCs w:val="24"/>
          <w:lang w:val="sq-AL" w:bidi="en-US"/>
        </w:rPr>
        <w:t>.</w:t>
      </w:r>
      <w:r w:rsidR="00E91B0C">
        <w:rPr>
          <w:rFonts w:ascii="Garamond" w:hAnsi="Garamond"/>
          <w:sz w:val="24"/>
          <w:szCs w:val="24"/>
          <w:lang w:val="sq-AL" w:bidi="en-US"/>
        </w:rPr>
        <w:t xml:space="preserve"> </w:t>
      </w:r>
      <w:r w:rsidRPr="00E91B0C">
        <w:rPr>
          <w:rFonts w:ascii="Garamond" w:hAnsi="Garamond"/>
          <w:sz w:val="24"/>
          <w:szCs w:val="24"/>
          <w:lang w:val="sq-AL" w:bidi="en-US"/>
        </w:rPr>
        <w:t xml:space="preserve">Parashtrimet e </w:t>
      </w:r>
      <w:r w:rsidR="0018461E" w:rsidRPr="00E91B0C">
        <w:rPr>
          <w:rFonts w:ascii="Garamond" w:hAnsi="Garamond"/>
          <w:sz w:val="24"/>
          <w:szCs w:val="24"/>
          <w:lang w:val="sq-AL" w:bidi="en-US"/>
        </w:rPr>
        <w:t>q</w:t>
      </w:r>
      <w:r w:rsidRPr="00E91B0C">
        <w:rPr>
          <w:rFonts w:ascii="Garamond" w:hAnsi="Garamond"/>
          <w:sz w:val="24"/>
          <w:szCs w:val="24"/>
          <w:lang w:val="sq-AL" w:bidi="en-US"/>
        </w:rPr>
        <w:t>everisë</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137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Qeveria parashtroi se ankesa e kërkuesve e mbetur pezull në Gjykatën e Lartë ishte një mjet efikas. Sipas nenit 479 të KPC</w:t>
      </w:r>
      <w:r w:rsidR="001073BE">
        <w:rPr>
          <w:rFonts w:ascii="Garamond" w:hAnsi="Garamond"/>
          <w:szCs w:val="24"/>
          <w:lang w:val="sq-AL"/>
        </w:rPr>
        <w:t>-së</w:t>
      </w:r>
      <w:r w:rsidR="00395112" w:rsidRPr="00E91B0C">
        <w:rPr>
          <w:rFonts w:ascii="Garamond" w:hAnsi="Garamond"/>
          <w:szCs w:val="24"/>
          <w:lang w:val="sq-AL"/>
        </w:rPr>
        <w:t xml:space="preserve">, procedimet ishin pezulluar për arsyen se </w:t>
      </w:r>
      <w:r w:rsidR="00CC6968" w:rsidRPr="00E91B0C">
        <w:rPr>
          <w:rFonts w:ascii="Garamond" w:hAnsi="Garamond"/>
          <w:szCs w:val="24"/>
          <w:lang w:val="sq-AL"/>
        </w:rPr>
        <w:t xml:space="preserve">shteti </w:t>
      </w:r>
      <w:r w:rsidR="00395112" w:rsidRPr="00E91B0C">
        <w:rPr>
          <w:rFonts w:ascii="Garamond" w:hAnsi="Garamond"/>
          <w:szCs w:val="24"/>
          <w:lang w:val="sq-AL"/>
        </w:rPr>
        <w:t>nuk kishte mundur të paguante të gjithë kompensimin menjëherë. Qeveria parashtroi se Këshilli i Ministrave kishte miratuar vendimin e datës 5 shkurt 2014, për të ndaluar akumulimin e borxheve financiare</w:t>
      </w:r>
      <w:r w:rsidR="00CC6968">
        <w:rPr>
          <w:rFonts w:ascii="Garamond" w:hAnsi="Garamond"/>
          <w:szCs w:val="24"/>
          <w:lang w:val="sq-AL"/>
        </w:rPr>
        <w:t>,</w:t>
      </w:r>
      <w:r w:rsidR="00395112" w:rsidRPr="00E91B0C">
        <w:rPr>
          <w:rFonts w:ascii="Garamond" w:hAnsi="Garamond"/>
          <w:szCs w:val="24"/>
          <w:lang w:val="sq-AL"/>
        </w:rPr>
        <w:t xml:space="preserve"> të cilat rridhnin nga vendimet gjyqësore dhe planifikimi i duhur i pagesës së tyre. Sipas vendimit </w:t>
      </w:r>
      <w:r w:rsidR="00395112" w:rsidRPr="00E91B0C">
        <w:rPr>
          <w:rFonts w:ascii="Garamond" w:hAnsi="Garamond"/>
          <w:i/>
          <w:szCs w:val="24"/>
          <w:lang w:val="sq-AL"/>
        </w:rPr>
        <w:t xml:space="preserve">Gjyli </w:t>
      </w:r>
      <w:r w:rsidR="00395112" w:rsidRPr="00E91B0C">
        <w:rPr>
          <w:rFonts w:ascii="Garamond" w:hAnsi="Garamond"/>
          <w:szCs w:val="24"/>
          <w:lang w:val="sq-AL"/>
        </w:rPr>
        <w:t xml:space="preserve">(cituar më sipër) dhe </w:t>
      </w:r>
      <w:r w:rsidR="001073BE" w:rsidRPr="00E91B0C">
        <w:rPr>
          <w:rFonts w:ascii="Garamond" w:hAnsi="Garamond"/>
          <w:szCs w:val="24"/>
          <w:lang w:val="sq-AL"/>
        </w:rPr>
        <w:t xml:space="preserve">nenit </w:t>
      </w:r>
      <w:r w:rsidR="00395112" w:rsidRPr="00E91B0C">
        <w:rPr>
          <w:rFonts w:ascii="Garamond" w:hAnsi="Garamond"/>
          <w:szCs w:val="24"/>
          <w:lang w:val="sq-AL"/>
        </w:rPr>
        <w:t>479 të KPC</w:t>
      </w:r>
      <w:r w:rsidR="001073BE">
        <w:rPr>
          <w:rFonts w:ascii="Garamond" w:hAnsi="Garamond"/>
          <w:szCs w:val="24"/>
          <w:lang w:val="sq-AL"/>
        </w:rPr>
        <w:t>-së</w:t>
      </w:r>
      <w:r w:rsidR="00395112" w:rsidRPr="00E91B0C">
        <w:rPr>
          <w:rFonts w:ascii="Garamond" w:hAnsi="Garamond"/>
          <w:szCs w:val="24"/>
          <w:lang w:val="sq-AL"/>
        </w:rPr>
        <w:t xml:space="preserve">, vendimi i formës së prerë për kompensimin do të ishte vendimi i Gjykatës së Lartë. Gjithashtu, </w:t>
      </w:r>
      <w:r w:rsidR="0018461E" w:rsidRPr="00E91B0C">
        <w:rPr>
          <w:rFonts w:ascii="Garamond" w:hAnsi="Garamond"/>
          <w:szCs w:val="24"/>
          <w:lang w:val="sq-AL"/>
        </w:rPr>
        <w:t>q</w:t>
      </w:r>
      <w:r w:rsidR="00395112" w:rsidRPr="00E91B0C">
        <w:rPr>
          <w:rFonts w:ascii="Garamond" w:hAnsi="Garamond"/>
          <w:szCs w:val="24"/>
          <w:lang w:val="sq-AL"/>
        </w:rPr>
        <w:t xml:space="preserve">everia parashtroi praktikën gjyqësore të brendshme, sipas së cilës procedimet ligjore </w:t>
      </w:r>
      <w:r w:rsidR="00395112" w:rsidRPr="00E91B0C">
        <w:rPr>
          <w:rFonts w:ascii="Garamond" w:hAnsi="Garamond"/>
          <w:szCs w:val="24"/>
          <w:lang w:val="sq-AL"/>
        </w:rPr>
        <w:lastRenderedPageBreak/>
        <w:t>për të kundërshtuar shumën e kompensimit kishin qenë të suksesshme në nivel të brendshëm (shih paragrafin 56 më sipër). Procedimet përpara Gjykatës së lartë nuk ishin tejzgjatur, duke marrë parasysh kompleksitetin e çështjes, nevojën për të thirrur ekspertë të ndryshëm për vlerësimin e pronës dhe vonesat (</w:t>
      </w:r>
      <w:r w:rsidR="00395112" w:rsidRPr="00E4573F">
        <w:rPr>
          <w:rFonts w:ascii="Garamond" w:hAnsi="Garamond"/>
          <w:i/>
          <w:szCs w:val="24"/>
          <w:lang w:val="sq-AL"/>
        </w:rPr>
        <w:t>backlog</w:t>
      </w:r>
      <w:r w:rsidR="00395112" w:rsidRPr="00E91B0C">
        <w:rPr>
          <w:rFonts w:ascii="Garamond" w:hAnsi="Garamond"/>
          <w:szCs w:val="24"/>
          <w:lang w:val="sq-AL"/>
        </w:rPr>
        <w:t>-un) përpara saj. Më tej, u parashtrua s</w:t>
      </w:r>
      <w:r w:rsidR="00CC6968">
        <w:rPr>
          <w:rFonts w:ascii="Garamond" w:hAnsi="Garamond"/>
          <w:szCs w:val="24"/>
          <w:lang w:val="sq-AL"/>
        </w:rPr>
        <w:t>e</w:t>
      </w:r>
      <w:r w:rsidR="00395112" w:rsidRPr="00E91B0C">
        <w:rPr>
          <w:rFonts w:ascii="Garamond" w:hAnsi="Garamond"/>
          <w:szCs w:val="24"/>
          <w:lang w:val="sq-AL"/>
        </w:rPr>
        <w:t xml:space="preserve"> autoritetet shqiptare, nën një reformë në proces në sistemin e drejtësisë, po merrnin masa për të adresuar kohëzgjatjen e procedimeve gjyqësore në nivel të brendshëm. </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138</w:t>
      </w:r>
      <w:r w:rsidR="00395112" w:rsidRPr="00E91B0C">
        <w:rPr>
          <w:rFonts w:ascii="Garamond" w:hAnsi="Garamond"/>
          <w:szCs w:val="24"/>
          <w:lang w:val="sq-AL"/>
        </w:rPr>
        <w:t xml:space="preserve">. Në parashtrimet e saj verbale, </w:t>
      </w:r>
      <w:r w:rsidR="0018461E" w:rsidRPr="00E91B0C">
        <w:rPr>
          <w:rFonts w:ascii="Garamond" w:hAnsi="Garamond"/>
          <w:szCs w:val="24"/>
          <w:lang w:val="sq-AL"/>
        </w:rPr>
        <w:t>q</w:t>
      </w:r>
      <w:r w:rsidR="00395112" w:rsidRPr="00E91B0C">
        <w:rPr>
          <w:rFonts w:ascii="Garamond" w:hAnsi="Garamond"/>
          <w:szCs w:val="24"/>
          <w:lang w:val="sq-AL"/>
        </w:rPr>
        <w:t>everia theksoi se kërkuesit nuk kishin kërkuar kompensim nga autoritetet e brendshme, mbështetur në vendimin e Këshillit të Ministrave të datës 27 nëntor 2013, ndryshuar me vendimin e datës 9 prill 2014, i cili deri më tani ka qenë i vetmi vendim i zbatueshëm në nivel të brendshëm. Vlera e shpronësimit iu ishte bërë e disponueshme kërkuesve për tre vjet, por ata nuk kishin deklaruar se në cilën llogari bankare duhej të transferohej shuma. Kompensimi shtesë nuk ishte dhënë ende me anë të një vendimi të formës së prerë.</w:t>
      </w:r>
      <w:r w:rsidR="00E91B0C">
        <w:rPr>
          <w:rFonts w:ascii="Garamond" w:hAnsi="Garamond"/>
          <w:szCs w:val="24"/>
          <w:lang w:val="sq-AL"/>
        </w:rPr>
        <w:t xml:space="preserve"> </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139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Gjithashtu, kërkuesit kishin pasur në dispozicion mjetet në vijim: kërkesat për të drejtat mbi pronën, kërkesat për pronësi dhe kërkesat mbështetur në </w:t>
      </w:r>
      <w:r w:rsidR="00536F0E" w:rsidRPr="00E91B0C">
        <w:rPr>
          <w:rFonts w:ascii="Garamond" w:hAnsi="Garamond"/>
          <w:szCs w:val="24"/>
          <w:lang w:val="sq-AL"/>
        </w:rPr>
        <w:t>aktin e inspektimit të ndërtesave</w:t>
      </w:r>
      <w:r w:rsidR="00395112" w:rsidRPr="00E91B0C">
        <w:rPr>
          <w:rFonts w:ascii="Garamond" w:hAnsi="Garamond"/>
          <w:szCs w:val="24"/>
          <w:lang w:val="sq-AL"/>
        </w:rPr>
        <w:t xml:space="preserve">, të cilat ishin të gjitha kompensuese.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140. Më tej, </w:t>
      </w:r>
      <w:r w:rsidR="0018461E" w:rsidRPr="00E91B0C">
        <w:rPr>
          <w:rFonts w:ascii="Garamond" w:hAnsi="Garamond"/>
          <w:szCs w:val="24"/>
          <w:lang w:val="sq-AL"/>
        </w:rPr>
        <w:t>q</w:t>
      </w:r>
      <w:r w:rsidRPr="00E91B0C">
        <w:rPr>
          <w:rFonts w:ascii="Garamond" w:hAnsi="Garamond"/>
          <w:szCs w:val="24"/>
          <w:lang w:val="sq-AL"/>
        </w:rPr>
        <w:t xml:space="preserve">everia parashtroi se kërkuesit nuk kishin kundërshtuar përpara gjykatave </w:t>
      </w:r>
      <w:r w:rsidR="003C06FD">
        <w:rPr>
          <w:rFonts w:ascii="Garamond" w:hAnsi="Garamond"/>
          <w:szCs w:val="24"/>
          <w:lang w:val="sq-AL"/>
        </w:rPr>
        <w:t>vendës</w:t>
      </w:r>
      <w:r w:rsidRPr="00E91B0C">
        <w:rPr>
          <w:rFonts w:ascii="Garamond" w:hAnsi="Garamond"/>
          <w:szCs w:val="24"/>
          <w:lang w:val="sq-AL"/>
        </w:rPr>
        <w:t xml:space="preserve">e vendimin për shembjen e Rezidencës Jon. Ata mund të kishin kërkuar një urdhër të përkohshëm për pezullimin e shembjes së godinës, duke qenë se kishin dijeni për shembjen që prej të paktën datës 27 nëntor 2013, data e vendimit të Këshillit të Ministrave, ose ndryshe, që prej datës 28 nëntor 2013, kur Kryeministri deklaroi se projekti i Lungomares do të ndërtohej, ose prej datës 3 dhjetor 2013, kur u publikua vendimi i Këshillit të Ministrave, deri më 8 dhjetor 2013, kur ishte shembur godina. Për më tepër, kërkuesit nuk kundërshtuan shpronësimin e pretenduar </w:t>
      </w:r>
      <w:r w:rsidRPr="00E91B0C">
        <w:rPr>
          <w:rFonts w:ascii="Garamond" w:hAnsi="Garamond"/>
          <w:i/>
          <w:szCs w:val="24"/>
          <w:lang w:val="sq-AL"/>
        </w:rPr>
        <w:t>de facto</w:t>
      </w:r>
      <w:r w:rsidRPr="00E91B0C">
        <w:rPr>
          <w:rFonts w:ascii="Garamond" w:hAnsi="Garamond"/>
          <w:szCs w:val="24"/>
          <w:lang w:val="sq-AL"/>
        </w:rPr>
        <w:t xml:space="preserve">, sipas seksionit 26 të </w:t>
      </w:r>
      <w:r w:rsidR="00536F0E" w:rsidRPr="00E91B0C">
        <w:rPr>
          <w:rFonts w:ascii="Garamond" w:hAnsi="Garamond"/>
          <w:szCs w:val="24"/>
          <w:lang w:val="sq-AL"/>
        </w:rPr>
        <w:t>aktit të shpronësi</w:t>
      </w:r>
      <w:r w:rsidRPr="00E91B0C">
        <w:rPr>
          <w:rFonts w:ascii="Garamond" w:hAnsi="Garamond"/>
          <w:szCs w:val="24"/>
          <w:lang w:val="sq-AL"/>
        </w:rPr>
        <w:t xml:space="preserve">mit. Paligjshmëria e procedurës së shpronësimit nuk kishte qenë pjesë e kërkesës paraqitur në gjykatat </w:t>
      </w:r>
      <w:r w:rsidR="003C06FD">
        <w:rPr>
          <w:rFonts w:ascii="Garamond" w:hAnsi="Garamond"/>
          <w:szCs w:val="24"/>
          <w:lang w:val="sq-AL"/>
        </w:rPr>
        <w:t>vendës</w:t>
      </w:r>
      <w:r w:rsidRPr="00E91B0C">
        <w:rPr>
          <w:rFonts w:ascii="Garamond" w:hAnsi="Garamond"/>
          <w:szCs w:val="24"/>
          <w:lang w:val="sq-AL"/>
        </w:rPr>
        <w:t>e.</w:t>
      </w:r>
      <w:r w:rsid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141. Po ashtu, </w:t>
      </w:r>
      <w:r w:rsidR="0018461E" w:rsidRPr="00E91B0C">
        <w:rPr>
          <w:rFonts w:ascii="Garamond" w:hAnsi="Garamond"/>
          <w:szCs w:val="24"/>
          <w:lang w:val="sq-AL"/>
        </w:rPr>
        <w:t>q</w:t>
      </w:r>
      <w:r w:rsidRPr="00E91B0C">
        <w:rPr>
          <w:rFonts w:ascii="Garamond" w:hAnsi="Garamond"/>
          <w:szCs w:val="24"/>
          <w:lang w:val="sq-AL"/>
        </w:rPr>
        <w:t>everia parashtroi se kërkuesit nuk ishin ankuar në gjykatat e brendshme për pronën e tyre të luajtshme dhe kompensimin përkatës. Në çdo rast, nga data 7 nëntor 2013 deri më 8 dhjetor 2013, kërkuesit kishin pasur të gjithë kohën e nevojshme për të larguar pasurinë e tyre të luajtshme.</w:t>
      </w:r>
      <w:r w:rsidR="00E91B0C">
        <w:rPr>
          <w:rFonts w:ascii="Garamond" w:hAnsi="Garamond"/>
          <w:szCs w:val="24"/>
          <w:lang w:val="sq-AL"/>
        </w:rPr>
        <w:t xml:space="preserve"> </w:t>
      </w:r>
    </w:p>
    <w:p w:rsidR="00395112" w:rsidRPr="00E91B0C" w:rsidRDefault="00E4573F" w:rsidP="00395112">
      <w:pPr>
        <w:pStyle w:val="ECHRHeading5"/>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ii</w:t>
      </w:r>
      <w:r>
        <w:rPr>
          <w:rFonts w:ascii="Garamond" w:hAnsi="Garamond"/>
          <w:sz w:val="24"/>
          <w:szCs w:val="24"/>
          <w:lang w:val="sq-AL"/>
        </w:rPr>
        <w:t>.</w:t>
      </w:r>
      <w:r w:rsidR="00E91B0C">
        <w:rPr>
          <w:rFonts w:ascii="Garamond" w:hAnsi="Garamond"/>
          <w:sz w:val="24"/>
          <w:szCs w:val="24"/>
          <w:lang w:val="sq-AL"/>
        </w:rPr>
        <w:t xml:space="preserve"> </w:t>
      </w:r>
      <w:r w:rsidR="00395112" w:rsidRPr="00E91B0C">
        <w:rPr>
          <w:rFonts w:ascii="Garamond" w:hAnsi="Garamond"/>
          <w:sz w:val="24"/>
          <w:szCs w:val="24"/>
          <w:lang w:val="sq-AL"/>
        </w:rPr>
        <w:t>Parashtrimet e kërkuesve</w:t>
      </w:r>
    </w:p>
    <w:p w:rsidR="00395112" w:rsidRPr="000E2318" w:rsidRDefault="00D42253" w:rsidP="00395112">
      <w:pPr>
        <w:pStyle w:val="JuPara"/>
        <w:widowControl w:val="0"/>
        <w:rPr>
          <w:rFonts w:ascii="Garamond" w:hAnsi="Garamond"/>
          <w:spacing w:val="-4"/>
          <w:szCs w:val="24"/>
          <w:lang w:val="sq-AL"/>
        </w:rPr>
      </w:pPr>
      <w:r w:rsidRPr="000E2318">
        <w:rPr>
          <w:rFonts w:ascii="Garamond" w:hAnsi="Garamond"/>
          <w:spacing w:val="-4"/>
          <w:szCs w:val="24"/>
          <w:lang w:val="sq-AL"/>
        </w:rPr>
        <w:t>142</w:t>
      </w:r>
      <w:r w:rsidR="00395112" w:rsidRPr="000E2318">
        <w:rPr>
          <w:rFonts w:ascii="Garamond" w:hAnsi="Garamond"/>
          <w:spacing w:val="-4"/>
          <w:szCs w:val="24"/>
          <w:lang w:val="sq-AL"/>
        </w:rPr>
        <w:t>.</w:t>
      </w:r>
      <w:r w:rsidR="00E91B0C" w:rsidRPr="000E2318">
        <w:rPr>
          <w:rFonts w:ascii="Garamond" w:hAnsi="Garamond"/>
          <w:spacing w:val="-4"/>
          <w:szCs w:val="24"/>
          <w:lang w:val="sq-AL"/>
        </w:rPr>
        <w:t xml:space="preserve"> </w:t>
      </w:r>
      <w:r w:rsidR="00395112" w:rsidRPr="000E2318">
        <w:rPr>
          <w:rFonts w:ascii="Garamond" w:hAnsi="Garamond"/>
          <w:spacing w:val="-4"/>
          <w:szCs w:val="24"/>
          <w:lang w:val="sq-AL"/>
        </w:rPr>
        <w:t xml:space="preserve">Kërkuesit argumentuan se ankesa e tyre e mbetur pezull në Gjykatën e Lartë nuk ishte një mjet efikas sipas </w:t>
      </w:r>
      <w:r w:rsidR="001073BE" w:rsidRPr="000E2318">
        <w:rPr>
          <w:rFonts w:ascii="Garamond" w:hAnsi="Garamond"/>
          <w:spacing w:val="-4"/>
          <w:szCs w:val="24"/>
          <w:lang w:val="sq-AL"/>
        </w:rPr>
        <w:t xml:space="preserve">nenit </w:t>
      </w:r>
      <w:r w:rsidR="00395112" w:rsidRPr="000E2318">
        <w:rPr>
          <w:rFonts w:ascii="Garamond" w:hAnsi="Garamond"/>
          <w:spacing w:val="-4"/>
          <w:szCs w:val="24"/>
          <w:lang w:val="sq-AL"/>
        </w:rPr>
        <w:t xml:space="preserve">13 të Konventës. Fillimisht, procedimet përfshinë vetëm shumën e kompensimit për shpronësimin e paligjshëm dhe jo çështjen nëse shembja kishte shkelur të drejtën e tyre për respektimin e banesës dhe të pronës. Së dyti, procedimet kishin nisur që prej vitit 2013 dhe pavarësisht kërkesave të tyre të përsëritura që çështja të zgjidhej sa më urgjentisht, nuk ishte programuar as seanca e parë. Së treti, procedimet nuk kishin asnjë perspektivë të arsyeshme për sukses, duke qenë se nuk dukej e mundur që Gjykata e Lartë do ta pranonte ankesën e tyre dhe do të vendoste kundër </w:t>
      </w:r>
      <w:r w:rsidR="0018461E" w:rsidRPr="000E2318">
        <w:rPr>
          <w:rFonts w:ascii="Garamond" w:hAnsi="Garamond"/>
          <w:spacing w:val="-4"/>
          <w:szCs w:val="24"/>
          <w:lang w:val="sq-AL"/>
        </w:rPr>
        <w:t>q</w:t>
      </w:r>
      <w:r w:rsidR="00395112" w:rsidRPr="000E2318">
        <w:rPr>
          <w:rFonts w:ascii="Garamond" w:hAnsi="Garamond"/>
          <w:spacing w:val="-4"/>
          <w:szCs w:val="24"/>
          <w:lang w:val="sq-AL"/>
        </w:rPr>
        <w:t>everisë</w:t>
      </w:r>
      <w:r w:rsidR="00896E0E" w:rsidRPr="000E2318">
        <w:rPr>
          <w:rFonts w:ascii="Garamond" w:hAnsi="Garamond"/>
          <w:spacing w:val="-4"/>
          <w:szCs w:val="24"/>
          <w:lang w:val="sq-AL"/>
        </w:rPr>
        <w:t>,</w:t>
      </w:r>
      <w:r w:rsidR="00395112" w:rsidRPr="000E2318">
        <w:rPr>
          <w:rFonts w:ascii="Garamond" w:hAnsi="Garamond"/>
          <w:spacing w:val="-4"/>
          <w:szCs w:val="24"/>
          <w:lang w:val="sq-AL"/>
        </w:rPr>
        <w:t xml:space="preserve"> si dhe t’i jepte urdhër kësaj të fundit të paguante kompensimin në vlerën e plotë të tregut, duke marrë në konsideratë si profilin e lartë politik të çështjes konkrete edhe kontekstin më të gjerë e ndërhyrjeve qeveritare në rritje në administrimin e drejtësisë. </w:t>
      </w:r>
      <w:r w:rsidR="00616DD1" w:rsidRPr="000E2318">
        <w:rPr>
          <w:rFonts w:ascii="Garamond" w:hAnsi="Garamond"/>
          <w:spacing w:val="-4"/>
          <w:szCs w:val="24"/>
          <w:lang w:val="sq-AL"/>
        </w:rPr>
        <w:t xml:space="preserve">Ata </w:t>
      </w:r>
      <w:r w:rsidR="00395112" w:rsidRPr="000E2318">
        <w:rPr>
          <w:rFonts w:ascii="Garamond" w:hAnsi="Garamond"/>
          <w:spacing w:val="-4"/>
          <w:szCs w:val="24"/>
          <w:lang w:val="sq-AL"/>
        </w:rPr>
        <w:t xml:space="preserve">iu referuan </w:t>
      </w:r>
      <w:r w:rsidR="00395112" w:rsidRPr="000E2318">
        <w:rPr>
          <w:rFonts w:ascii="Garamond" w:hAnsi="Garamond"/>
          <w:i/>
          <w:spacing w:val="-4"/>
          <w:szCs w:val="24"/>
          <w:lang w:val="sq-AL"/>
        </w:rPr>
        <w:t xml:space="preserve">Kozacıoğlu kundër Turqisë </w:t>
      </w:r>
      <w:r w:rsidR="00395112" w:rsidRPr="000E2318">
        <w:rPr>
          <w:rFonts w:ascii="Garamond" w:hAnsi="Garamond"/>
          <w:spacing w:val="-4"/>
          <w:szCs w:val="24"/>
          <w:lang w:val="sq-AL"/>
        </w:rPr>
        <w:t>([DHM]</w:t>
      </w:r>
      <w:r w:rsidR="00395112" w:rsidRPr="000E2318">
        <w:rPr>
          <w:rFonts w:ascii="Garamond" w:hAnsi="Garamond"/>
          <w:snapToGrid w:val="0"/>
          <w:spacing w:val="-4"/>
          <w:szCs w:val="24"/>
          <w:lang w:val="sq-AL"/>
        </w:rPr>
        <w:t>, nr.</w:t>
      </w:r>
      <w:r w:rsidR="00395112" w:rsidRPr="000E2318">
        <w:rPr>
          <w:rFonts w:ascii="Garamond" w:hAnsi="Garamond"/>
          <w:spacing w:val="-4"/>
          <w:szCs w:val="24"/>
          <w:lang w:val="sq-AL"/>
        </w:rPr>
        <w:t xml:space="preserve"> 2334/03, 19 shkurt 2009). Së fundmi, edhe nëse ankesa në Gjykatën e Lartë do të rezultonte të kishte sukses, vendimi ishte i destinuar të mos zbatohej, duke qenë se </w:t>
      </w:r>
      <w:r w:rsidR="0018461E" w:rsidRPr="000E2318">
        <w:rPr>
          <w:rFonts w:ascii="Garamond" w:hAnsi="Garamond"/>
          <w:spacing w:val="-4"/>
          <w:szCs w:val="24"/>
          <w:lang w:val="sq-AL"/>
        </w:rPr>
        <w:t>q</w:t>
      </w:r>
      <w:r w:rsidR="00395112" w:rsidRPr="000E2318">
        <w:rPr>
          <w:rFonts w:ascii="Garamond" w:hAnsi="Garamond"/>
          <w:spacing w:val="-4"/>
          <w:szCs w:val="24"/>
          <w:lang w:val="sq-AL"/>
        </w:rPr>
        <w:t xml:space="preserve">everia qartazi nuk kishte treguar asnjë qëllim për të respektuar vendimet e brendshme ose qoftë edhe vendimet e saj. Shlyerja e kompensimit mbetej kështu në vendimmarrjen e Shtetit dhe varej nga gatishmëria e tij. Ata iu referuan </w:t>
      </w:r>
      <w:r w:rsidR="00395112" w:rsidRPr="000E2318">
        <w:rPr>
          <w:rFonts w:ascii="Garamond" w:hAnsi="Garamond"/>
          <w:i/>
          <w:spacing w:val="-4"/>
          <w:szCs w:val="24"/>
          <w:lang w:val="sq-AL"/>
        </w:rPr>
        <w:t xml:space="preserve">Driza kundër Shqipërisë </w:t>
      </w:r>
      <w:r w:rsidR="00395112" w:rsidRPr="000E2318">
        <w:rPr>
          <w:rFonts w:ascii="Garamond" w:hAnsi="Garamond"/>
          <w:spacing w:val="-4"/>
          <w:szCs w:val="24"/>
          <w:lang w:val="sq-AL"/>
        </w:rPr>
        <w:t>(nr. 33771/02, §§ 119</w:t>
      </w:r>
      <w:r w:rsidR="005B203A" w:rsidRPr="000E2318">
        <w:rPr>
          <w:rFonts w:ascii="Garamond" w:hAnsi="Garamond"/>
          <w:spacing w:val="-4"/>
          <w:szCs w:val="24"/>
          <w:lang w:val="sq-AL"/>
        </w:rPr>
        <w:t>–</w:t>
      </w:r>
      <w:r w:rsidR="00395112" w:rsidRPr="000E2318">
        <w:rPr>
          <w:rFonts w:ascii="Garamond" w:hAnsi="Garamond"/>
          <w:spacing w:val="-4"/>
          <w:szCs w:val="24"/>
          <w:lang w:val="sq-AL"/>
        </w:rPr>
        <w:t>120, GJEDNJ 2007</w:t>
      </w:r>
      <w:r w:rsidR="00395112" w:rsidRPr="000E2318">
        <w:rPr>
          <w:rFonts w:ascii="Garamond" w:hAnsi="Garamond"/>
          <w:spacing w:val="-4"/>
          <w:szCs w:val="24"/>
          <w:lang w:val="sq-AL"/>
        </w:rPr>
        <w:noBreakHyphen/>
        <w:t>V (ekstrakte)).</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143</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Për sa i përket moskërkimit të kompensimit nga ana e kërkuesve, ata parashtruan se e kishin bërë një gjë të tillë (shih paragrafin 57 më sipër). </w:t>
      </w:r>
    </w:p>
    <w:p w:rsidR="00395112" w:rsidRDefault="00395112" w:rsidP="00395112">
      <w:pPr>
        <w:pStyle w:val="JuPara"/>
        <w:widowControl w:val="0"/>
        <w:rPr>
          <w:rFonts w:ascii="Garamond" w:hAnsi="Garamond"/>
          <w:szCs w:val="24"/>
          <w:lang w:val="sq-AL"/>
        </w:rPr>
      </w:pPr>
      <w:r w:rsidRPr="00E91B0C">
        <w:rPr>
          <w:rFonts w:ascii="Garamond" w:hAnsi="Garamond"/>
          <w:szCs w:val="24"/>
          <w:lang w:val="sq-AL"/>
        </w:rPr>
        <w:t>144. Më tej, kërkuesit parashtruan se mjetet e zakonshme gjyqësore të disponueshme në nivel të brendshëm nuk mund të konsideroheshin efikase, duke qenë se ato nuk i lejonin ata të vlerësonin të drejtën e tyre për kompensim të plotë në lidhje me pasojat e dëmshme të privimit të paligjshëm të procedurës së shpronësimit. Ata e kishin kundërshtuar vendimin e shpronësimit si në baza substantiv</w:t>
      </w:r>
      <w:r w:rsidR="003F74B7">
        <w:rPr>
          <w:rFonts w:ascii="Garamond" w:hAnsi="Garamond"/>
          <w:szCs w:val="24"/>
          <w:lang w:val="sq-AL"/>
        </w:rPr>
        <w:t>e</w:t>
      </w:r>
      <w:r w:rsidRPr="00E91B0C">
        <w:rPr>
          <w:rFonts w:ascii="Garamond" w:hAnsi="Garamond"/>
          <w:szCs w:val="24"/>
          <w:lang w:val="sq-AL"/>
        </w:rPr>
        <w:t xml:space="preserve"> edhe procedurale dhe gjykatat </w:t>
      </w:r>
      <w:r w:rsidR="003C06FD">
        <w:rPr>
          <w:rFonts w:ascii="Garamond" w:hAnsi="Garamond"/>
          <w:szCs w:val="24"/>
          <w:lang w:val="sq-AL"/>
        </w:rPr>
        <w:t>vendës</w:t>
      </w:r>
      <w:r w:rsidRPr="00E91B0C">
        <w:rPr>
          <w:rFonts w:ascii="Garamond" w:hAnsi="Garamond"/>
          <w:szCs w:val="24"/>
          <w:lang w:val="sq-AL"/>
        </w:rPr>
        <w:t xml:space="preserve">e kishin pranuar shprehimisht se shpronësimi kishte qenë i pavlefshëm sipas ligjit të brendshëm. </w:t>
      </w:r>
    </w:p>
    <w:p w:rsidR="00F533B7" w:rsidRPr="00E91B0C" w:rsidRDefault="00F533B7" w:rsidP="00395112">
      <w:pPr>
        <w:pStyle w:val="JuPara"/>
        <w:widowControl w:val="0"/>
        <w:rPr>
          <w:rFonts w:ascii="Garamond" w:hAnsi="Garamond"/>
          <w:szCs w:val="24"/>
          <w:lang w:val="sq-AL"/>
        </w:rPr>
      </w:pPr>
      <w:r w:rsidRPr="003F74B7">
        <w:rPr>
          <w:rFonts w:ascii="Garamond" w:hAnsi="Garamond"/>
          <w:szCs w:val="24"/>
          <w:lang w:val="sq-AL"/>
        </w:rPr>
        <w:t xml:space="preserve">145. Në vijim, kërkuesit parashtruan se procedura e shpronësimit kishte vijuar për tri ditë. Për këtë arsye, ata nuk mund të kishin parandaluar paligjshmërinë e veprimeve të autoriteteve përpara gjykatave vendëse, përpara se të ndodhte shembja e godinës. Ata kishin mësuar për vendimin e Këshillit të Ministrave vetëm në datën 3 dhjetor 2013. Gjithashtu, ata kishin parashtruar se vendimi i shpronësimit </w:t>
      </w:r>
      <w:r w:rsidRPr="003F74B7">
        <w:rPr>
          <w:rFonts w:ascii="Garamond" w:hAnsi="Garamond"/>
          <w:szCs w:val="24"/>
          <w:lang w:val="sq-AL"/>
        </w:rPr>
        <w:lastRenderedPageBreak/>
        <w:t>si në baza substantiv</w:t>
      </w:r>
      <w:r w:rsidR="007157AE">
        <w:rPr>
          <w:rFonts w:ascii="Garamond" w:hAnsi="Garamond"/>
          <w:szCs w:val="24"/>
          <w:lang w:val="sq-AL"/>
        </w:rPr>
        <w:t>e d</w:t>
      </w:r>
      <w:r w:rsidRPr="003F74B7">
        <w:rPr>
          <w:rFonts w:ascii="Garamond" w:hAnsi="Garamond"/>
          <w:szCs w:val="24"/>
          <w:lang w:val="sq-AL"/>
        </w:rPr>
        <w:t>he procedurale dhe gjykatat vendëse kishin pranuar se shpronësimi kishte qenë i pavlefshëm sipas ligjit vendës.</w:t>
      </w:r>
      <w:r>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14</w:t>
      </w:r>
      <w:r w:rsidR="00F533B7">
        <w:rPr>
          <w:rFonts w:ascii="Garamond" w:hAnsi="Garamond"/>
          <w:szCs w:val="24"/>
          <w:lang w:val="sq-AL"/>
        </w:rPr>
        <w:t>6</w:t>
      </w:r>
      <w:r w:rsidRPr="00E91B0C">
        <w:rPr>
          <w:rFonts w:ascii="Garamond" w:hAnsi="Garamond"/>
          <w:szCs w:val="24"/>
          <w:lang w:val="sq-AL"/>
        </w:rPr>
        <w:t xml:space="preserve">. </w:t>
      </w:r>
      <w:r w:rsidR="00F533B7">
        <w:rPr>
          <w:rFonts w:ascii="Garamond" w:hAnsi="Garamond"/>
          <w:szCs w:val="24"/>
          <w:lang w:val="sq-AL"/>
        </w:rPr>
        <w:t>K</w:t>
      </w:r>
      <w:r w:rsidRPr="00E91B0C">
        <w:rPr>
          <w:rFonts w:ascii="Garamond" w:hAnsi="Garamond"/>
          <w:szCs w:val="24"/>
          <w:lang w:val="sq-AL"/>
        </w:rPr>
        <w:t>ërkuesit parashtruan se ata nuk kishin pasur kohë të shpëtonin pasuritë dhe objektet e tyre me vlerë më të nevojshme, përpara se të shembej godina.</w:t>
      </w:r>
      <w:r w:rsidR="00E91B0C">
        <w:rPr>
          <w:rFonts w:ascii="Garamond" w:hAnsi="Garamond"/>
          <w:szCs w:val="24"/>
          <w:lang w:val="sq-AL"/>
        </w:rPr>
        <w:t xml:space="preserve"> </w:t>
      </w:r>
    </w:p>
    <w:p w:rsidR="00395112" w:rsidRPr="00E91B0C" w:rsidRDefault="00E4573F" w:rsidP="00395112">
      <w:pPr>
        <w:pStyle w:val="ECHRHeading5"/>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iii</w:t>
      </w:r>
      <w:r>
        <w:rPr>
          <w:rFonts w:ascii="Garamond" w:hAnsi="Garamond"/>
          <w:sz w:val="24"/>
          <w:szCs w:val="24"/>
          <w:lang w:val="sq-AL"/>
        </w:rPr>
        <w:t>.</w:t>
      </w:r>
      <w:r w:rsidR="00E91B0C">
        <w:rPr>
          <w:rFonts w:ascii="Garamond" w:hAnsi="Garamond"/>
          <w:sz w:val="24"/>
          <w:szCs w:val="24"/>
          <w:lang w:val="sq-AL"/>
        </w:rPr>
        <w:t xml:space="preserve"> </w:t>
      </w:r>
      <w:r w:rsidR="00395112" w:rsidRPr="00E91B0C">
        <w:rPr>
          <w:rFonts w:ascii="Garamond" w:hAnsi="Garamond"/>
          <w:sz w:val="24"/>
          <w:szCs w:val="24"/>
          <w:lang w:val="sq-AL"/>
        </w:rPr>
        <w:t xml:space="preserve">Vlerësimi i Gjykatës </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147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mendon se çështja e shfrytëzimit të mjeteve të brendshme është e lidhur kaq ngushtë me meritat e ankesës së kërkuesve për mungesën e një mjeti efikas për ndërhyrjen e pretenduar ndaj së drejtës mbi pronën, saqë ata nuk mund të ndahen prej saj.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148. Kështu, Gjykata vendos se çështja nëse kërkuesit i shfrytëzuan mjetet e brendshme duhet të bashkohet me meritat e ankesës së tyre sipas </w:t>
      </w:r>
      <w:r w:rsidR="001073BE" w:rsidRPr="00E91B0C">
        <w:rPr>
          <w:rFonts w:ascii="Garamond" w:hAnsi="Garamond"/>
          <w:szCs w:val="24"/>
          <w:lang w:val="sq-AL"/>
        </w:rPr>
        <w:t>n</w:t>
      </w:r>
      <w:r w:rsidRPr="00E91B0C">
        <w:rPr>
          <w:rFonts w:ascii="Garamond" w:hAnsi="Garamond"/>
          <w:szCs w:val="24"/>
          <w:lang w:val="sq-AL"/>
        </w:rPr>
        <w:t xml:space="preserve">enit 13, së bashku me </w:t>
      </w:r>
      <w:r w:rsidR="001073BE" w:rsidRPr="00E91B0C">
        <w:rPr>
          <w:rFonts w:ascii="Garamond" w:hAnsi="Garamond"/>
          <w:szCs w:val="24"/>
          <w:lang w:val="sq-AL"/>
        </w:rPr>
        <w:t>n</w:t>
      </w:r>
      <w:r w:rsidRPr="00E91B0C">
        <w:rPr>
          <w:rFonts w:ascii="Garamond" w:hAnsi="Garamond"/>
          <w:szCs w:val="24"/>
          <w:lang w:val="sq-AL"/>
        </w:rPr>
        <w:t xml:space="preserve">enin 1 të </w:t>
      </w:r>
      <w:r w:rsidR="001073BE" w:rsidRPr="00E91B0C">
        <w:rPr>
          <w:rFonts w:ascii="Garamond" w:hAnsi="Garamond"/>
          <w:szCs w:val="24"/>
          <w:lang w:val="sq-AL"/>
        </w:rPr>
        <w:t>protokollit n</w:t>
      </w:r>
      <w:r w:rsidRPr="00E91B0C">
        <w:rPr>
          <w:rFonts w:ascii="Garamond" w:hAnsi="Garamond"/>
          <w:szCs w:val="24"/>
          <w:lang w:val="sq-AL"/>
        </w:rPr>
        <w:t xml:space="preserve">r. 1 të Konventës. </w:t>
      </w:r>
    </w:p>
    <w:p w:rsidR="00395112" w:rsidRPr="00E91B0C" w:rsidRDefault="00E4573F" w:rsidP="00395112">
      <w:pPr>
        <w:pStyle w:val="ECHRHeading4"/>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b)</w:t>
      </w:r>
      <w:r w:rsidR="00E91B0C">
        <w:rPr>
          <w:rFonts w:ascii="Garamond" w:hAnsi="Garamond"/>
          <w:sz w:val="24"/>
          <w:szCs w:val="24"/>
          <w:lang w:val="sq-AL"/>
        </w:rPr>
        <w:t xml:space="preserve"> </w:t>
      </w:r>
      <w:r w:rsidR="00395112" w:rsidRPr="00E91B0C">
        <w:rPr>
          <w:rFonts w:ascii="Garamond" w:hAnsi="Garamond"/>
          <w:sz w:val="24"/>
          <w:szCs w:val="24"/>
          <w:lang w:val="sq-AL"/>
        </w:rPr>
        <w:t xml:space="preserve">Nëse kërkuesit nuk kanë “statusin e viktimës” </w:t>
      </w:r>
    </w:p>
    <w:p w:rsidR="00395112" w:rsidRPr="00E91B0C" w:rsidRDefault="00D42253" w:rsidP="00395112">
      <w:pPr>
        <w:pStyle w:val="JuPara"/>
        <w:widowControl w:val="0"/>
        <w:rPr>
          <w:rFonts w:ascii="Garamond" w:hAnsi="Garamond"/>
          <w:szCs w:val="24"/>
          <w:lang w:val="sq-AL"/>
        </w:rPr>
      </w:pPr>
      <w:r>
        <w:rPr>
          <w:rFonts w:ascii="Garamond" w:hAnsi="Garamond"/>
          <w:szCs w:val="24"/>
          <w:lang w:val="sq-AL"/>
        </w:rPr>
        <w:t>149</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Më tej </w:t>
      </w:r>
      <w:r w:rsidR="009756B9" w:rsidRPr="00E91B0C">
        <w:rPr>
          <w:rFonts w:ascii="Garamond" w:hAnsi="Garamond"/>
          <w:szCs w:val="24"/>
          <w:lang w:val="sq-AL"/>
        </w:rPr>
        <w:t xml:space="preserve">qeveria </w:t>
      </w:r>
      <w:r w:rsidR="00395112" w:rsidRPr="00E91B0C">
        <w:rPr>
          <w:rFonts w:ascii="Garamond" w:hAnsi="Garamond"/>
          <w:szCs w:val="24"/>
          <w:lang w:val="sq-AL"/>
        </w:rPr>
        <w:t xml:space="preserve">parashtroi se gjykatat </w:t>
      </w:r>
      <w:r w:rsidR="003C06FD">
        <w:rPr>
          <w:rFonts w:ascii="Garamond" w:hAnsi="Garamond"/>
          <w:szCs w:val="24"/>
          <w:lang w:val="sq-AL"/>
        </w:rPr>
        <w:t>vendës</w:t>
      </w:r>
      <w:r w:rsidR="00395112" w:rsidRPr="00E91B0C">
        <w:rPr>
          <w:rFonts w:ascii="Garamond" w:hAnsi="Garamond"/>
          <w:szCs w:val="24"/>
          <w:lang w:val="sq-AL"/>
        </w:rPr>
        <w:t xml:space="preserve">e në të gjitha nivelet kishin vendosur në favor të kërkuesve. Ato i kishin lejuar palët të paraqisnin kërkesat e tyre mbi të gjitha çështjet në lidhje me meritat dhe kishin marrë vendimet përkatëse. Kështu, kërkuesit nuk e kishin statusin e viktimës.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150. </w:t>
      </w:r>
      <w:r w:rsidR="00F533B7" w:rsidRPr="00E91B0C">
        <w:rPr>
          <w:rFonts w:ascii="Garamond" w:hAnsi="Garamond"/>
          <w:szCs w:val="24"/>
          <w:lang w:val="sq-AL"/>
        </w:rPr>
        <w:t xml:space="preserve">Kërkuesit </w:t>
      </w:r>
      <w:r w:rsidRPr="00E91B0C">
        <w:rPr>
          <w:rFonts w:ascii="Garamond" w:hAnsi="Garamond"/>
          <w:szCs w:val="24"/>
          <w:lang w:val="sq-AL"/>
        </w:rPr>
        <w:t xml:space="preserve">parashtruan se deri në ato momente ata nuk kishin marrë kompensim dhe as nuk kishte ndonjë perspektivë që ata të mund të paguheshin ndonjëherë.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151. Në lidhje me parimet e zbatueshme për statusin e viktimës (shih paragrafët 76</w:t>
      </w:r>
      <w:r w:rsidR="005B203A">
        <w:rPr>
          <w:rFonts w:ascii="Garamond" w:hAnsi="Garamond"/>
          <w:szCs w:val="24"/>
          <w:lang w:val="sq-AL"/>
        </w:rPr>
        <w:t>–</w:t>
      </w:r>
      <w:r w:rsidRPr="00E91B0C">
        <w:rPr>
          <w:rFonts w:ascii="Garamond" w:hAnsi="Garamond"/>
          <w:szCs w:val="24"/>
          <w:lang w:val="sq-AL"/>
        </w:rPr>
        <w:t>77 më sipër), Gjykata vëren se kriteri i parë, më konkretisht njohja e shkeljes, ishte përmbushur. Si Gjykata e Rrethit edhe Gjykata e Apelit</w:t>
      </w:r>
      <w:r w:rsidR="00E91B0C">
        <w:rPr>
          <w:rFonts w:ascii="Garamond" w:hAnsi="Garamond"/>
          <w:szCs w:val="24"/>
          <w:lang w:val="sq-AL"/>
        </w:rPr>
        <w:t xml:space="preserve"> </w:t>
      </w:r>
      <w:r w:rsidRPr="00E91B0C">
        <w:rPr>
          <w:rFonts w:ascii="Garamond" w:hAnsi="Garamond"/>
          <w:szCs w:val="24"/>
          <w:lang w:val="sq-AL"/>
        </w:rPr>
        <w:t xml:space="preserve">konstatuan se </w:t>
      </w:r>
      <w:r w:rsidR="00047DC8" w:rsidRPr="00E91B0C">
        <w:rPr>
          <w:rFonts w:ascii="Garamond" w:hAnsi="Garamond"/>
          <w:szCs w:val="24"/>
          <w:lang w:val="sq-AL"/>
        </w:rPr>
        <w:t xml:space="preserve">akti i shpronësimit </w:t>
      </w:r>
      <w:r w:rsidRPr="00E91B0C">
        <w:rPr>
          <w:rFonts w:ascii="Garamond" w:hAnsi="Garamond"/>
          <w:szCs w:val="24"/>
          <w:lang w:val="sq-AL"/>
        </w:rPr>
        <w:t xml:space="preserve">ishte shkelur dhe se autoritetet kishin shpronësuar </w:t>
      </w:r>
      <w:r w:rsidRPr="00E91B0C">
        <w:rPr>
          <w:rFonts w:ascii="Garamond" w:hAnsi="Garamond"/>
          <w:i/>
          <w:szCs w:val="24"/>
          <w:lang w:val="sq-AL"/>
        </w:rPr>
        <w:t>de facto</w:t>
      </w:r>
      <w:r w:rsidR="00E91B0C">
        <w:rPr>
          <w:rFonts w:ascii="Garamond" w:hAnsi="Garamond"/>
          <w:szCs w:val="24"/>
          <w:lang w:val="sq-AL"/>
        </w:rPr>
        <w:t xml:space="preserve"> </w:t>
      </w:r>
      <w:r w:rsidRPr="00E91B0C">
        <w:rPr>
          <w:rFonts w:ascii="Garamond" w:hAnsi="Garamond"/>
          <w:szCs w:val="24"/>
          <w:lang w:val="sq-AL"/>
        </w:rPr>
        <w:t>pronat e kërkuesve. Në Gjykatën e Lartë gjendet pezull një ankesë, që prej vitit 2014. Për sa i përket kriterit të dytë, Gjykata vëren se të dyja gjykatat kishin dhënë kompensim për kërkuesit</w:t>
      </w:r>
      <w:r w:rsidR="00E91B0C">
        <w:rPr>
          <w:rFonts w:ascii="Garamond" w:hAnsi="Garamond"/>
          <w:szCs w:val="24"/>
          <w:lang w:val="sq-AL"/>
        </w:rPr>
        <w:t xml:space="preserve"> </w:t>
      </w:r>
      <w:r w:rsidRPr="00E91B0C">
        <w:rPr>
          <w:rFonts w:ascii="Garamond" w:hAnsi="Garamond"/>
          <w:szCs w:val="24"/>
          <w:lang w:val="sq-AL"/>
        </w:rPr>
        <w:t xml:space="preserve">dhe se Gjykata e Apelit e kishte rritur shumën e atij kompensimi. Megjithatë, Gjykata vëren se </w:t>
      </w:r>
      <w:r w:rsidR="00F01E3A" w:rsidRPr="00E91B0C">
        <w:rPr>
          <w:rFonts w:ascii="Garamond" w:hAnsi="Garamond"/>
          <w:szCs w:val="24"/>
          <w:lang w:val="sq-AL"/>
        </w:rPr>
        <w:t xml:space="preserve">ministri </w:t>
      </w:r>
      <w:r w:rsidRPr="00E91B0C">
        <w:rPr>
          <w:rFonts w:ascii="Garamond" w:hAnsi="Garamond"/>
          <w:szCs w:val="24"/>
          <w:lang w:val="sq-AL"/>
        </w:rPr>
        <w:t>i Financave miratoi një fond prej vetëm 3,460 eurosh për zbatimin e vendimit të Këshillit të Ministrave, të datës 27 nëntor 2013, që do të thotë një mijë herë më pak se</w:t>
      </w:r>
      <w:r w:rsidR="0055315C">
        <w:rPr>
          <w:rFonts w:ascii="Garamond" w:hAnsi="Garamond"/>
          <w:szCs w:val="24"/>
          <w:lang w:val="sq-AL"/>
        </w:rPr>
        <w:t xml:space="preserve"> </w:t>
      </w:r>
      <w:r w:rsidRPr="00E91B0C">
        <w:rPr>
          <w:rFonts w:ascii="Garamond" w:hAnsi="Garamond"/>
          <w:szCs w:val="24"/>
          <w:lang w:val="sq-AL"/>
        </w:rPr>
        <w:t>sa shuma e akorduar në vendim. Por edhe kjo shumë nuk i është paguar kërkuesve (shih paragrafin 34 më sipër). Sipas ligjit të brendshëm, shpronësimi duhet bërë kundrejt kompensimit të drejtë. Për më tepër, në praktikën e saj gjyqësore, Gjykata ka pranuar se pranimi i thjeshtë i shkeljes pa kompensimin e duhur nuk i pr</w:t>
      </w:r>
      <w:r w:rsidR="00F01E3A">
        <w:rPr>
          <w:rFonts w:ascii="Garamond" w:hAnsi="Garamond"/>
          <w:szCs w:val="24"/>
          <w:lang w:val="sq-AL"/>
        </w:rPr>
        <w:t>i</w:t>
      </w:r>
      <w:r w:rsidRPr="00E91B0C">
        <w:rPr>
          <w:rFonts w:ascii="Garamond" w:hAnsi="Garamond"/>
          <w:szCs w:val="24"/>
          <w:lang w:val="sq-AL"/>
        </w:rPr>
        <w:t>von kërkuesit nga statusi i tyre i viktimës. Duke marrë në konsideratë faktin se kërkuesit nuk janë kompensuar për shembjen e pronave të tyre (shih edhe paragrafin 153 më poshtë), dhe se deri më sot atyre nuk iu është ofruar ndihmë e mjaftueshme në nivel të brendshëm, çka do të thotë se ata vijojnë të vuajnë pasojat e shkeljes së të drejtave të tyre, Gjykata është e mendimit se kërkuesit kësisoj mbajnë statusin e viktimës për qëllimet e kësaj ankese (</w:t>
      </w:r>
      <w:r w:rsidR="00E10E80" w:rsidRPr="00E91B0C">
        <w:rPr>
          <w:rFonts w:ascii="Garamond" w:hAnsi="Garamond"/>
          <w:szCs w:val="24"/>
          <w:lang w:val="sq-AL"/>
        </w:rPr>
        <w:t xml:space="preserve">shih </w:t>
      </w:r>
      <w:r w:rsidRPr="00E91B0C">
        <w:rPr>
          <w:rFonts w:ascii="Garamond" w:hAnsi="Garamond"/>
          <w:i/>
          <w:szCs w:val="24"/>
          <w:lang w:val="sq-AL"/>
        </w:rPr>
        <w:t>Almeida Garrett, Mascarenhas Falcão dhe të tjerët kundër Portugalisë</w:t>
      </w:r>
      <w:r w:rsidRPr="00E91B0C">
        <w:rPr>
          <w:rFonts w:ascii="Garamond" w:hAnsi="Garamond"/>
          <w:szCs w:val="24"/>
          <w:lang w:val="sq-AL"/>
        </w:rPr>
        <w:t>, nr. 29813/96 dhe 30229/96</w:t>
      </w:r>
      <w:r w:rsidR="008541A0">
        <w:rPr>
          <w:rFonts w:ascii="Garamond" w:hAnsi="Garamond"/>
          <w:szCs w:val="24"/>
          <w:lang w:val="sq-AL"/>
        </w:rPr>
        <w:t>, §</w:t>
      </w:r>
      <w:r w:rsidRPr="00E91B0C">
        <w:rPr>
          <w:rFonts w:ascii="Garamond" w:hAnsi="Garamond"/>
          <w:szCs w:val="24"/>
          <w:lang w:val="sq-AL"/>
        </w:rPr>
        <w:t>54, GJEDNJ 2000</w:t>
      </w:r>
      <w:r w:rsidRPr="00E91B0C">
        <w:rPr>
          <w:rFonts w:ascii="Garamond" w:hAnsi="Garamond"/>
          <w:szCs w:val="24"/>
          <w:lang w:val="sq-AL"/>
        </w:rPr>
        <w:noBreakHyphen/>
        <w:t xml:space="preserve">I; </w:t>
      </w:r>
      <w:r w:rsidRPr="00E91B0C">
        <w:rPr>
          <w:rFonts w:ascii="Garamond" w:hAnsi="Garamond"/>
          <w:i/>
          <w:szCs w:val="24"/>
          <w:lang w:val="sq-AL"/>
        </w:rPr>
        <w:t xml:space="preserve">Öneryıldız kundër Turqisë </w:t>
      </w:r>
      <w:r w:rsidRPr="00E91B0C">
        <w:rPr>
          <w:rFonts w:ascii="Garamond" w:hAnsi="Garamond"/>
          <w:szCs w:val="24"/>
          <w:lang w:val="sq-AL"/>
        </w:rPr>
        <w:t>[DHM], nr. 48939/99</w:t>
      </w:r>
      <w:r w:rsidR="008541A0">
        <w:rPr>
          <w:rFonts w:ascii="Garamond" w:hAnsi="Garamond"/>
          <w:szCs w:val="24"/>
          <w:lang w:val="sq-AL"/>
        </w:rPr>
        <w:t>, §</w:t>
      </w:r>
      <w:r w:rsidRPr="00E91B0C">
        <w:rPr>
          <w:rFonts w:ascii="Garamond" w:hAnsi="Garamond"/>
          <w:szCs w:val="24"/>
          <w:lang w:val="sq-AL"/>
        </w:rPr>
        <w:t>156, GJEDNJ 2004</w:t>
      </w:r>
      <w:r w:rsidRPr="00E91B0C">
        <w:rPr>
          <w:rFonts w:ascii="Garamond" w:hAnsi="Garamond"/>
          <w:szCs w:val="24"/>
          <w:lang w:val="sq-AL"/>
        </w:rPr>
        <w:noBreakHyphen/>
        <w:t xml:space="preserve">XII; dhe </w:t>
      </w:r>
      <w:r w:rsidRPr="00E91B0C">
        <w:rPr>
          <w:rFonts w:ascii="Garamond" w:hAnsi="Garamond"/>
          <w:i/>
          <w:szCs w:val="24"/>
          <w:lang w:val="sq-AL"/>
        </w:rPr>
        <w:t>Montanaro Gauci dhe të tjerët kundër Maltës</w:t>
      </w:r>
      <w:r w:rsidRPr="00E91B0C">
        <w:rPr>
          <w:rFonts w:ascii="Garamond" w:hAnsi="Garamond"/>
          <w:szCs w:val="24"/>
          <w:lang w:val="sq-AL"/>
        </w:rPr>
        <w:t>, nr. 31454/12</w:t>
      </w:r>
      <w:r w:rsidRPr="00E91B0C">
        <w:rPr>
          <w:rFonts w:ascii="Garamond" w:hAnsi="Garamond"/>
          <w:snapToGrid w:val="0"/>
          <w:szCs w:val="24"/>
          <w:lang w:val="sq-AL"/>
        </w:rPr>
        <w:t>, §§ 41</w:t>
      </w:r>
      <w:r w:rsidR="005B203A">
        <w:rPr>
          <w:rFonts w:ascii="Garamond" w:hAnsi="Garamond"/>
          <w:szCs w:val="24"/>
          <w:lang w:val="sq-AL"/>
        </w:rPr>
        <w:t>–</w:t>
      </w:r>
      <w:r w:rsidRPr="00E91B0C">
        <w:rPr>
          <w:rFonts w:ascii="Garamond" w:hAnsi="Garamond"/>
          <w:snapToGrid w:val="0"/>
          <w:szCs w:val="24"/>
          <w:lang w:val="sq-AL"/>
        </w:rPr>
        <w:t>48, 30 gusht 2016</w:t>
      </w:r>
      <w:r w:rsidRPr="00E91B0C">
        <w:rPr>
          <w:rFonts w:ascii="Garamond" w:hAnsi="Garamond"/>
          <w:szCs w:val="24"/>
          <w:lang w:val="sq-AL"/>
        </w:rPr>
        <w:t>).</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c)</w:t>
      </w:r>
      <w:r w:rsidR="00E91B0C">
        <w:rPr>
          <w:rFonts w:ascii="Garamond" w:hAnsi="Garamond"/>
          <w:sz w:val="24"/>
          <w:szCs w:val="24"/>
          <w:lang w:val="sq-AL"/>
        </w:rPr>
        <w:t xml:space="preserve"> </w:t>
      </w:r>
      <w:r w:rsidRPr="00E91B0C">
        <w:rPr>
          <w:rFonts w:ascii="Garamond" w:hAnsi="Garamond"/>
          <w:sz w:val="24"/>
          <w:szCs w:val="24"/>
          <w:lang w:val="sq-AL"/>
        </w:rPr>
        <w:t>Përfundim</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152</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mendon se ankesat e kërkuesve sipas </w:t>
      </w:r>
      <w:r w:rsidR="00111023" w:rsidRPr="00E91B0C">
        <w:rPr>
          <w:rFonts w:ascii="Garamond" w:hAnsi="Garamond"/>
          <w:szCs w:val="24"/>
          <w:lang w:val="sq-AL"/>
        </w:rPr>
        <w:t>nenit 1 të protokollit nr</w:t>
      </w:r>
      <w:r w:rsidR="00395112" w:rsidRPr="00E91B0C">
        <w:rPr>
          <w:rFonts w:ascii="Garamond" w:hAnsi="Garamond"/>
          <w:szCs w:val="24"/>
          <w:lang w:val="sq-AL"/>
        </w:rPr>
        <w:t xml:space="preserve">. 1 të Konventës dhe </w:t>
      </w:r>
      <w:r w:rsidR="001073BE" w:rsidRPr="00E91B0C">
        <w:rPr>
          <w:rFonts w:ascii="Garamond" w:hAnsi="Garamond"/>
          <w:szCs w:val="24"/>
          <w:lang w:val="sq-AL"/>
        </w:rPr>
        <w:t>n</w:t>
      </w:r>
      <w:r w:rsidR="00395112" w:rsidRPr="00E91B0C">
        <w:rPr>
          <w:rFonts w:ascii="Garamond" w:hAnsi="Garamond"/>
          <w:szCs w:val="24"/>
          <w:lang w:val="sq-AL"/>
        </w:rPr>
        <w:t xml:space="preserve">enit 13 të Konventës nuk janë haptazi të pabazuar sipas kuptimit të </w:t>
      </w:r>
      <w:r w:rsidR="00111023" w:rsidRPr="00E91B0C">
        <w:rPr>
          <w:rFonts w:ascii="Garamond" w:hAnsi="Garamond"/>
          <w:szCs w:val="24"/>
          <w:lang w:val="sq-AL"/>
        </w:rPr>
        <w:t xml:space="preserve">nenit </w:t>
      </w:r>
      <w:r w:rsidR="00395112" w:rsidRPr="00E91B0C">
        <w:rPr>
          <w:rFonts w:ascii="Garamond" w:hAnsi="Garamond"/>
          <w:szCs w:val="24"/>
          <w:lang w:val="sq-AL"/>
        </w:rPr>
        <w:t>35</w:t>
      </w:r>
      <w:r w:rsidR="008B2E1D">
        <w:rPr>
          <w:rFonts w:ascii="Garamond" w:hAnsi="Garamond"/>
          <w:szCs w:val="24"/>
          <w:lang w:val="sq-AL"/>
        </w:rPr>
        <w:t>§</w:t>
      </w:r>
      <w:r w:rsidR="00395112" w:rsidRPr="00E91B0C">
        <w:rPr>
          <w:rFonts w:ascii="Garamond" w:hAnsi="Garamond"/>
          <w:szCs w:val="24"/>
          <w:lang w:val="sq-AL"/>
        </w:rPr>
        <w:t xml:space="preserve">3 të Konventës. Në vijim, ajo vëren se nuk janë të papranueshëm për ndonjë shkak tjetër. Për këtë arsye, duhet të deklarohen të pranueshëm, pa paragjykim ndaj vendimeve që duhet të merren në fund mbi kundërshtimet e </w:t>
      </w:r>
      <w:r w:rsidR="0018461E" w:rsidRPr="00E91B0C">
        <w:rPr>
          <w:rFonts w:ascii="Garamond" w:hAnsi="Garamond"/>
          <w:szCs w:val="24"/>
          <w:lang w:val="sq-AL"/>
        </w:rPr>
        <w:t xml:space="preserve">qeverisë </w:t>
      </w:r>
      <w:r w:rsidR="00395112" w:rsidRPr="00E91B0C">
        <w:rPr>
          <w:rFonts w:ascii="Garamond" w:hAnsi="Garamond"/>
          <w:szCs w:val="24"/>
          <w:lang w:val="sq-AL"/>
        </w:rPr>
        <w:t>për mosshfrytëzim të mjeteve të brendshme.</w:t>
      </w:r>
      <w:r w:rsidR="00E91B0C">
        <w:rPr>
          <w:rFonts w:ascii="Garamond" w:hAnsi="Garamond"/>
          <w:szCs w:val="24"/>
          <w:lang w:val="sq-AL"/>
        </w:rPr>
        <w:t xml:space="preserve"> </w:t>
      </w:r>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61" w:name="_Toc520459361"/>
      <w:r w:rsidRPr="00E91B0C">
        <w:rPr>
          <w:rFonts w:ascii="Garamond" w:hAnsi="Garamond"/>
          <w:szCs w:val="24"/>
          <w:lang w:val="sq-AL"/>
        </w:rPr>
        <w:t>2.</w:t>
      </w:r>
      <w:r w:rsidR="00E91B0C">
        <w:rPr>
          <w:rFonts w:ascii="Garamond" w:hAnsi="Garamond"/>
          <w:szCs w:val="24"/>
          <w:lang w:val="sq-AL"/>
        </w:rPr>
        <w:t xml:space="preserve"> </w:t>
      </w:r>
      <w:r w:rsidRPr="00E91B0C">
        <w:rPr>
          <w:rFonts w:ascii="Garamond" w:hAnsi="Garamond"/>
          <w:szCs w:val="24"/>
          <w:lang w:val="sq-AL"/>
        </w:rPr>
        <w:t>Meritat</w:t>
      </w:r>
      <w:bookmarkEnd w:id="61"/>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 xml:space="preserve">Respektimi i </w:t>
      </w:r>
      <w:r w:rsidR="005B203A" w:rsidRPr="00E91B0C">
        <w:rPr>
          <w:rFonts w:ascii="Garamond" w:hAnsi="Garamond"/>
          <w:sz w:val="24"/>
          <w:szCs w:val="24"/>
          <w:lang w:val="sq-AL"/>
        </w:rPr>
        <w:t>n</w:t>
      </w:r>
      <w:r w:rsidRPr="00E91B0C">
        <w:rPr>
          <w:rFonts w:ascii="Garamond" w:hAnsi="Garamond"/>
          <w:sz w:val="24"/>
          <w:szCs w:val="24"/>
          <w:lang w:val="sq-AL"/>
        </w:rPr>
        <w:t xml:space="preserve">enit 13 së bashku me </w:t>
      </w:r>
      <w:r w:rsidR="005B203A" w:rsidRPr="00E91B0C">
        <w:rPr>
          <w:rFonts w:ascii="Garamond" w:hAnsi="Garamond"/>
          <w:sz w:val="24"/>
          <w:szCs w:val="24"/>
          <w:lang w:val="sq-AL"/>
        </w:rPr>
        <w:t>n</w:t>
      </w:r>
      <w:r w:rsidRPr="00E91B0C">
        <w:rPr>
          <w:rFonts w:ascii="Garamond" w:hAnsi="Garamond"/>
          <w:sz w:val="24"/>
          <w:szCs w:val="24"/>
          <w:lang w:val="sq-AL"/>
        </w:rPr>
        <w:t xml:space="preserve">enin 1 të </w:t>
      </w:r>
      <w:r w:rsidR="00694AE0" w:rsidRPr="00E91B0C">
        <w:rPr>
          <w:rFonts w:ascii="Garamond" w:hAnsi="Garamond"/>
          <w:sz w:val="24"/>
          <w:szCs w:val="24"/>
          <w:lang w:val="sq-AL"/>
        </w:rPr>
        <w:t>protokollit n</w:t>
      </w:r>
      <w:r w:rsidRPr="00E91B0C">
        <w:rPr>
          <w:rFonts w:ascii="Garamond" w:hAnsi="Garamond"/>
          <w:sz w:val="24"/>
          <w:szCs w:val="24"/>
          <w:lang w:val="sq-AL"/>
        </w:rPr>
        <w:t>r. 1 të Konventës</w:t>
      </w:r>
      <w:r w:rsidR="00E91B0C">
        <w:rPr>
          <w:rFonts w:ascii="Garamond" w:hAnsi="Garamond"/>
          <w:sz w:val="24"/>
          <w:szCs w:val="24"/>
          <w:lang w:val="sq-AL"/>
        </w:rPr>
        <w:t xml:space="preserve"> </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153</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Gjykata vëren se çështja në lidhje me nivelin e kompensimit kishte mbetur pezull në Gjykatën e Lartë që prej vitit 2014. Më 15 janar 2015, Gjykata e Lartë i pezulloi procedimet, pa dhënë asnjë arsye (shih paragrafët 42</w:t>
      </w:r>
      <w:r w:rsidR="00C42F26">
        <w:rPr>
          <w:rFonts w:ascii="Garamond" w:hAnsi="Garamond"/>
          <w:szCs w:val="24"/>
          <w:lang w:val="sq-AL"/>
        </w:rPr>
        <w:t>–</w:t>
      </w:r>
      <w:r w:rsidR="00395112" w:rsidRPr="00E91B0C">
        <w:rPr>
          <w:rFonts w:ascii="Garamond" w:hAnsi="Garamond"/>
          <w:szCs w:val="24"/>
          <w:lang w:val="sq-AL"/>
        </w:rPr>
        <w:t>43, më sipër). Gjykata vëren se kërkuesit deri më sot nuk janë kompensuar, as në shumën e akorduar sipas vendimit të Këshillit të Ministrave të datës 27 nëntor 2013. Gjithashtu, Gjykata thekson se Këshilli i Ministrave, me anë të vendimit të datës 9 prill 2014, në mënyrë të njëanshme, reduktuan shumën e kompensimit të akorduar me anë të vendimit të Gjykatës së Rrethit, të datës 6 mars 2014 dhe deri më tani kërkuesve iu është akorduar vetëm 3,460 euro. Për këtë arsye, nën rrethanat e kësaj çështje</w:t>
      </w:r>
      <w:r w:rsidR="007C4642">
        <w:rPr>
          <w:rFonts w:ascii="Garamond" w:hAnsi="Garamond"/>
          <w:szCs w:val="24"/>
          <w:lang w:val="sq-AL"/>
        </w:rPr>
        <w:t>je</w:t>
      </w:r>
      <w:r w:rsidR="00395112" w:rsidRPr="00E91B0C">
        <w:rPr>
          <w:rFonts w:ascii="Garamond" w:hAnsi="Garamond"/>
          <w:szCs w:val="24"/>
          <w:lang w:val="sq-AL"/>
        </w:rPr>
        <w:t>, kohëzgjatja dhe</w:t>
      </w:r>
      <w:r w:rsidR="00C21E25">
        <w:rPr>
          <w:rFonts w:ascii="Garamond" w:hAnsi="Garamond"/>
          <w:szCs w:val="24"/>
          <w:lang w:val="sq-AL"/>
        </w:rPr>
        <w:t>,</w:t>
      </w:r>
      <w:r w:rsidR="00395112" w:rsidRPr="00E91B0C">
        <w:rPr>
          <w:rFonts w:ascii="Garamond" w:hAnsi="Garamond"/>
          <w:szCs w:val="24"/>
          <w:lang w:val="sq-AL"/>
        </w:rPr>
        <w:t xml:space="preserve"> veçanërisht</w:t>
      </w:r>
      <w:r w:rsidR="00C21E25">
        <w:rPr>
          <w:rFonts w:ascii="Garamond" w:hAnsi="Garamond"/>
          <w:szCs w:val="24"/>
          <w:lang w:val="sq-AL"/>
        </w:rPr>
        <w:t>,</w:t>
      </w:r>
      <w:r w:rsidR="00395112" w:rsidRPr="00E91B0C">
        <w:rPr>
          <w:rFonts w:ascii="Garamond" w:hAnsi="Garamond"/>
          <w:szCs w:val="24"/>
          <w:lang w:val="sq-AL"/>
        </w:rPr>
        <w:t xml:space="preserve"> pezullimi i tejzgjatur, i procedimeve të Gjykatës së Lartë e përkeqëson më tej situatën e kërkuesve. Një vonesë prej katër vitesh në shlyerjen e kompensimit për kërkuesit, të cilët kanë humbur shtëpitë dhe pasuritë e tyre nuk mund të konsiderohet efikase për qëllime të një kompensimi efikas. Një vonesë e tillë tashmë përbën një shkelje të </w:t>
      </w:r>
      <w:r w:rsidR="001073BE" w:rsidRPr="00E91B0C">
        <w:rPr>
          <w:rFonts w:ascii="Garamond" w:hAnsi="Garamond"/>
          <w:szCs w:val="24"/>
          <w:lang w:val="sq-AL"/>
        </w:rPr>
        <w:t>n</w:t>
      </w:r>
      <w:r w:rsidR="00395112" w:rsidRPr="00E91B0C">
        <w:rPr>
          <w:rFonts w:ascii="Garamond" w:hAnsi="Garamond"/>
          <w:szCs w:val="24"/>
          <w:lang w:val="sq-AL"/>
        </w:rPr>
        <w:t xml:space="preserve">enit 1 të </w:t>
      </w:r>
      <w:r w:rsidR="00896E0E" w:rsidRPr="00E91B0C">
        <w:rPr>
          <w:rFonts w:ascii="Garamond" w:hAnsi="Garamond"/>
          <w:szCs w:val="24"/>
          <w:lang w:val="sq-AL"/>
        </w:rPr>
        <w:lastRenderedPageBreak/>
        <w:t>protokollit n</w:t>
      </w:r>
      <w:r w:rsidR="00395112" w:rsidRPr="00E91B0C">
        <w:rPr>
          <w:rFonts w:ascii="Garamond" w:hAnsi="Garamond"/>
          <w:szCs w:val="24"/>
          <w:lang w:val="sq-AL"/>
        </w:rPr>
        <w:t xml:space="preserve">r. 1 të Konventës (shih </w:t>
      </w:r>
      <w:r w:rsidR="00395112" w:rsidRPr="00E91B0C">
        <w:rPr>
          <w:rFonts w:ascii="Garamond" w:hAnsi="Garamond"/>
          <w:i/>
          <w:szCs w:val="24"/>
          <w:lang w:val="sq-AL"/>
        </w:rPr>
        <w:t xml:space="preserve">Öneryıldız </w:t>
      </w:r>
      <w:r w:rsidR="00395112" w:rsidRPr="00E91B0C">
        <w:rPr>
          <w:rFonts w:ascii="Garamond" w:hAnsi="Garamond"/>
          <w:szCs w:val="24"/>
          <w:lang w:val="sq-AL"/>
        </w:rPr>
        <w:t>cituar më sipër,</w:t>
      </w:r>
      <w:r w:rsidR="009756B9">
        <w:rPr>
          <w:rFonts w:ascii="Garamond" w:hAnsi="Garamond"/>
          <w:szCs w:val="24"/>
          <w:lang w:val="sq-AL"/>
        </w:rPr>
        <w:t xml:space="preserve"> </w:t>
      </w:r>
      <w:r w:rsidR="008B2E1D">
        <w:rPr>
          <w:rFonts w:ascii="Garamond" w:hAnsi="Garamond"/>
          <w:szCs w:val="24"/>
          <w:lang w:val="sq-AL"/>
        </w:rPr>
        <w:t>§</w:t>
      </w:r>
      <w:r w:rsidR="00395112" w:rsidRPr="00E91B0C">
        <w:rPr>
          <w:rFonts w:ascii="Garamond" w:hAnsi="Garamond"/>
          <w:szCs w:val="24"/>
          <w:lang w:val="sq-AL"/>
        </w:rPr>
        <w:t xml:space="preserve">137). Gjithashtu, Gjykata vëren se duke pasur parasysh mungesën e kompensimit, kërkuesve iu mohua një masë efikase për shkeljen e pretenduar të të drejtave të tyre sipas nenit 1 të </w:t>
      </w:r>
      <w:r w:rsidR="001073BE" w:rsidRPr="00E91B0C">
        <w:rPr>
          <w:rFonts w:ascii="Garamond" w:hAnsi="Garamond"/>
          <w:szCs w:val="24"/>
          <w:lang w:val="sq-AL"/>
        </w:rPr>
        <w:t xml:space="preserve">protokollit nr. 1 të </w:t>
      </w:r>
      <w:r w:rsidR="00395112" w:rsidRPr="00E91B0C">
        <w:rPr>
          <w:rFonts w:ascii="Garamond" w:hAnsi="Garamond"/>
          <w:szCs w:val="24"/>
          <w:lang w:val="sq-AL"/>
        </w:rPr>
        <w:t xml:space="preserve">Konventës (shih </w:t>
      </w:r>
      <w:r w:rsidR="00395112" w:rsidRPr="00E91B0C">
        <w:rPr>
          <w:rFonts w:ascii="Garamond" w:hAnsi="Garamond"/>
          <w:i/>
          <w:szCs w:val="24"/>
          <w:lang w:val="sq-AL"/>
        </w:rPr>
        <w:t xml:space="preserve">Öneryıldız, </w:t>
      </w:r>
      <w:r w:rsidR="00395112" w:rsidRPr="00E91B0C">
        <w:rPr>
          <w:rFonts w:ascii="Garamond" w:hAnsi="Garamond"/>
          <w:szCs w:val="24"/>
          <w:lang w:val="sq-AL"/>
        </w:rPr>
        <w:t>cituar më sipër,</w:t>
      </w:r>
      <w:r w:rsidR="009756B9">
        <w:rPr>
          <w:rFonts w:ascii="Garamond" w:hAnsi="Garamond"/>
          <w:szCs w:val="24"/>
          <w:lang w:val="sq-AL"/>
        </w:rPr>
        <w:t xml:space="preserve"> </w:t>
      </w:r>
      <w:r w:rsidR="008B2E1D">
        <w:rPr>
          <w:rFonts w:ascii="Garamond" w:hAnsi="Garamond"/>
          <w:szCs w:val="24"/>
          <w:lang w:val="sq-AL"/>
        </w:rPr>
        <w:t>§</w:t>
      </w:r>
      <w:r w:rsidR="00395112" w:rsidRPr="00E91B0C">
        <w:rPr>
          <w:rFonts w:ascii="Garamond" w:hAnsi="Garamond"/>
          <w:szCs w:val="24"/>
          <w:lang w:val="sq-AL"/>
        </w:rPr>
        <w:t>156).</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154</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Më tej, Gjykata thekson se ajo tashmë e ka cituar në shumë raste faktin se nuk mbetet një mundësi e hapur që një autoritet </w:t>
      </w:r>
      <w:r w:rsidR="00C21E25" w:rsidRPr="00E91B0C">
        <w:rPr>
          <w:rFonts w:ascii="Garamond" w:hAnsi="Garamond"/>
          <w:szCs w:val="24"/>
          <w:lang w:val="sq-AL"/>
        </w:rPr>
        <w:t xml:space="preserve">shtetëror </w:t>
      </w:r>
      <w:r w:rsidR="00395112" w:rsidRPr="00E91B0C">
        <w:rPr>
          <w:rFonts w:ascii="Garamond" w:hAnsi="Garamond"/>
          <w:szCs w:val="24"/>
          <w:lang w:val="sq-AL"/>
        </w:rPr>
        <w:t>të përmend mungesën e fondeve si shfajësim për të mos paguar në afat një borxh që vjen nga një vendim (shih, midis shumë vendimeve të tjer</w:t>
      </w:r>
      <w:r w:rsidR="00C21E25">
        <w:rPr>
          <w:rFonts w:ascii="Garamond" w:hAnsi="Garamond"/>
          <w:szCs w:val="24"/>
          <w:lang w:val="sq-AL"/>
        </w:rPr>
        <w:t>a</w:t>
      </w:r>
      <w:r w:rsidR="00395112" w:rsidRPr="00E91B0C">
        <w:rPr>
          <w:rFonts w:ascii="Garamond" w:hAnsi="Garamond"/>
          <w:szCs w:val="24"/>
          <w:lang w:val="sq-AL"/>
        </w:rPr>
        <w:t xml:space="preserve">, </w:t>
      </w:r>
      <w:r w:rsidR="00395112" w:rsidRPr="00E91B0C">
        <w:rPr>
          <w:rFonts w:ascii="Garamond" w:hAnsi="Garamond"/>
          <w:i/>
          <w:szCs w:val="24"/>
          <w:lang w:val="sq-AL"/>
        </w:rPr>
        <w:t>Burdov kundër Rusisë</w:t>
      </w:r>
      <w:r w:rsidR="00395112" w:rsidRPr="00E91B0C">
        <w:rPr>
          <w:rFonts w:ascii="Garamond" w:hAnsi="Garamond"/>
          <w:szCs w:val="24"/>
          <w:lang w:val="sq-AL"/>
        </w:rPr>
        <w:t>, nr. 59498/00</w:t>
      </w:r>
      <w:r w:rsidR="008541A0">
        <w:rPr>
          <w:rFonts w:ascii="Garamond" w:hAnsi="Garamond"/>
          <w:szCs w:val="24"/>
          <w:lang w:val="sq-AL"/>
        </w:rPr>
        <w:t>, §</w:t>
      </w:r>
      <w:r w:rsidR="00395112" w:rsidRPr="00E91B0C">
        <w:rPr>
          <w:rFonts w:ascii="Garamond" w:hAnsi="Garamond"/>
          <w:szCs w:val="24"/>
          <w:lang w:val="sq-AL"/>
        </w:rPr>
        <w:t>35, GJEDNJ 2002</w:t>
      </w:r>
      <w:r w:rsidR="00395112" w:rsidRPr="00E91B0C">
        <w:rPr>
          <w:rFonts w:ascii="Garamond" w:hAnsi="Garamond"/>
          <w:szCs w:val="24"/>
          <w:lang w:val="sq-AL"/>
        </w:rPr>
        <w:noBreakHyphen/>
        <w:t>III).</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155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Gjithashtu, Gjykata vëren se edhe pse kërkuesit nuk parashtruan kërkesën e dorëzuar në Bashkinë e Vlorës ku kërkonin në Gjykatë shlyerjen e kompensimit, ata gjithsesi e dorëzuan përgjigjen e ZRRPP, të datës 29 janar 2014, ku pohohej se ajo e kishte të pamundur të lëshonte një certifikatë pronësie për një pronë e cila nuk ekzistonte më (shih paragrafët 32 dhe 57 më sipër). Rezulton se autoritetet kishin kërkuar certifikatat e pronësisë së kërkuesve si dokument mbështetës, në momentin kur ata kërkuan kompensim. Gjykata vëren se, sipas </w:t>
      </w:r>
      <w:r w:rsidR="003C06FD" w:rsidRPr="00E91B0C">
        <w:rPr>
          <w:rFonts w:ascii="Garamond" w:hAnsi="Garamond"/>
          <w:szCs w:val="24"/>
          <w:lang w:val="sq-AL"/>
        </w:rPr>
        <w:t xml:space="preserve">aktit të shpronësimit, </w:t>
      </w:r>
      <w:r w:rsidR="003C06FD">
        <w:rPr>
          <w:rFonts w:ascii="Garamond" w:hAnsi="Garamond"/>
          <w:szCs w:val="24"/>
          <w:lang w:val="sq-AL"/>
        </w:rPr>
        <w:t>u</w:t>
      </w:r>
      <w:r w:rsidR="003C06FD" w:rsidRPr="00E91B0C">
        <w:rPr>
          <w:rFonts w:ascii="Garamond" w:hAnsi="Garamond"/>
          <w:szCs w:val="24"/>
          <w:lang w:val="sq-AL"/>
        </w:rPr>
        <w:t xml:space="preserve"> takon </w:t>
      </w:r>
      <w:r w:rsidR="00395112" w:rsidRPr="00E91B0C">
        <w:rPr>
          <w:rFonts w:ascii="Garamond" w:hAnsi="Garamond"/>
          <w:szCs w:val="24"/>
          <w:lang w:val="sq-AL"/>
        </w:rPr>
        <w:t xml:space="preserve">autoriteteve të nisin procedimet përkatëse të kompensimit (shih paragrafin 63 më sipër). Për këtë arsye, Gjykata mendon se, të të tillë çështje, nuk duhet të pritet që pronarët të pësojnë shpenzimet dhe barrën e procedimeve të fillimit për të garantuar përmbushjen nga ana e autoriteteve të detyrimit të tyre ligjor (shih, </w:t>
      </w:r>
      <w:r w:rsidR="00395112" w:rsidRPr="00E91B0C">
        <w:rPr>
          <w:rFonts w:ascii="Garamond" w:hAnsi="Garamond"/>
          <w:i/>
          <w:szCs w:val="24"/>
          <w:lang w:val="sq-AL"/>
        </w:rPr>
        <w:t>mutatis mutandis</w:t>
      </w:r>
      <w:r w:rsidR="00395112" w:rsidRPr="00E91B0C">
        <w:rPr>
          <w:rFonts w:ascii="Garamond" w:hAnsi="Garamond"/>
          <w:szCs w:val="24"/>
          <w:lang w:val="sq-AL"/>
        </w:rPr>
        <w:t xml:space="preserve">, </w:t>
      </w:r>
      <w:r w:rsidR="00395112" w:rsidRPr="00E91B0C">
        <w:rPr>
          <w:rFonts w:ascii="Garamond" w:hAnsi="Garamond"/>
          <w:i/>
          <w:szCs w:val="24"/>
          <w:lang w:val="sq-AL"/>
        </w:rPr>
        <w:t>Apostol kundër Gjeorgjisë</w:t>
      </w:r>
      <w:r w:rsidR="00395112" w:rsidRPr="00E91B0C">
        <w:rPr>
          <w:rFonts w:ascii="Garamond" w:hAnsi="Garamond"/>
          <w:szCs w:val="24"/>
          <w:lang w:val="sq-AL"/>
        </w:rPr>
        <w:t>, nr. 40765/02, §§ 64</w:t>
      </w:r>
      <w:r w:rsidR="005B203A">
        <w:rPr>
          <w:rFonts w:ascii="Garamond" w:hAnsi="Garamond"/>
          <w:szCs w:val="24"/>
          <w:lang w:val="sq-AL"/>
        </w:rPr>
        <w:t>–</w:t>
      </w:r>
      <w:r w:rsidR="00395112" w:rsidRPr="00E91B0C">
        <w:rPr>
          <w:rFonts w:ascii="Garamond" w:hAnsi="Garamond"/>
          <w:szCs w:val="24"/>
          <w:lang w:val="sq-AL"/>
        </w:rPr>
        <w:t>65, GJEDNJ 2006</w:t>
      </w:r>
      <w:r w:rsidR="00395112" w:rsidRPr="00E91B0C">
        <w:rPr>
          <w:rFonts w:ascii="MS Mincho" w:eastAsia="MS Mincho" w:hAnsi="MS Mincho" w:cs="MS Mincho"/>
          <w:szCs w:val="24"/>
          <w:lang w:val="sq-AL"/>
        </w:rPr>
        <w:t>‑</w:t>
      </w:r>
      <w:r w:rsidR="00395112" w:rsidRPr="00E91B0C">
        <w:rPr>
          <w:rFonts w:ascii="Garamond" w:hAnsi="Garamond"/>
          <w:szCs w:val="24"/>
          <w:lang w:val="sq-AL"/>
        </w:rPr>
        <w:t xml:space="preserve">XI, dhe </w:t>
      </w:r>
      <w:r w:rsidR="00395112" w:rsidRPr="00E91B0C">
        <w:rPr>
          <w:rFonts w:ascii="Garamond" w:hAnsi="Garamond"/>
          <w:i/>
          <w:szCs w:val="24"/>
          <w:lang w:val="sq-AL"/>
        </w:rPr>
        <w:t>Frendo Randon dhe të tjerët kundër Maltës</w:t>
      </w:r>
      <w:r w:rsidR="00395112" w:rsidRPr="00E91B0C">
        <w:rPr>
          <w:rFonts w:ascii="Garamond" w:hAnsi="Garamond"/>
          <w:szCs w:val="24"/>
          <w:lang w:val="sq-AL"/>
        </w:rPr>
        <w:t>, nr. 2226/10</w:t>
      </w:r>
      <w:r w:rsidR="008541A0">
        <w:rPr>
          <w:rFonts w:ascii="Garamond" w:hAnsi="Garamond"/>
          <w:szCs w:val="24"/>
          <w:lang w:val="sq-AL"/>
        </w:rPr>
        <w:t>, §</w:t>
      </w:r>
      <w:r w:rsidR="00395112" w:rsidRPr="00E91B0C">
        <w:rPr>
          <w:rFonts w:ascii="Garamond" w:hAnsi="Garamond"/>
          <w:szCs w:val="24"/>
          <w:lang w:val="sq-AL"/>
        </w:rPr>
        <w:t>65, 22 nëntor 2011, në lidhje me procedimet e zbatimit).</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156</w:t>
      </w:r>
      <w:r w:rsidR="00395112" w:rsidRPr="00E91B0C">
        <w:rPr>
          <w:rFonts w:ascii="Garamond" w:hAnsi="Garamond"/>
          <w:szCs w:val="24"/>
          <w:lang w:val="sq-AL"/>
        </w:rPr>
        <w:t xml:space="preserve">. Gjykata vëren se </w:t>
      </w:r>
      <w:r w:rsidR="0018461E" w:rsidRPr="00E91B0C">
        <w:rPr>
          <w:rFonts w:ascii="Garamond" w:hAnsi="Garamond"/>
          <w:szCs w:val="24"/>
          <w:lang w:val="sq-AL"/>
        </w:rPr>
        <w:t>q</w:t>
      </w:r>
      <w:r w:rsidR="00395112" w:rsidRPr="00E91B0C">
        <w:rPr>
          <w:rFonts w:ascii="Garamond" w:hAnsi="Garamond"/>
          <w:szCs w:val="24"/>
          <w:lang w:val="sq-AL"/>
        </w:rPr>
        <w:t xml:space="preserve">everia nuk mundi të specifikonte mjetet e përdoruara sipas ligjit </w:t>
      </w:r>
      <w:r w:rsidR="003C06FD">
        <w:rPr>
          <w:rFonts w:ascii="Garamond" w:hAnsi="Garamond"/>
          <w:szCs w:val="24"/>
          <w:lang w:val="sq-AL"/>
        </w:rPr>
        <w:t>vendës</w:t>
      </w:r>
      <w:r w:rsidR="00395112" w:rsidRPr="00E91B0C">
        <w:rPr>
          <w:rFonts w:ascii="Garamond" w:hAnsi="Garamond"/>
          <w:szCs w:val="24"/>
          <w:lang w:val="sq-AL"/>
        </w:rPr>
        <w:t xml:space="preserve"> të cilave iu referohej, në lidhje me kërkesat për të drejtat mbi pronën dhe kërkesat për pronësi (shih edhe paragrafin 139 më sipër). Gjithsesi, </w:t>
      </w:r>
      <w:r w:rsidR="0018461E" w:rsidRPr="00E91B0C">
        <w:rPr>
          <w:rFonts w:ascii="Garamond" w:hAnsi="Garamond"/>
          <w:szCs w:val="24"/>
          <w:lang w:val="sq-AL"/>
        </w:rPr>
        <w:t>q</w:t>
      </w:r>
      <w:r w:rsidR="00395112" w:rsidRPr="00E91B0C">
        <w:rPr>
          <w:rFonts w:ascii="Garamond" w:hAnsi="Garamond"/>
          <w:szCs w:val="24"/>
          <w:lang w:val="sq-AL"/>
        </w:rPr>
        <w:t xml:space="preserve">everia paraqiti një argument të ngjashëm sipas </w:t>
      </w:r>
      <w:r w:rsidR="003C06FD" w:rsidRPr="00E91B0C">
        <w:rPr>
          <w:rFonts w:ascii="Garamond" w:hAnsi="Garamond"/>
          <w:szCs w:val="24"/>
          <w:lang w:val="sq-AL"/>
        </w:rPr>
        <w:t>aktit të inspektimit të ndërtesës</w:t>
      </w:r>
      <w:r w:rsidR="00395112" w:rsidRPr="00E91B0C">
        <w:rPr>
          <w:rFonts w:ascii="Garamond" w:hAnsi="Garamond"/>
          <w:szCs w:val="24"/>
          <w:lang w:val="sq-AL"/>
        </w:rPr>
        <w:t xml:space="preserve">, në kontekstin e ankesës sipas </w:t>
      </w:r>
      <w:r w:rsidR="001073BE" w:rsidRPr="00E91B0C">
        <w:rPr>
          <w:rFonts w:ascii="Garamond" w:hAnsi="Garamond"/>
          <w:szCs w:val="24"/>
          <w:lang w:val="sq-AL"/>
        </w:rPr>
        <w:t xml:space="preserve">neneve </w:t>
      </w:r>
      <w:r w:rsidR="00395112" w:rsidRPr="00E91B0C">
        <w:rPr>
          <w:rFonts w:ascii="Garamond" w:hAnsi="Garamond"/>
          <w:szCs w:val="24"/>
          <w:lang w:val="sq-AL"/>
        </w:rPr>
        <w:t>6</w:t>
      </w:r>
      <w:r w:rsidR="008B2E1D">
        <w:rPr>
          <w:rFonts w:ascii="Garamond" w:hAnsi="Garamond"/>
          <w:szCs w:val="24"/>
          <w:lang w:val="sq-AL"/>
        </w:rPr>
        <w:t>§</w:t>
      </w:r>
      <w:r w:rsidR="005B203A">
        <w:rPr>
          <w:rFonts w:ascii="Garamond" w:hAnsi="Garamond"/>
          <w:szCs w:val="24"/>
          <w:lang w:val="sq-AL"/>
        </w:rPr>
        <w:t>1 dhe 13, ç</w:t>
      </w:r>
      <w:r w:rsidR="00395112" w:rsidRPr="00E91B0C">
        <w:rPr>
          <w:rFonts w:ascii="Garamond" w:hAnsi="Garamond"/>
          <w:szCs w:val="24"/>
          <w:lang w:val="sq-AL"/>
        </w:rPr>
        <w:t xml:space="preserve">ka u kundërshtua nga Gjykata (shih paragrafin 83 më sipër).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157. Në lidhje me pamundësinë e supozuar për të kundërshtuar urdhrin e shembjes dhe urdhrin e mëpasshëm të përkohshëm, i cili ndalonte autoritetet të kryenin shembjen, Gjykata nuk është e bindur me argumentin e </w:t>
      </w:r>
      <w:r w:rsidR="0018461E" w:rsidRPr="00E91B0C">
        <w:rPr>
          <w:rFonts w:ascii="Garamond" w:hAnsi="Garamond"/>
          <w:szCs w:val="24"/>
          <w:lang w:val="sq-AL"/>
        </w:rPr>
        <w:t>q</w:t>
      </w:r>
      <w:r w:rsidRPr="00E91B0C">
        <w:rPr>
          <w:rFonts w:ascii="Garamond" w:hAnsi="Garamond"/>
          <w:szCs w:val="24"/>
          <w:lang w:val="sq-AL"/>
        </w:rPr>
        <w:t>everisë, duke pasur parasysh rrethanat specifike të çështjes. Një kërkuesi, i cili ka shteruar një mjet i cili është dukshëm efikas dhe i mjaftueshëm, nuk mund t’i kërkohet të provoj</w:t>
      </w:r>
      <w:r w:rsidR="00C21E25">
        <w:rPr>
          <w:rFonts w:ascii="Garamond" w:hAnsi="Garamond"/>
          <w:szCs w:val="24"/>
          <w:lang w:val="sq-AL"/>
        </w:rPr>
        <w:t>ë</w:t>
      </w:r>
      <w:r w:rsidRPr="00E91B0C">
        <w:rPr>
          <w:rFonts w:ascii="Garamond" w:hAnsi="Garamond"/>
          <w:szCs w:val="24"/>
          <w:lang w:val="sq-AL"/>
        </w:rPr>
        <w:t xml:space="preserve"> mjete të tjer</w:t>
      </w:r>
      <w:r w:rsidR="00C21E25">
        <w:rPr>
          <w:rFonts w:ascii="Garamond" w:hAnsi="Garamond"/>
          <w:szCs w:val="24"/>
          <w:lang w:val="sq-AL"/>
        </w:rPr>
        <w:t>a</w:t>
      </w:r>
      <w:r w:rsidRPr="00E91B0C">
        <w:rPr>
          <w:rFonts w:ascii="Garamond" w:hAnsi="Garamond"/>
          <w:szCs w:val="24"/>
          <w:lang w:val="sq-AL"/>
        </w:rPr>
        <w:t xml:space="preserve"> të cil</w:t>
      </w:r>
      <w:r w:rsidR="00C21E25">
        <w:rPr>
          <w:rFonts w:ascii="Garamond" w:hAnsi="Garamond"/>
          <w:szCs w:val="24"/>
          <w:lang w:val="sq-AL"/>
        </w:rPr>
        <w:t>a</w:t>
      </w:r>
      <w:r w:rsidRPr="00E91B0C">
        <w:rPr>
          <w:rFonts w:ascii="Garamond" w:hAnsi="Garamond"/>
          <w:szCs w:val="24"/>
          <w:lang w:val="sq-AL"/>
        </w:rPr>
        <w:t>t kanë qenë të disponuesh</w:t>
      </w:r>
      <w:r w:rsidR="00C21E25">
        <w:rPr>
          <w:rFonts w:ascii="Garamond" w:hAnsi="Garamond"/>
          <w:szCs w:val="24"/>
          <w:lang w:val="sq-AL"/>
        </w:rPr>
        <w:t>me</w:t>
      </w:r>
      <w:r w:rsidRPr="00E91B0C">
        <w:rPr>
          <w:rFonts w:ascii="Garamond" w:hAnsi="Garamond"/>
          <w:szCs w:val="24"/>
          <w:lang w:val="sq-AL"/>
        </w:rPr>
        <w:t>, por ndoshta jo shumë të mundshëm për të qenë të suksessh</w:t>
      </w:r>
      <w:r w:rsidR="00C21E25">
        <w:rPr>
          <w:rFonts w:ascii="Garamond" w:hAnsi="Garamond"/>
          <w:szCs w:val="24"/>
          <w:lang w:val="sq-AL"/>
        </w:rPr>
        <w:t>me</w:t>
      </w:r>
      <w:r w:rsidRPr="00E91B0C">
        <w:rPr>
          <w:rFonts w:ascii="Garamond" w:hAnsi="Garamond"/>
          <w:szCs w:val="24"/>
          <w:lang w:val="sq-AL"/>
        </w:rPr>
        <w:t xml:space="preserve"> (shih </w:t>
      </w:r>
      <w:r w:rsidRPr="00E91B0C">
        <w:rPr>
          <w:rFonts w:ascii="Garamond" w:hAnsi="Garamond"/>
          <w:i/>
          <w:szCs w:val="24"/>
          <w:lang w:val="sq-AL"/>
        </w:rPr>
        <w:t>O’Keeffe kundër Irlandës</w:t>
      </w:r>
      <w:r w:rsidRPr="00E91B0C">
        <w:rPr>
          <w:rFonts w:ascii="Garamond" w:hAnsi="Garamond"/>
          <w:szCs w:val="24"/>
          <w:lang w:val="sq-AL"/>
        </w:rPr>
        <w:t xml:space="preserve"> [DHM], nr. 35810/09, §§ 109</w:t>
      </w:r>
      <w:r w:rsidR="005B203A">
        <w:rPr>
          <w:rFonts w:ascii="Garamond" w:hAnsi="Garamond"/>
          <w:szCs w:val="24"/>
          <w:lang w:val="sq-AL"/>
        </w:rPr>
        <w:t>–</w:t>
      </w:r>
      <w:r w:rsidRPr="00E91B0C">
        <w:rPr>
          <w:rFonts w:ascii="Garamond" w:hAnsi="Garamond"/>
          <w:szCs w:val="24"/>
          <w:lang w:val="sq-AL"/>
        </w:rPr>
        <w:t>111, GJEDNJ 2014 (ekstrakt), dhe çështjet e cituara në të). Kërkuesit iu kërkuan autoriteteve të shmangnin çdo veprim në të ardhmen ndaj godinës, për shembjen e saj. Autoritetet gjyqësore lëshuan urdhrin e përkohshëm për këtë aspekt, urdhër i cili nuk u respektua nga autoritetet ekzekutive dhe u kthye në një urdhër të pavlerë. Kështu, Gjykata është duke shqyrtuar mundësinë se si një mjet i ngjashëm mund të kishte qenë efikas. Autoritetet nuk i informuan në asnjë moment as kërkuesit dhe as kompaninë e ndërtimit për shembjen e pronës apo për nisjen e procedurës së shpronësimit (shih paragrafët 36</w:t>
      </w:r>
      <w:r w:rsidR="005B203A">
        <w:rPr>
          <w:rFonts w:ascii="Garamond" w:hAnsi="Garamond"/>
          <w:szCs w:val="24"/>
          <w:lang w:val="sq-AL"/>
        </w:rPr>
        <w:t>–</w:t>
      </w:r>
      <w:r w:rsidRPr="00E91B0C">
        <w:rPr>
          <w:rFonts w:ascii="Garamond" w:hAnsi="Garamond"/>
          <w:szCs w:val="24"/>
          <w:lang w:val="sq-AL"/>
        </w:rPr>
        <w:t>38 dhe 41 më sipër). Për sa më sipër, kërkuesit nuk patën asnjë mundësi të dukshme as të kundërshtonin shembjen, për aq kohë sa nuk ishte lëshuar asnjë urdhër shembje</w:t>
      </w:r>
      <w:r w:rsidR="004B2296">
        <w:rPr>
          <w:rFonts w:ascii="Garamond" w:hAnsi="Garamond"/>
          <w:szCs w:val="24"/>
          <w:lang w:val="sq-AL"/>
        </w:rPr>
        <w:t>je</w:t>
      </w:r>
      <w:r w:rsidRPr="00E91B0C">
        <w:rPr>
          <w:rFonts w:ascii="Garamond" w:hAnsi="Garamond"/>
          <w:szCs w:val="24"/>
          <w:lang w:val="sq-AL"/>
        </w:rPr>
        <w:t xml:space="preserve">, përveç vendimit të Këshillit të Ministrave për shpronësimin, dhe as të kërkonin një urdhër të përkohshëm të ri.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158. Gjithashtu, Gjykata vëren se teksa është e vërtetë se kërkuesit nuk paraqitën specifikisht një kërkesë në gjykatat </w:t>
      </w:r>
      <w:r w:rsidR="003C06FD">
        <w:rPr>
          <w:rFonts w:ascii="Garamond" w:hAnsi="Garamond"/>
          <w:szCs w:val="24"/>
          <w:lang w:val="sq-AL"/>
        </w:rPr>
        <w:t>vendës</w:t>
      </w:r>
      <w:r w:rsidRPr="00E91B0C">
        <w:rPr>
          <w:rFonts w:ascii="Garamond" w:hAnsi="Garamond"/>
          <w:szCs w:val="24"/>
          <w:lang w:val="sq-AL"/>
        </w:rPr>
        <w:t xml:space="preserve">e, për njohjen e procedurës së shpronësimit si të pavlefshme, ata u ankuan shprehimisht te gjykatat </w:t>
      </w:r>
      <w:r w:rsidR="003C06FD">
        <w:rPr>
          <w:rFonts w:ascii="Garamond" w:hAnsi="Garamond"/>
          <w:szCs w:val="24"/>
          <w:lang w:val="sq-AL"/>
        </w:rPr>
        <w:t>vendës</w:t>
      </w:r>
      <w:r w:rsidRPr="00E91B0C">
        <w:rPr>
          <w:rFonts w:ascii="Garamond" w:hAnsi="Garamond"/>
          <w:szCs w:val="24"/>
          <w:lang w:val="sq-AL"/>
        </w:rPr>
        <w:t xml:space="preserve">e për paligjshmërinë e atyre procedimeve. Gjykatat </w:t>
      </w:r>
      <w:r w:rsidR="003C06FD">
        <w:rPr>
          <w:rFonts w:ascii="Garamond" w:hAnsi="Garamond"/>
          <w:szCs w:val="24"/>
          <w:lang w:val="sq-AL"/>
        </w:rPr>
        <w:t>vendës</w:t>
      </w:r>
      <w:r w:rsidRPr="00E91B0C">
        <w:rPr>
          <w:rFonts w:ascii="Garamond" w:hAnsi="Garamond"/>
          <w:szCs w:val="24"/>
          <w:lang w:val="sq-AL"/>
        </w:rPr>
        <w:t>e konstatuan se shpronësimi kishte qenë i paligjshëm dhe</w:t>
      </w:r>
      <w:r w:rsidR="009756B9">
        <w:rPr>
          <w:rFonts w:ascii="Garamond" w:hAnsi="Garamond"/>
          <w:szCs w:val="24"/>
          <w:lang w:val="sq-AL"/>
        </w:rPr>
        <w:t xml:space="preserve"> se ishte kryer një shpronësim </w:t>
      </w:r>
      <w:r w:rsidRPr="00E91B0C">
        <w:rPr>
          <w:rFonts w:ascii="Garamond" w:hAnsi="Garamond"/>
          <w:i/>
          <w:szCs w:val="24"/>
          <w:lang w:val="sq-AL"/>
        </w:rPr>
        <w:t>de facto</w:t>
      </w:r>
      <w:r w:rsidRPr="00E91B0C">
        <w:rPr>
          <w:rFonts w:ascii="Garamond" w:hAnsi="Garamond"/>
          <w:szCs w:val="24"/>
          <w:lang w:val="sq-AL"/>
        </w:rPr>
        <w:t xml:space="preserve">. Bazuar në rrethana, gjykatat </w:t>
      </w:r>
      <w:r w:rsidR="003C06FD">
        <w:rPr>
          <w:rFonts w:ascii="Garamond" w:hAnsi="Garamond"/>
          <w:szCs w:val="24"/>
          <w:lang w:val="sq-AL"/>
        </w:rPr>
        <w:t>vendës</w:t>
      </w:r>
      <w:r w:rsidRPr="00E91B0C">
        <w:rPr>
          <w:rFonts w:ascii="Garamond" w:hAnsi="Garamond"/>
          <w:szCs w:val="24"/>
          <w:lang w:val="sq-AL"/>
        </w:rPr>
        <w:t>e konstatuan se vendimi i Këshillit të Ministrave</w:t>
      </w:r>
      <w:r w:rsidR="00CE3147">
        <w:rPr>
          <w:rFonts w:ascii="Garamond" w:hAnsi="Garamond"/>
          <w:szCs w:val="24"/>
          <w:lang w:val="sq-AL"/>
        </w:rPr>
        <w:t>,</w:t>
      </w:r>
      <w:r w:rsidRPr="00E91B0C">
        <w:rPr>
          <w:rFonts w:ascii="Garamond" w:hAnsi="Garamond"/>
          <w:szCs w:val="24"/>
          <w:lang w:val="sq-AL"/>
        </w:rPr>
        <w:t xml:space="preserve"> i datës 27 nëntor 2013, ishte miratuar në shkelje të mëdha procedurale dhe</w:t>
      </w:r>
      <w:r w:rsidR="00CE3147">
        <w:rPr>
          <w:rFonts w:ascii="Garamond" w:hAnsi="Garamond"/>
          <w:szCs w:val="24"/>
          <w:lang w:val="sq-AL"/>
        </w:rPr>
        <w:t>,</w:t>
      </w:r>
      <w:r w:rsidRPr="00E91B0C">
        <w:rPr>
          <w:rFonts w:ascii="Garamond" w:hAnsi="Garamond"/>
          <w:szCs w:val="24"/>
          <w:lang w:val="sq-AL"/>
        </w:rPr>
        <w:t xml:space="preserve"> në këtë mënyrë</w:t>
      </w:r>
      <w:r w:rsidR="00CE3147">
        <w:rPr>
          <w:rFonts w:ascii="Garamond" w:hAnsi="Garamond"/>
          <w:szCs w:val="24"/>
          <w:lang w:val="sq-AL"/>
        </w:rPr>
        <w:t>,</w:t>
      </w:r>
      <w:r w:rsidRPr="00E91B0C">
        <w:rPr>
          <w:rFonts w:ascii="Garamond" w:hAnsi="Garamond"/>
          <w:szCs w:val="24"/>
          <w:lang w:val="sq-AL"/>
        </w:rPr>
        <w:t xml:space="preserve"> ndryshuan shumën e kompensimit. Kështu, Gjykata e ka të vështirë të pranojë se një kërkesë, sipas seksionit 26 të </w:t>
      </w:r>
      <w:r w:rsidR="003C06FD" w:rsidRPr="00E91B0C">
        <w:rPr>
          <w:rFonts w:ascii="Garamond" w:hAnsi="Garamond"/>
          <w:szCs w:val="24"/>
          <w:lang w:val="sq-AL"/>
        </w:rPr>
        <w:t>aktit të shpronësimit</w:t>
      </w:r>
      <w:r w:rsidRPr="00E91B0C">
        <w:rPr>
          <w:rFonts w:ascii="Garamond" w:hAnsi="Garamond"/>
          <w:szCs w:val="24"/>
          <w:lang w:val="sq-AL"/>
        </w:rPr>
        <w:t xml:space="preserve">, mund të ketë qenë e suksesshme dhe të ketë kompensuar situatën e kërkuesve në një moment kur, ashtu siç vëren edhe Gjykata e Rrethit në vendimin e saj të datës 6 mars 2014, kërkuesve iu ishte ndaluar të ktheheshin në situatën e tyre të mëparshme.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159. Për sa </w:t>
      </w:r>
      <w:r w:rsidR="007957F2">
        <w:rPr>
          <w:rFonts w:ascii="Garamond" w:hAnsi="Garamond"/>
          <w:szCs w:val="24"/>
          <w:lang w:val="sq-AL"/>
        </w:rPr>
        <w:t>u</w:t>
      </w:r>
      <w:r w:rsidRPr="00E91B0C">
        <w:rPr>
          <w:rFonts w:ascii="Garamond" w:hAnsi="Garamond"/>
          <w:szCs w:val="24"/>
          <w:lang w:val="sq-AL"/>
        </w:rPr>
        <w:t xml:space="preserve"> përket ankesave të kërkuesve për pronën e tyre të luajtshme, duke supozuar se iu ishte thënë të hiqnin sendet personale më 4 dhjetor 2013 (shih paragrafin 51 më sipër), Gjykata po shqyrton</w:t>
      </w:r>
      <w:r w:rsidR="00896E0E">
        <w:rPr>
          <w:rFonts w:ascii="Garamond" w:hAnsi="Garamond"/>
          <w:szCs w:val="24"/>
          <w:lang w:val="sq-AL"/>
        </w:rPr>
        <w:t>,</w:t>
      </w:r>
      <w:r w:rsidRPr="00E91B0C">
        <w:rPr>
          <w:rFonts w:ascii="Garamond" w:hAnsi="Garamond"/>
          <w:szCs w:val="24"/>
          <w:lang w:val="sq-AL"/>
        </w:rPr>
        <w:t xml:space="preserve"> si dhe kur mund të kishin shpërngulur kërkuesit pronën e tyre të luajtshme në vende të tjera, teksa në ditën kur iu ishte kërkuar të vepronin kështu, autoritetet kishin vijuar me shembjen e godinës. Gjithashtu, Gjykata vëren se në vendimin e Këshillit të Ministrave, të datës 27 nëntor 2013, autoritetet nuk kishin marrë një vendim në lidhje me pasurinë e luajtshme të kërkuesve, pasi për atë pasuri nuk </w:t>
      </w:r>
      <w:r w:rsidRPr="00E91B0C">
        <w:rPr>
          <w:rFonts w:ascii="Garamond" w:hAnsi="Garamond"/>
          <w:szCs w:val="24"/>
          <w:lang w:val="sq-AL"/>
        </w:rPr>
        <w:lastRenderedPageBreak/>
        <w:t xml:space="preserve">ishte dhënë asnjë përgjegjësi.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160. Për të gjitha arsyet e mësipërme, Gjykata arrin në përfundimin se është shkelur </w:t>
      </w:r>
      <w:r w:rsidR="001073BE" w:rsidRPr="00E91B0C">
        <w:rPr>
          <w:rFonts w:ascii="Garamond" w:hAnsi="Garamond"/>
          <w:szCs w:val="24"/>
          <w:lang w:val="sq-AL"/>
        </w:rPr>
        <w:t>n</w:t>
      </w:r>
      <w:r w:rsidRPr="00E91B0C">
        <w:rPr>
          <w:rFonts w:ascii="Garamond" w:hAnsi="Garamond"/>
          <w:szCs w:val="24"/>
          <w:lang w:val="sq-AL"/>
        </w:rPr>
        <w:t xml:space="preserve">eni 13 së bashku me </w:t>
      </w:r>
      <w:r w:rsidR="001073BE" w:rsidRPr="00E91B0C">
        <w:rPr>
          <w:rFonts w:ascii="Garamond" w:hAnsi="Garamond"/>
          <w:szCs w:val="24"/>
          <w:lang w:val="sq-AL"/>
        </w:rPr>
        <w:t>n</w:t>
      </w:r>
      <w:r w:rsidRPr="00E91B0C">
        <w:rPr>
          <w:rFonts w:ascii="Garamond" w:hAnsi="Garamond"/>
          <w:szCs w:val="24"/>
          <w:lang w:val="sq-AL"/>
        </w:rPr>
        <w:t xml:space="preserve">enin 1 të </w:t>
      </w:r>
      <w:r w:rsidR="001073BE" w:rsidRPr="00E91B0C">
        <w:rPr>
          <w:rFonts w:ascii="Garamond" w:hAnsi="Garamond"/>
          <w:szCs w:val="24"/>
          <w:lang w:val="sq-AL"/>
        </w:rPr>
        <w:t xml:space="preserve">protokollit nr. </w:t>
      </w:r>
      <w:r w:rsidRPr="00E91B0C">
        <w:rPr>
          <w:rFonts w:ascii="Garamond" w:hAnsi="Garamond"/>
          <w:szCs w:val="24"/>
          <w:lang w:val="sq-AL"/>
        </w:rPr>
        <w:t>1 t</w:t>
      </w:r>
      <w:r w:rsidR="001073BE">
        <w:rPr>
          <w:rFonts w:ascii="Garamond" w:hAnsi="Garamond"/>
          <w:szCs w:val="24"/>
          <w:lang w:val="sq-AL"/>
        </w:rPr>
        <w:t>ë</w:t>
      </w:r>
      <w:r w:rsidRPr="00E91B0C">
        <w:rPr>
          <w:rFonts w:ascii="Garamond" w:hAnsi="Garamond"/>
          <w:szCs w:val="24"/>
          <w:lang w:val="sq-AL"/>
        </w:rPr>
        <w:t xml:space="preserve"> Konventës. Më tej, ajo vijon se kundërshtimi i </w:t>
      </w:r>
      <w:r w:rsidR="0018461E" w:rsidRPr="00E91B0C">
        <w:rPr>
          <w:rFonts w:ascii="Garamond" w:hAnsi="Garamond"/>
          <w:szCs w:val="24"/>
          <w:lang w:val="sq-AL"/>
        </w:rPr>
        <w:t xml:space="preserve">qeverisë </w:t>
      </w:r>
      <w:r w:rsidRPr="00E91B0C">
        <w:rPr>
          <w:rFonts w:ascii="Garamond" w:hAnsi="Garamond"/>
          <w:szCs w:val="24"/>
          <w:lang w:val="sq-AL"/>
        </w:rPr>
        <w:t xml:space="preserve">për mosshfrytëzimin e mjeteve të brendshme duhet pushuar.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 xml:space="preserve">Respektim i </w:t>
      </w:r>
      <w:r w:rsidR="001073BE" w:rsidRPr="00E91B0C">
        <w:rPr>
          <w:rFonts w:ascii="Garamond" w:hAnsi="Garamond"/>
          <w:sz w:val="24"/>
          <w:szCs w:val="24"/>
          <w:lang w:val="sq-AL"/>
        </w:rPr>
        <w:t>nenit 1 të protokollit nr</w:t>
      </w:r>
      <w:r w:rsidRPr="00E91B0C">
        <w:rPr>
          <w:rFonts w:ascii="Garamond" w:hAnsi="Garamond"/>
          <w:sz w:val="24"/>
          <w:szCs w:val="24"/>
          <w:lang w:val="sq-AL"/>
        </w:rPr>
        <w:t xml:space="preserve">. 1 të Konventës </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bidi="en-US"/>
        </w:rPr>
      </w:pPr>
      <w:r w:rsidRPr="00E91B0C">
        <w:rPr>
          <w:rFonts w:ascii="Garamond" w:hAnsi="Garamond"/>
          <w:sz w:val="24"/>
          <w:szCs w:val="24"/>
          <w:lang w:val="sq-AL" w:bidi="en-US"/>
        </w:rPr>
        <w:t>i</w:t>
      </w:r>
      <w:r w:rsidR="00E4573F">
        <w:rPr>
          <w:rFonts w:ascii="Garamond" w:hAnsi="Garamond"/>
          <w:sz w:val="24"/>
          <w:szCs w:val="24"/>
          <w:lang w:val="sq-AL" w:bidi="en-US"/>
        </w:rPr>
        <w:t>.</w:t>
      </w:r>
      <w:r w:rsidR="00E91B0C">
        <w:rPr>
          <w:rFonts w:ascii="Garamond" w:hAnsi="Garamond"/>
          <w:sz w:val="24"/>
          <w:szCs w:val="24"/>
          <w:lang w:val="sq-AL" w:bidi="en-US"/>
        </w:rPr>
        <w:t xml:space="preserve"> </w:t>
      </w:r>
      <w:r w:rsidRPr="00E91B0C">
        <w:rPr>
          <w:rFonts w:ascii="Garamond" w:hAnsi="Garamond"/>
          <w:sz w:val="24"/>
          <w:szCs w:val="24"/>
          <w:lang w:val="sq-AL" w:bidi="en-US"/>
        </w:rPr>
        <w:t xml:space="preserve">Parashtrimet e kërkuesve </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161</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Kërkuesit pretenduan një shkelje të të drejtave të tyre mbi pronën si rezultat i shpronësimit dhe shembjes së paligjshme të godinës, në shkelje të </w:t>
      </w:r>
      <w:r w:rsidR="003C06FD" w:rsidRPr="00E91B0C">
        <w:rPr>
          <w:rFonts w:ascii="Garamond" w:hAnsi="Garamond"/>
          <w:szCs w:val="24"/>
          <w:lang w:val="sq-AL"/>
        </w:rPr>
        <w:t>aktit të shpronësimit</w:t>
      </w:r>
      <w:r w:rsidR="00395112" w:rsidRPr="00E91B0C">
        <w:rPr>
          <w:rFonts w:ascii="Garamond" w:hAnsi="Garamond"/>
          <w:szCs w:val="24"/>
          <w:lang w:val="sq-AL"/>
        </w:rPr>
        <w:t xml:space="preserve"> dhe në mosrespektim të urdhrit të përkohshëm d</w:t>
      </w:r>
      <w:r w:rsidR="007957F2">
        <w:rPr>
          <w:rFonts w:ascii="Garamond" w:hAnsi="Garamond"/>
          <w:szCs w:val="24"/>
          <w:lang w:val="sq-AL"/>
        </w:rPr>
        <w:t>he për shkak të mospagimit të</w:t>
      </w:r>
      <w:r w:rsidR="00395112" w:rsidRPr="00E91B0C">
        <w:rPr>
          <w:rFonts w:ascii="Garamond" w:hAnsi="Garamond"/>
          <w:szCs w:val="24"/>
          <w:lang w:val="sq-AL"/>
        </w:rPr>
        <w:t xml:space="preserve"> kompensimit nga autoritetet. Ata parashtruan se kishin pasur të gjitha lejet e nevojshme, godina ishte ndërtuar në respektim të plotë me parashikimet e lejes së ndërtimit dhe ligjit </w:t>
      </w:r>
      <w:r w:rsidR="003C06FD">
        <w:rPr>
          <w:rFonts w:ascii="Garamond" w:hAnsi="Garamond"/>
          <w:szCs w:val="24"/>
          <w:lang w:val="sq-AL"/>
        </w:rPr>
        <w:t>vendës</w:t>
      </w:r>
      <w:r w:rsidR="00395112" w:rsidRPr="00E91B0C">
        <w:rPr>
          <w:rFonts w:ascii="Garamond" w:hAnsi="Garamond"/>
          <w:szCs w:val="24"/>
          <w:lang w:val="sq-AL"/>
        </w:rPr>
        <w:t>, dhe se ata i kishin blerë pronat e tyre në mirëbesim. Autoritetet e kishin injoruar masën e përkohshme dhe e kishin përshpejtuar procedurën e shpronësimit me anë të shembjes. Urdhri i shpronësimit u miratua ditën e mërkurë</w:t>
      </w:r>
      <w:r w:rsidR="00CB0859">
        <w:rPr>
          <w:rFonts w:ascii="Garamond" w:hAnsi="Garamond"/>
          <w:szCs w:val="24"/>
          <w:lang w:val="sq-AL"/>
        </w:rPr>
        <w:t>,</w:t>
      </w:r>
      <w:r w:rsidR="00395112" w:rsidRPr="00E91B0C">
        <w:rPr>
          <w:rFonts w:ascii="Garamond" w:hAnsi="Garamond"/>
          <w:szCs w:val="24"/>
          <w:lang w:val="sq-AL"/>
        </w:rPr>
        <w:t xml:space="preserve"> më 27 nëntor 2013 dhe dy ditët e tjera në vijim ishin pushime zyrtare. Më 2 dhjetor, dita e parë zyrtare e punës pas kësaj, kryetari i bashkisë së Vlorës i kërkoi ndihmë INUK-ut për shembjen e Rezidencës Jon, përpara se vendimi i Këshillit të Ministrave të publikohej edhe në Fletoren Zyrtare. Kështu, ata nuk mund të kishin kundërshtuar në asnjë mënyrë ligjshmërinë e veprimeve të autoriteteve, për të marrë masa parandaluese ndaj tyre, përpara se të realizohej shembja e godinës.</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162. Ndërhyrja me të drejtat e tyre mbi pronën kishte qenë e paligjshme dhe në kundërshtim me </w:t>
      </w:r>
      <w:r w:rsidR="003C06FD" w:rsidRPr="00E91B0C">
        <w:rPr>
          <w:rFonts w:ascii="Garamond" w:hAnsi="Garamond"/>
          <w:szCs w:val="24"/>
          <w:lang w:val="sq-AL"/>
        </w:rPr>
        <w:t xml:space="preserve">aktin e shpronësimit, sepse, midis arsyeve të tjera, nga ana e Bashkisë së Vlorës nuk ishte paraqitur </w:t>
      </w:r>
      <w:r w:rsidRPr="00E91B0C">
        <w:rPr>
          <w:rFonts w:ascii="Garamond" w:hAnsi="Garamond"/>
          <w:szCs w:val="24"/>
          <w:lang w:val="sq-AL"/>
        </w:rPr>
        <w:t>asnjë kërkesë për shpronësim te ministri kompetent, si edhe nuk ishte bërë asnjë njoftim publik për shpronësimin e planifikuar, dhe jo më një njoftim i drejtpërdrejtë për ta. Nuk ishin respektuar afatet kohore të parashikuara me statut. Procedura e shpronësimit kishte zgjatur vetëm tr</w:t>
      </w:r>
      <w:r w:rsidR="003C06FD">
        <w:rPr>
          <w:rFonts w:ascii="Garamond" w:hAnsi="Garamond"/>
          <w:szCs w:val="24"/>
          <w:lang w:val="sq-AL"/>
        </w:rPr>
        <w:t>i</w:t>
      </w:r>
      <w:r w:rsidRPr="00E91B0C">
        <w:rPr>
          <w:rFonts w:ascii="Garamond" w:hAnsi="Garamond"/>
          <w:szCs w:val="24"/>
          <w:lang w:val="sq-AL"/>
        </w:rPr>
        <w:t xml:space="preserve"> ditë. Mosrespektimi i sigurisë procedurale e parashikuar me ligj e kishte bërë të pamundur që ata të mund ta paraqisnin çështjen e tyre tek autoritetet kompetente për të kundërshtuar ndërhyrjen në të drejtat e tyre mbi pronën. Në vijim, kërkuesit parashtruan se shpronësimi dhe shembja e Rezidencës Jon nuk kishte ndjekur ndonjë objektiv legjitim në interesin publik në kohën e shpronësimit. Pretendohej se shpronësimi ishte urdhëruar për rehabilitimin mjedisor të vijës bregdetare. Megjithatë, Kryeministri kishte njoftuar publikisht se shpronësimi kishte qenë i nevojshëm për të ndërtuar të ashtëquajturën “Lungomarja e Vlorës” për qëllime argëtimi dhe turizmi.</w:t>
      </w:r>
      <w:r w:rsidR="00E91B0C">
        <w:rPr>
          <w:rFonts w:ascii="Garamond" w:hAnsi="Garamond"/>
          <w:szCs w:val="24"/>
          <w:lang w:val="sq-AL"/>
        </w:rPr>
        <w:t xml:space="preserve"> </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163</w:t>
      </w:r>
      <w:r w:rsidR="00395112" w:rsidRPr="00E91B0C">
        <w:rPr>
          <w:rFonts w:ascii="Garamond" w:hAnsi="Garamond"/>
          <w:szCs w:val="24"/>
          <w:lang w:val="sq-AL"/>
        </w:rPr>
        <w:t>. Për më tepër, autoritetet shqiptare nuk kishin vendosur një balancë të drejtë midis interesave konkurrues. Ata duhet të kishin realizuar një inspektim parandalues të godinës për vlerësimin e interesave të ndrysh</w:t>
      </w:r>
      <w:r w:rsidR="003C06FD">
        <w:rPr>
          <w:rFonts w:ascii="Garamond" w:hAnsi="Garamond"/>
          <w:szCs w:val="24"/>
          <w:lang w:val="sq-AL"/>
        </w:rPr>
        <w:t>ë</w:t>
      </w:r>
      <w:r w:rsidR="00395112" w:rsidRPr="00E91B0C">
        <w:rPr>
          <w:rFonts w:ascii="Garamond" w:hAnsi="Garamond"/>
          <w:szCs w:val="24"/>
          <w:lang w:val="sq-AL"/>
        </w:rPr>
        <w:t>m të kundërt përpara lëshimit të lejeve legjitime të ndërtimit dhe të mos ndryshonin mendjen në mënyrë arbitrare menjëherë pasi të përfundonte godina. Kërkuesit parashtruan se ata nuk ishin kompensuar deri në ato momente dhe ishin të pasigurt nëse do të mund të merrnin ndonjë ndonjëherë. Për më tepër, ata nuk ishin kompensuar për humbjen e pasurive të tyre të luajtshme dhe sendet personale. Ata parashtruan se pezullimi i vendimit të Gjykatës së Apelit, i datës 15 janar 2015, nga Gjykata e Lartë nuk kishte lidhje me vendimin e vitit 2014 të Këshillit të Ministrave për kompensimin, i cili ishte ende në fuqi dhe për arsye të paspecifikuara të cilat nuk ishin ekzekutuar. Ata pretenduan edhe për një ndërhyrje legjislative arbitrare si rezultat i vendimit të Këshillit të Ministrave, i datës 9 prill 2014, i cili kishte ulur në mënyrë të njëanshme shumën e kompensimit të dhënë për privimin nga prona e tyre sipas vendimit të Gjykatës së Rrethit, i datës 6 mars 2014.</w:t>
      </w:r>
      <w:r w:rsidR="00E91B0C">
        <w:rPr>
          <w:rFonts w:ascii="Garamond" w:hAnsi="Garamond"/>
          <w:szCs w:val="24"/>
          <w:lang w:val="sq-AL"/>
        </w:rPr>
        <w:t xml:space="preserve"> </w:t>
      </w:r>
    </w:p>
    <w:p w:rsidR="00395112" w:rsidRPr="00E91B0C" w:rsidRDefault="00E4573F" w:rsidP="00395112">
      <w:pPr>
        <w:pStyle w:val="ECHRHeading5"/>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w:t>
      </w:r>
      <w:r w:rsidR="00395112" w:rsidRPr="00E91B0C">
        <w:rPr>
          <w:rFonts w:ascii="Garamond" w:hAnsi="Garamond"/>
          <w:sz w:val="24"/>
          <w:szCs w:val="24"/>
          <w:lang w:val="sq-AL"/>
        </w:rPr>
        <w:t>ii)</w:t>
      </w:r>
      <w:r w:rsidR="00E91B0C">
        <w:rPr>
          <w:rFonts w:ascii="Garamond" w:hAnsi="Garamond"/>
          <w:sz w:val="24"/>
          <w:szCs w:val="24"/>
          <w:lang w:val="sq-AL"/>
        </w:rPr>
        <w:t xml:space="preserve"> </w:t>
      </w:r>
      <w:r w:rsidR="00395112" w:rsidRPr="00E91B0C">
        <w:rPr>
          <w:rFonts w:ascii="Garamond" w:hAnsi="Garamond"/>
          <w:sz w:val="24"/>
          <w:szCs w:val="24"/>
          <w:lang w:val="sq-AL"/>
        </w:rPr>
        <w:t xml:space="preserve">Parashtrimet e </w:t>
      </w:r>
      <w:r w:rsidR="0018461E" w:rsidRPr="00E91B0C">
        <w:rPr>
          <w:rFonts w:ascii="Garamond" w:hAnsi="Garamond"/>
          <w:sz w:val="24"/>
          <w:szCs w:val="24"/>
          <w:lang w:val="sq-AL"/>
        </w:rPr>
        <w:t>q</w:t>
      </w:r>
      <w:r w:rsidR="00395112" w:rsidRPr="00E91B0C">
        <w:rPr>
          <w:rFonts w:ascii="Garamond" w:hAnsi="Garamond"/>
          <w:sz w:val="24"/>
          <w:szCs w:val="24"/>
          <w:lang w:val="sq-AL"/>
        </w:rPr>
        <w:t>everisë</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164</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Fillimisht, </w:t>
      </w:r>
      <w:r w:rsidR="0018461E" w:rsidRPr="00E91B0C">
        <w:rPr>
          <w:rFonts w:ascii="Garamond" w:hAnsi="Garamond"/>
          <w:szCs w:val="24"/>
          <w:lang w:val="sq-AL"/>
        </w:rPr>
        <w:t>q</w:t>
      </w:r>
      <w:r w:rsidR="00395112" w:rsidRPr="00E91B0C">
        <w:rPr>
          <w:rFonts w:ascii="Garamond" w:hAnsi="Garamond"/>
          <w:szCs w:val="24"/>
          <w:lang w:val="sq-AL"/>
        </w:rPr>
        <w:t>everia parashtroi se duke qenë se procedimet ishin ende pezull përpara Gjykatës së Lartë, ishte e pamundur për të të ofronte opinionin e saj ligjor</w:t>
      </w:r>
      <w:r w:rsidR="00CB0859">
        <w:rPr>
          <w:rFonts w:ascii="Garamond" w:hAnsi="Garamond"/>
          <w:szCs w:val="24"/>
          <w:lang w:val="sq-AL"/>
        </w:rPr>
        <w:t>,</w:t>
      </w:r>
      <w:r w:rsidR="00395112" w:rsidRPr="00E91B0C">
        <w:rPr>
          <w:rFonts w:ascii="Garamond" w:hAnsi="Garamond"/>
          <w:szCs w:val="24"/>
          <w:lang w:val="sq-AL"/>
        </w:rPr>
        <w:t xml:space="preserve"> n</w:t>
      </w:r>
      <w:r w:rsidR="00CB0859">
        <w:rPr>
          <w:rFonts w:ascii="Garamond" w:hAnsi="Garamond"/>
          <w:szCs w:val="24"/>
          <w:lang w:val="sq-AL"/>
        </w:rPr>
        <w:t>ë</w:t>
      </w:r>
      <w:r w:rsidR="00395112" w:rsidRPr="00E91B0C">
        <w:rPr>
          <w:rFonts w:ascii="Garamond" w:hAnsi="Garamond"/>
          <w:szCs w:val="24"/>
          <w:lang w:val="sq-AL"/>
        </w:rPr>
        <w:t xml:space="preserve"> lidhje me </w:t>
      </w:r>
      <w:r w:rsidR="001073BE" w:rsidRPr="00E91B0C">
        <w:rPr>
          <w:rFonts w:ascii="Garamond" w:hAnsi="Garamond"/>
          <w:szCs w:val="24"/>
          <w:lang w:val="sq-AL"/>
        </w:rPr>
        <w:t>nenin 1</w:t>
      </w:r>
      <w:r w:rsidR="00517D24">
        <w:rPr>
          <w:rFonts w:ascii="Garamond" w:hAnsi="Garamond"/>
          <w:szCs w:val="24"/>
          <w:lang w:val="sq-AL"/>
        </w:rPr>
        <w:t>,</w:t>
      </w:r>
      <w:r w:rsidR="001073BE" w:rsidRPr="00E91B0C">
        <w:rPr>
          <w:rFonts w:ascii="Garamond" w:hAnsi="Garamond"/>
          <w:szCs w:val="24"/>
          <w:lang w:val="sq-AL"/>
        </w:rPr>
        <w:t xml:space="preserve"> protokolli</w:t>
      </w:r>
      <w:r w:rsidR="00517D24">
        <w:rPr>
          <w:rFonts w:ascii="Garamond" w:hAnsi="Garamond"/>
          <w:szCs w:val="24"/>
          <w:lang w:val="sq-AL"/>
        </w:rPr>
        <w:t>t</w:t>
      </w:r>
      <w:r w:rsidR="001073BE" w:rsidRPr="00E91B0C">
        <w:rPr>
          <w:rFonts w:ascii="Garamond" w:hAnsi="Garamond"/>
          <w:szCs w:val="24"/>
          <w:lang w:val="sq-AL"/>
        </w:rPr>
        <w:t xml:space="preserve"> nr.</w:t>
      </w:r>
      <w:r w:rsidR="00395112" w:rsidRPr="00E91B0C">
        <w:rPr>
          <w:rFonts w:ascii="Garamond" w:hAnsi="Garamond"/>
          <w:szCs w:val="24"/>
          <w:lang w:val="sq-AL"/>
        </w:rPr>
        <w:t xml:space="preserve"> 1. Në parashtrimet e saj verbale, </w:t>
      </w:r>
      <w:r w:rsidR="0018461E" w:rsidRPr="00E91B0C">
        <w:rPr>
          <w:rFonts w:ascii="Garamond" w:hAnsi="Garamond"/>
          <w:szCs w:val="24"/>
          <w:lang w:val="sq-AL"/>
        </w:rPr>
        <w:t>q</w:t>
      </w:r>
      <w:r w:rsidR="00395112" w:rsidRPr="00E91B0C">
        <w:rPr>
          <w:rFonts w:ascii="Garamond" w:hAnsi="Garamond"/>
          <w:szCs w:val="24"/>
          <w:lang w:val="sq-AL"/>
        </w:rPr>
        <w:t xml:space="preserve">everia përsëriti se teksa e pranonte se kishte pasur një ndërhyrje në të drejtat e kërkuesve mbi pronën për sa i përket procedurës së shpronësimit, nuk kishte pasur ndërhyrje me të drejtat e kërkuesve mbi pronën si rezultat i shembjes. Sipas </w:t>
      </w:r>
      <w:r w:rsidR="0018461E" w:rsidRPr="00E91B0C">
        <w:rPr>
          <w:rFonts w:ascii="Garamond" w:hAnsi="Garamond"/>
          <w:szCs w:val="24"/>
          <w:lang w:val="sq-AL"/>
        </w:rPr>
        <w:t>q</w:t>
      </w:r>
      <w:r w:rsidR="00395112" w:rsidRPr="00E91B0C">
        <w:rPr>
          <w:rFonts w:ascii="Garamond" w:hAnsi="Garamond"/>
          <w:szCs w:val="24"/>
          <w:lang w:val="sq-AL"/>
        </w:rPr>
        <w:t>everisë, kishte një interes legjitim në interesin publik për shpronësimin e kërkuesve, më konkretisht</w:t>
      </w:r>
      <w:r w:rsidR="007D582B">
        <w:rPr>
          <w:rFonts w:ascii="Garamond" w:hAnsi="Garamond"/>
          <w:szCs w:val="24"/>
          <w:lang w:val="sq-AL"/>
        </w:rPr>
        <w:t>,</w:t>
      </w:r>
      <w:r w:rsidR="00395112" w:rsidRPr="00E91B0C">
        <w:rPr>
          <w:rFonts w:ascii="Garamond" w:hAnsi="Garamond"/>
          <w:szCs w:val="24"/>
          <w:lang w:val="sq-AL"/>
        </w:rPr>
        <w:t xml:space="preserve"> realizimi i projektit të infrastrukturës, i cili përfshinte një riklasifikim të zonës dhe një ndërhyrje mjedisore, kryesisht për shkak të problemeve me përmbytjet në zonë. Pavarësisht vështirësive që dolën, tashmë projekti ka përfunduar dhe shumica e Lungomares është në përdorim. Procedura e shpronësimit u ndërmor në përputhje me ligjin e brendshëm dhe vendimin e Këshillit të Ministrave</w:t>
      </w:r>
      <w:r w:rsidR="00342374">
        <w:rPr>
          <w:rFonts w:ascii="Garamond" w:hAnsi="Garamond"/>
          <w:szCs w:val="24"/>
          <w:lang w:val="sq-AL"/>
        </w:rPr>
        <w:t>,</w:t>
      </w:r>
      <w:r w:rsidR="00395112" w:rsidRPr="00E91B0C">
        <w:rPr>
          <w:rFonts w:ascii="Garamond" w:hAnsi="Garamond"/>
          <w:szCs w:val="24"/>
          <w:lang w:val="sq-AL"/>
        </w:rPr>
        <w:t xml:space="preserve"> të datës 27 </w:t>
      </w:r>
      <w:r w:rsidR="001073BE" w:rsidRPr="00E91B0C">
        <w:rPr>
          <w:rFonts w:ascii="Garamond" w:hAnsi="Garamond"/>
          <w:szCs w:val="24"/>
          <w:lang w:val="sq-AL"/>
        </w:rPr>
        <w:t>n</w:t>
      </w:r>
      <w:r w:rsidR="00395112" w:rsidRPr="00E91B0C">
        <w:rPr>
          <w:rFonts w:ascii="Garamond" w:hAnsi="Garamond"/>
          <w:szCs w:val="24"/>
          <w:lang w:val="sq-AL"/>
        </w:rPr>
        <w:t>ëntor 2013. Mbi këto baza, Bashkia Vlorë kërkoi ndihmën e INUK</w:t>
      </w:r>
      <w:r w:rsidR="00342374">
        <w:rPr>
          <w:rFonts w:ascii="Garamond" w:hAnsi="Garamond"/>
          <w:szCs w:val="24"/>
          <w:lang w:val="sq-AL"/>
        </w:rPr>
        <w:t>-ut</w:t>
      </w:r>
      <w:r w:rsidR="00395112" w:rsidRPr="00E91B0C">
        <w:rPr>
          <w:rFonts w:ascii="Garamond" w:hAnsi="Garamond"/>
          <w:szCs w:val="24"/>
          <w:lang w:val="sq-AL"/>
        </w:rPr>
        <w:t xml:space="preserve"> për shembjen e pronës. Sipas </w:t>
      </w:r>
      <w:r w:rsidR="0018461E" w:rsidRPr="00E91B0C">
        <w:rPr>
          <w:rFonts w:ascii="Garamond" w:hAnsi="Garamond"/>
          <w:szCs w:val="24"/>
          <w:lang w:val="sq-AL"/>
        </w:rPr>
        <w:t>q</w:t>
      </w:r>
      <w:r w:rsidR="00395112" w:rsidRPr="00E91B0C">
        <w:rPr>
          <w:rFonts w:ascii="Garamond" w:hAnsi="Garamond"/>
          <w:szCs w:val="24"/>
          <w:lang w:val="sq-AL"/>
        </w:rPr>
        <w:t>everisë, kërkuesit kishin dijeni se ekzistonte një arsye legjitime për shpronësimin, për këtë arsye</w:t>
      </w:r>
      <w:r w:rsidR="00342374">
        <w:rPr>
          <w:rFonts w:ascii="Garamond" w:hAnsi="Garamond"/>
          <w:szCs w:val="24"/>
          <w:lang w:val="sq-AL"/>
        </w:rPr>
        <w:t>,</w:t>
      </w:r>
      <w:r w:rsidR="00395112" w:rsidRPr="00E91B0C">
        <w:rPr>
          <w:rFonts w:ascii="Garamond" w:hAnsi="Garamond"/>
          <w:szCs w:val="24"/>
          <w:lang w:val="sq-AL"/>
        </w:rPr>
        <w:t xml:space="preserve"> ata e kishin kundërshtuar vlerën e </w:t>
      </w:r>
      <w:r w:rsidR="00395112" w:rsidRPr="00E91B0C">
        <w:rPr>
          <w:rFonts w:ascii="Garamond" w:hAnsi="Garamond"/>
          <w:szCs w:val="24"/>
          <w:lang w:val="sq-AL"/>
        </w:rPr>
        <w:lastRenderedPageBreak/>
        <w:t xml:space="preserve">shpronësimit përpara gjykatave </w:t>
      </w:r>
      <w:r w:rsidR="003C06FD">
        <w:rPr>
          <w:rFonts w:ascii="Garamond" w:hAnsi="Garamond"/>
          <w:szCs w:val="24"/>
          <w:lang w:val="sq-AL"/>
        </w:rPr>
        <w:t>vendës</w:t>
      </w:r>
      <w:r w:rsidR="00395112" w:rsidRPr="00E91B0C">
        <w:rPr>
          <w:rFonts w:ascii="Garamond" w:hAnsi="Garamond"/>
          <w:szCs w:val="24"/>
          <w:lang w:val="sq-AL"/>
        </w:rPr>
        <w:t>e. Edhe po të supozohet se shpronësimi do të deklarohej i pavlefshëm, kjo gjë vetëm do t’i kishte shtyrë për më vonë problematikat</w:t>
      </w:r>
      <w:r w:rsidR="00336CCD">
        <w:rPr>
          <w:rFonts w:ascii="Garamond" w:hAnsi="Garamond"/>
          <w:szCs w:val="24"/>
          <w:lang w:val="sq-AL"/>
        </w:rPr>
        <w:t>,</w:t>
      </w:r>
      <w:r w:rsidR="00395112" w:rsidRPr="00E91B0C">
        <w:rPr>
          <w:rFonts w:ascii="Garamond" w:hAnsi="Garamond"/>
          <w:szCs w:val="24"/>
          <w:lang w:val="sq-AL"/>
        </w:rPr>
        <w:t xml:space="preserve"> një ditë shpronësimi do të kishte ndodhur. Gjykatat </w:t>
      </w:r>
      <w:r w:rsidR="003C06FD">
        <w:rPr>
          <w:rFonts w:ascii="Garamond" w:hAnsi="Garamond"/>
          <w:szCs w:val="24"/>
          <w:lang w:val="sq-AL"/>
        </w:rPr>
        <w:t>vendës</w:t>
      </w:r>
      <w:r w:rsidR="00395112" w:rsidRPr="00E91B0C">
        <w:rPr>
          <w:rFonts w:ascii="Garamond" w:hAnsi="Garamond"/>
          <w:szCs w:val="24"/>
          <w:lang w:val="sq-AL"/>
        </w:rPr>
        <w:t>e e kishin ndryshuar vendimin e Këshillit të Ministrave</w:t>
      </w:r>
      <w:r w:rsidR="00336CCD">
        <w:rPr>
          <w:rFonts w:ascii="Garamond" w:hAnsi="Garamond"/>
          <w:szCs w:val="24"/>
          <w:lang w:val="sq-AL"/>
        </w:rPr>
        <w:t>,</w:t>
      </w:r>
      <w:r w:rsidR="00395112" w:rsidRPr="00E91B0C">
        <w:rPr>
          <w:rFonts w:ascii="Garamond" w:hAnsi="Garamond"/>
          <w:szCs w:val="24"/>
          <w:lang w:val="sq-AL"/>
        </w:rPr>
        <w:t xml:space="preserve"> të datës 27 nëntor 2013, në lidhje me shumën e kompensimit, por jo shpronësimin. Për herë të parë, kërkuesit kishin parashtruar në Gjykatë se shpronësimi nuk kishte qenë legjitim ose në interesin publik. Për më tepër, Këshilli i Ministrave kishte ndryshuar vendimin e tij, të datës 27 nëntor 2013, me vendimin e datës 9 prill 2014, sepse në atë kohë ishte menduar se vendimit të datës 27 nëntor 2013 i mungonin disa elementë (disa prej kërkuesve ishin përjashtuar). Vendimi i Këshillit të Ministrave</w:t>
      </w:r>
      <w:r w:rsidR="00F57276">
        <w:rPr>
          <w:rFonts w:ascii="Garamond" w:hAnsi="Garamond"/>
          <w:szCs w:val="24"/>
          <w:lang w:val="sq-AL"/>
        </w:rPr>
        <w:t>,</w:t>
      </w:r>
      <w:r w:rsidR="00395112" w:rsidRPr="00E91B0C">
        <w:rPr>
          <w:rFonts w:ascii="Garamond" w:hAnsi="Garamond"/>
          <w:szCs w:val="24"/>
          <w:lang w:val="sq-AL"/>
        </w:rPr>
        <w:t xml:space="preserve"> i datës 9 prill 2014, nuk kishte lidhje me vendimet e gjykatave </w:t>
      </w:r>
      <w:r w:rsidR="003C06FD">
        <w:rPr>
          <w:rFonts w:ascii="Garamond" w:hAnsi="Garamond"/>
          <w:szCs w:val="24"/>
          <w:lang w:val="sq-AL"/>
        </w:rPr>
        <w:t>vendës</w:t>
      </w:r>
      <w:r w:rsidR="00395112" w:rsidRPr="00E91B0C">
        <w:rPr>
          <w:rFonts w:ascii="Garamond" w:hAnsi="Garamond"/>
          <w:szCs w:val="24"/>
          <w:lang w:val="sq-AL"/>
        </w:rPr>
        <w:t>e të datës 6 mars dhe 23 shtator 2014.</w:t>
      </w:r>
      <w:r w:rsidR="00E91B0C">
        <w:rPr>
          <w:rFonts w:ascii="Garamond" w:hAnsi="Garamond"/>
          <w:szCs w:val="24"/>
          <w:lang w:val="sq-AL"/>
        </w:rPr>
        <w:t xml:space="preserve"> </w:t>
      </w:r>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c)</w:t>
      </w:r>
      <w:r w:rsidR="00E91B0C">
        <w:rPr>
          <w:rFonts w:ascii="Garamond" w:hAnsi="Garamond"/>
          <w:sz w:val="24"/>
          <w:szCs w:val="24"/>
          <w:lang w:val="sq-AL"/>
        </w:rPr>
        <w:t xml:space="preserve"> </w:t>
      </w:r>
      <w:r w:rsidRPr="00E91B0C">
        <w:rPr>
          <w:rFonts w:ascii="Garamond" w:hAnsi="Garamond"/>
          <w:sz w:val="24"/>
          <w:szCs w:val="24"/>
          <w:lang w:val="sq-AL"/>
        </w:rPr>
        <w:t>Vlerësimi i Gjykatës</w:t>
      </w:r>
    </w:p>
    <w:p w:rsidR="00395112" w:rsidRPr="00E91B0C" w:rsidRDefault="00395112" w:rsidP="00395112">
      <w:pPr>
        <w:pStyle w:val="ECHRHeading5"/>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i</w:t>
      </w:r>
      <w:r w:rsidR="005B203A">
        <w:rPr>
          <w:rFonts w:ascii="Garamond" w:hAnsi="Garamond"/>
          <w:sz w:val="24"/>
          <w:szCs w:val="24"/>
          <w:lang w:val="sq-AL"/>
        </w:rPr>
        <w:t>.</w:t>
      </w:r>
      <w:r w:rsidR="00E91B0C">
        <w:rPr>
          <w:rFonts w:ascii="Garamond" w:hAnsi="Garamond"/>
          <w:sz w:val="24"/>
          <w:szCs w:val="24"/>
          <w:lang w:val="sq-AL"/>
        </w:rPr>
        <w:t xml:space="preserve"> </w:t>
      </w:r>
      <w:r w:rsidRPr="00E91B0C">
        <w:rPr>
          <w:rFonts w:ascii="Garamond" w:hAnsi="Garamond"/>
          <w:sz w:val="24"/>
          <w:szCs w:val="24"/>
          <w:lang w:val="sq-AL"/>
        </w:rPr>
        <w:t xml:space="preserve">Parimet e </w:t>
      </w:r>
      <w:r w:rsidR="00DC4E24" w:rsidRPr="00E91B0C">
        <w:rPr>
          <w:rFonts w:ascii="Garamond" w:hAnsi="Garamond"/>
          <w:sz w:val="24"/>
          <w:szCs w:val="24"/>
          <w:lang w:val="sq-AL"/>
        </w:rPr>
        <w:t>përgjithshme</w:t>
      </w:r>
    </w:p>
    <w:p w:rsidR="00395112" w:rsidRPr="00E91B0C" w:rsidRDefault="00555606" w:rsidP="00395112">
      <w:pPr>
        <w:pStyle w:val="JuPara"/>
        <w:widowControl w:val="0"/>
        <w:rPr>
          <w:rFonts w:ascii="Garamond" w:eastAsia="Times New Roman" w:hAnsi="Garamond"/>
          <w:szCs w:val="24"/>
          <w:lang w:val="sq-AL"/>
        </w:rPr>
      </w:pPr>
      <w:r>
        <w:rPr>
          <w:rFonts w:ascii="Garamond" w:hAnsi="Garamond"/>
          <w:szCs w:val="24"/>
          <w:lang w:val="sq-AL"/>
        </w:rPr>
        <w:t>165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Në lidhje me faktin nëse ka pasur ose jo një ndërhyrje, Gjykata përsërit se në përcaktimin nëse ka pasur një privim</w:t>
      </w:r>
      <w:r w:rsidR="00E91B0C">
        <w:rPr>
          <w:rFonts w:ascii="Garamond" w:hAnsi="Garamond"/>
          <w:szCs w:val="24"/>
          <w:lang w:val="sq-AL"/>
        </w:rPr>
        <w:t xml:space="preserve"> </w:t>
      </w:r>
      <w:r w:rsidR="00395112" w:rsidRPr="00E91B0C">
        <w:rPr>
          <w:rFonts w:ascii="Garamond" w:hAnsi="Garamond"/>
          <w:szCs w:val="24"/>
          <w:lang w:val="sq-AL"/>
        </w:rPr>
        <w:t>nga pasuritë brenda “rregull</w:t>
      </w:r>
      <w:r w:rsidR="00781175">
        <w:rPr>
          <w:rFonts w:ascii="Garamond" w:hAnsi="Garamond"/>
          <w:szCs w:val="24"/>
          <w:lang w:val="sq-AL"/>
        </w:rPr>
        <w:t>ës</w:t>
      </w:r>
      <w:r w:rsidR="00395112" w:rsidRPr="00E91B0C">
        <w:rPr>
          <w:rFonts w:ascii="Garamond" w:hAnsi="Garamond"/>
          <w:szCs w:val="24"/>
          <w:lang w:val="sq-AL"/>
        </w:rPr>
        <w:t xml:space="preserve"> </w:t>
      </w:r>
      <w:r w:rsidR="00781175">
        <w:rPr>
          <w:rFonts w:ascii="Garamond" w:hAnsi="Garamond"/>
          <w:szCs w:val="24"/>
          <w:lang w:val="sq-AL"/>
        </w:rPr>
        <w:t>s</w:t>
      </w:r>
      <w:r w:rsidR="00395112" w:rsidRPr="00E91B0C">
        <w:rPr>
          <w:rFonts w:ascii="Garamond" w:hAnsi="Garamond"/>
          <w:szCs w:val="24"/>
          <w:lang w:val="sq-AL"/>
        </w:rPr>
        <w:t>ë dytë</w:t>
      </w:r>
      <w:r w:rsidR="00781175" w:rsidRPr="00E91B0C">
        <w:rPr>
          <w:rFonts w:ascii="Garamond" w:hAnsi="Garamond"/>
          <w:szCs w:val="24"/>
          <w:lang w:val="sq-AL"/>
        </w:rPr>
        <w:t>”</w:t>
      </w:r>
      <w:r w:rsidR="00395112" w:rsidRPr="00E91B0C">
        <w:rPr>
          <w:rFonts w:ascii="Garamond" w:hAnsi="Garamond"/>
          <w:szCs w:val="24"/>
          <w:lang w:val="sq-AL"/>
        </w:rPr>
        <w:t xml:space="preserve">, është e nevojshme të mos konsiderohet nëse ka pasur një marrje ose shpronësim formal të tokës, por të shihet përtej fasadës dhe të hetohen realitetet e situatës për të cilën janë bërë ankimet. Duke qenë se Konventa ka për synim të garantojë të drejtat, të cilat janë “praktike dhe efikase”, duhet të përcaktohet nëse situata ishte një shpronësim </w:t>
      </w:r>
      <w:r w:rsidR="00395112" w:rsidRPr="00E91B0C">
        <w:rPr>
          <w:rFonts w:ascii="Garamond" w:hAnsi="Garamond"/>
          <w:i/>
          <w:szCs w:val="24"/>
          <w:lang w:val="sq-AL"/>
        </w:rPr>
        <w:t xml:space="preserve">de facto </w:t>
      </w:r>
      <w:r w:rsidR="00395112" w:rsidRPr="00E91B0C">
        <w:rPr>
          <w:rFonts w:ascii="Garamond" w:eastAsia="Times New Roman" w:hAnsi="Garamond"/>
          <w:szCs w:val="24"/>
          <w:lang w:val="sq-AL"/>
        </w:rPr>
        <w:t xml:space="preserve">(shih </w:t>
      </w:r>
      <w:r w:rsidR="00395112" w:rsidRPr="00E91B0C">
        <w:rPr>
          <w:rFonts w:ascii="Garamond" w:hAnsi="Garamond"/>
          <w:i/>
          <w:szCs w:val="24"/>
          <w:lang w:val="sq-AL"/>
        </w:rPr>
        <w:t>Brumărescu kundër Rumanisë</w:t>
      </w:r>
      <w:r w:rsidR="00395112" w:rsidRPr="00E91B0C">
        <w:rPr>
          <w:rFonts w:ascii="Garamond" w:hAnsi="Garamond"/>
          <w:szCs w:val="24"/>
          <w:lang w:val="sq-AL"/>
        </w:rPr>
        <w:t xml:space="preserve"> [DHM], nr. 28342/95</w:t>
      </w:r>
      <w:r w:rsidR="008541A0">
        <w:rPr>
          <w:rFonts w:ascii="Garamond" w:hAnsi="Garamond"/>
          <w:szCs w:val="24"/>
          <w:lang w:val="sq-AL"/>
        </w:rPr>
        <w:t>, §</w:t>
      </w:r>
      <w:r w:rsidR="00395112" w:rsidRPr="00E91B0C">
        <w:rPr>
          <w:rFonts w:ascii="Garamond" w:hAnsi="Garamond"/>
          <w:szCs w:val="24"/>
          <w:lang w:val="sq-AL"/>
        </w:rPr>
        <w:t>76, GJEDNJ 1999</w:t>
      </w:r>
      <w:r w:rsidR="00395112" w:rsidRPr="00E91B0C">
        <w:rPr>
          <w:rFonts w:ascii="Garamond" w:hAnsi="Garamond"/>
          <w:szCs w:val="24"/>
          <w:lang w:val="sq-AL"/>
        </w:rPr>
        <w:noBreakHyphen/>
        <w:t xml:space="preserve">VII, </w:t>
      </w:r>
      <w:r w:rsidR="00395112" w:rsidRPr="00E91B0C">
        <w:rPr>
          <w:rFonts w:ascii="Garamond" w:eastAsia="Times New Roman" w:hAnsi="Garamond"/>
          <w:szCs w:val="24"/>
          <w:lang w:val="sq-AL"/>
        </w:rPr>
        <w:t xml:space="preserve">dhe </w:t>
      </w:r>
      <w:r w:rsidR="00395112" w:rsidRPr="00E91B0C">
        <w:rPr>
          <w:rFonts w:ascii="Garamond" w:eastAsia="Times New Roman" w:hAnsi="Garamond"/>
          <w:i/>
          <w:szCs w:val="24"/>
          <w:lang w:val="sq-AL"/>
        </w:rPr>
        <w:t>Sporrong dhe Lönnroth kundër Suedisë</w:t>
      </w:r>
      <w:r w:rsidR="00395112" w:rsidRPr="00E91B0C">
        <w:rPr>
          <w:rFonts w:ascii="Garamond" w:eastAsia="Times New Roman" w:hAnsi="Garamond"/>
          <w:szCs w:val="24"/>
          <w:lang w:val="sq-AL"/>
        </w:rPr>
        <w:t>, 23 shtator 1982, §§ 63 dhe 69</w:t>
      </w:r>
      <w:r w:rsidR="005B203A">
        <w:rPr>
          <w:rFonts w:ascii="Garamond" w:hAnsi="Garamond"/>
          <w:szCs w:val="24"/>
          <w:lang w:val="sq-AL"/>
        </w:rPr>
        <w:t>–</w:t>
      </w:r>
      <w:r w:rsidR="00395112" w:rsidRPr="00E91B0C">
        <w:rPr>
          <w:rFonts w:ascii="Garamond" w:eastAsia="Times New Roman" w:hAnsi="Garamond"/>
          <w:szCs w:val="24"/>
          <w:lang w:val="sq-AL"/>
        </w:rPr>
        <w:t xml:space="preserve">74, </w:t>
      </w:r>
      <w:r w:rsidR="00DB25F9" w:rsidRPr="00E91B0C">
        <w:rPr>
          <w:rFonts w:ascii="Garamond" w:eastAsia="Times New Roman" w:hAnsi="Garamond"/>
          <w:szCs w:val="24"/>
          <w:lang w:val="sq-AL"/>
        </w:rPr>
        <w:t xml:space="preserve">seritë </w:t>
      </w:r>
      <w:r w:rsidR="00395112" w:rsidRPr="00E91B0C">
        <w:rPr>
          <w:rFonts w:ascii="Garamond" w:eastAsia="Times New Roman" w:hAnsi="Garamond"/>
          <w:szCs w:val="24"/>
          <w:lang w:val="sq-AL"/>
        </w:rPr>
        <w:t>A nr. 52).</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166</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Marrja e pronës mund të justifikohet vetëm nëse provohet, </w:t>
      </w:r>
      <w:r w:rsidR="00395112" w:rsidRPr="00E91B0C">
        <w:rPr>
          <w:rFonts w:ascii="Garamond" w:hAnsi="Garamond"/>
          <w:i/>
          <w:szCs w:val="24"/>
          <w:lang w:val="sq-AL"/>
        </w:rPr>
        <w:t xml:space="preserve">inter alia, </w:t>
      </w:r>
      <w:r w:rsidR="00395112" w:rsidRPr="00E91B0C">
        <w:rPr>
          <w:rFonts w:ascii="Garamond" w:hAnsi="Garamond"/>
          <w:szCs w:val="24"/>
          <w:lang w:val="sq-AL"/>
        </w:rPr>
        <w:t>se kjo është për “interesin publik” dhe “</w:t>
      </w:r>
      <w:r w:rsidR="0071370F">
        <w:rPr>
          <w:rFonts w:ascii="Garamond" w:hAnsi="Garamond"/>
          <w:szCs w:val="24"/>
          <w:lang w:val="sq-AL"/>
        </w:rPr>
        <w:t>u</w:t>
      </w:r>
      <w:r w:rsidR="00395112" w:rsidRPr="00E91B0C">
        <w:rPr>
          <w:rFonts w:ascii="Garamond" w:hAnsi="Garamond"/>
          <w:szCs w:val="24"/>
          <w:lang w:val="sq-AL"/>
        </w:rPr>
        <w:t xml:space="preserve"> nënshtrohet kushteve të parashikuara në ligj” (shih </w:t>
      </w:r>
      <w:r w:rsidR="00395112" w:rsidRPr="00E91B0C">
        <w:rPr>
          <w:rFonts w:ascii="Garamond" w:hAnsi="Garamond"/>
          <w:i/>
          <w:szCs w:val="24"/>
          <w:lang w:val="sq-AL"/>
        </w:rPr>
        <w:t>Jahn dhe të tjerët kundër Gjermanisë</w:t>
      </w:r>
      <w:r w:rsidR="00395112" w:rsidRPr="00E91B0C">
        <w:rPr>
          <w:rFonts w:ascii="Garamond" w:hAnsi="Garamond"/>
          <w:szCs w:val="24"/>
          <w:lang w:val="sq-AL"/>
        </w:rPr>
        <w:t xml:space="preserve"> [DHM], nr. 46720/99, 72203/01 dhe 72552/01</w:t>
      </w:r>
      <w:r w:rsidR="008541A0">
        <w:rPr>
          <w:rFonts w:ascii="Garamond" w:hAnsi="Garamond"/>
          <w:szCs w:val="24"/>
          <w:lang w:val="sq-AL"/>
        </w:rPr>
        <w:t>, §</w:t>
      </w:r>
      <w:r w:rsidR="00395112" w:rsidRPr="00E91B0C">
        <w:rPr>
          <w:rFonts w:ascii="Garamond" w:hAnsi="Garamond"/>
          <w:szCs w:val="24"/>
          <w:lang w:val="sq-AL"/>
        </w:rPr>
        <w:t xml:space="preserve">91, GJEDNJ 2005-VI; </w:t>
      </w:r>
      <w:r w:rsidR="00395112" w:rsidRPr="00E91B0C">
        <w:rPr>
          <w:rFonts w:ascii="Garamond" w:hAnsi="Garamond"/>
          <w:i/>
          <w:szCs w:val="24"/>
          <w:lang w:val="sq-AL"/>
        </w:rPr>
        <w:t>Immobiliare Saffi kundër Italisë</w:t>
      </w:r>
      <w:r w:rsidR="00395112" w:rsidRPr="00E91B0C">
        <w:rPr>
          <w:rFonts w:ascii="Garamond" w:hAnsi="Garamond"/>
          <w:szCs w:val="24"/>
          <w:lang w:val="sq-AL"/>
        </w:rPr>
        <w:t>, [DHM], nr. 22774/93</w:t>
      </w:r>
      <w:r w:rsidR="008541A0">
        <w:rPr>
          <w:rFonts w:ascii="Garamond" w:hAnsi="Garamond"/>
          <w:szCs w:val="24"/>
          <w:lang w:val="sq-AL"/>
        </w:rPr>
        <w:t>, §</w:t>
      </w:r>
      <w:r w:rsidR="00395112" w:rsidRPr="00E91B0C">
        <w:rPr>
          <w:rFonts w:ascii="Garamond" w:hAnsi="Garamond"/>
          <w:szCs w:val="24"/>
          <w:lang w:val="sq-AL"/>
        </w:rPr>
        <w:t xml:space="preserve">49, GJEDNJ 1999-V; dhe </w:t>
      </w:r>
      <w:r w:rsidR="00395112" w:rsidRPr="00E91B0C">
        <w:rPr>
          <w:rFonts w:ascii="Garamond" w:hAnsi="Garamond"/>
          <w:i/>
          <w:szCs w:val="24"/>
          <w:lang w:val="sq-AL"/>
        </w:rPr>
        <w:t>mutatis mutandis</w:t>
      </w:r>
      <w:r w:rsidR="00395112" w:rsidRPr="00E91B0C">
        <w:rPr>
          <w:rFonts w:ascii="Garamond" w:hAnsi="Garamond"/>
          <w:szCs w:val="24"/>
          <w:lang w:val="sq-AL"/>
        </w:rPr>
        <w:t xml:space="preserve">, </w:t>
      </w:r>
      <w:r w:rsidR="00395112" w:rsidRPr="00E91B0C">
        <w:rPr>
          <w:rFonts w:ascii="Garamond" w:hAnsi="Garamond"/>
          <w:i/>
          <w:szCs w:val="24"/>
          <w:lang w:val="sq-AL"/>
        </w:rPr>
        <w:t>Fleri Soler dhe Camilleri kundër Maltës</w:t>
      </w:r>
      <w:r w:rsidR="00395112" w:rsidRPr="00E91B0C">
        <w:rPr>
          <w:rFonts w:ascii="Garamond" w:hAnsi="Garamond"/>
          <w:szCs w:val="24"/>
          <w:lang w:val="sq-AL"/>
        </w:rPr>
        <w:t>, nr. 35349/05</w:t>
      </w:r>
      <w:r w:rsidR="008541A0">
        <w:rPr>
          <w:rFonts w:ascii="Garamond" w:hAnsi="Garamond"/>
          <w:szCs w:val="24"/>
          <w:lang w:val="sq-AL"/>
        </w:rPr>
        <w:t>, §</w:t>
      </w:r>
      <w:r w:rsidR="00395112" w:rsidRPr="00E91B0C">
        <w:rPr>
          <w:rFonts w:ascii="Garamond" w:hAnsi="Garamond"/>
          <w:szCs w:val="24"/>
          <w:lang w:val="sq-AL"/>
        </w:rPr>
        <w:t>65, 26 shtator 2006). Çdo ndërhyrje në pronë duhet të përmbushë edhe kërkesën e proporcionalitetit. Asht</w:t>
      </w:r>
      <w:r w:rsidR="0071370F">
        <w:rPr>
          <w:rFonts w:ascii="Garamond" w:hAnsi="Garamond"/>
          <w:szCs w:val="24"/>
          <w:lang w:val="sq-AL"/>
        </w:rPr>
        <w:t>u</w:t>
      </w:r>
      <w:r w:rsidR="00395112" w:rsidRPr="00E91B0C">
        <w:rPr>
          <w:rFonts w:ascii="Garamond" w:hAnsi="Garamond"/>
          <w:szCs w:val="24"/>
          <w:lang w:val="sq-AL"/>
        </w:rPr>
        <w:t xml:space="preserve"> si edhe e ka pohuar vazhdimisht Gjykata, midis kërkesës së interesit të gjerë të komunitetit dhe kërkesave për mbrojtjen e të drejtave themelore të individi</w:t>
      </w:r>
      <w:r w:rsidR="007E6D86">
        <w:rPr>
          <w:rFonts w:ascii="Garamond" w:hAnsi="Garamond"/>
          <w:szCs w:val="24"/>
          <w:lang w:val="sq-AL"/>
        </w:rPr>
        <w:t>t duhet të vendoset një balancë</w:t>
      </w:r>
      <w:r w:rsidR="00395112" w:rsidRPr="00E91B0C">
        <w:rPr>
          <w:rFonts w:ascii="Garamond" w:hAnsi="Garamond"/>
          <w:szCs w:val="24"/>
          <w:lang w:val="sq-AL"/>
        </w:rPr>
        <w:t xml:space="preserve"> dhe</w:t>
      </w:r>
      <w:r w:rsidR="007E6D86">
        <w:rPr>
          <w:rFonts w:ascii="Garamond" w:hAnsi="Garamond"/>
          <w:szCs w:val="24"/>
          <w:lang w:val="sq-AL"/>
        </w:rPr>
        <w:t>,</w:t>
      </w:r>
      <w:r w:rsidR="00395112" w:rsidRPr="00E91B0C">
        <w:rPr>
          <w:rFonts w:ascii="Garamond" w:hAnsi="Garamond"/>
          <w:szCs w:val="24"/>
          <w:lang w:val="sq-AL"/>
        </w:rPr>
        <w:t xml:space="preserve"> në fakt</w:t>
      </w:r>
      <w:r w:rsidR="007E6D86">
        <w:rPr>
          <w:rFonts w:ascii="Garamond" w:hAnsi="Garamond"/>
          <w:szCs w:val="24"/>
          <w:lang w:val="sq-AL"/>
        </w:rPr>
        <w:t>,</w:t>
      </w:r>
      <w:r w:rsidR="00395112" w:rsidRPr="00E91B0C">
        <w:rPr>
          <w:rFonts w:ascii="Garamond" w:hAnsi="Garamond"/>
          <w:szCs w:val="24"/>
          <w:lang w:val="sq-AL"/>
        </w:rPr>
        <w:t xml:space="preserve"> kërkesa për një balancë të tillë të drejtë është e pandarë në të gjithë Konventën. (shih </w:t>
      </w:r>
      <w:r w:rsidR="00395112" w:rsidRPr="00E91B0C">
        <w:rPr>
          <w:rFonts w:ascii="Garamond" w:hAnsi="Garamond"/>
          <w:i/>
          <w:szCs w:val="24"/>
          <w:lang w:val="sq-AL"/>
        </w:rPr>
        <w:t>Sporrong dhe Lönnroth</w:t>
      </w:r>
      <w:r w:rsidR="00395112" w:rsidRPr="00E91B0C">
        <w:rPr>
          <w:rFonts w:ascii="Garamond" w:hAnsi="Garamond"/>
          <w:szCs w:val="24"/>
          <w:lang w:val="sq-AL"/>
        </w:rPr>
        <w:t>, cituar më sipër, §§ 69</w:t>
      </w:r>
      <w:r w:rsidR="005B203A">
        <w:rPr>
          <w:rFonts w:ascii="Garamond" w:hAnsi="Garamond"/>
          <w:szCs w:val="24"/>
          <w:lang w:val="sq-AL"/>
        </w:rPr>
        <w:t>–</w:t>
      </w:r>
      <w:r w:rsidR="00395112" w:rsidRPr="00E91B0C">
        <w:rPr>
          <w:rFonts w:ascii="Garamond" w:hAnsi="Garamond"/>
          <w:szCs w:val="24"/>
          <w:lang w:val="sq-AL"/>
        </w:rPr>
        <w:t xml:space="preserve">74, dhe </w:t>
      </w:r>
      <w:r w:rsidR="00395112" w:rsidRPr="00E91B0C">
        <w:rPr>
          <w:rFonts w:ascii="Garamond" w:hAnsi="Garamond"/>
          <w:i/>
          <w:szCs w:val="24"/>
          <w:lang w:val="sq-AL"/>
        </w:rPr>
        <w:t>Brumărescu,</w:t>
      </w:r>
      <w:r w:rsidR="00395112" w:rsidRPr="00E91B0C">
        <w:rPr>
          <w:rFonts w:ascii="Garamond" w:hAnsi="Garamond"/>
          <w:szCs w:val="24"/>
          <w:lang w:val="sq-AL"/>
        </w:rPr>
        <w:t>cituar më sipër</w:t>
      </w:r>
      <w:r w:rsidR="008541A0">
        <w:rPr>
          <w:rFonts w:ascii="Garamond" w:hAnsi="Garamond"/>
          <w:szCs w:val="24"/>
          <w:lang w:val="sq-AL"/>
        </w:rPr>
        <w:t>, §</w:t>
      </w:r>
      <w:r w:rsidR="00395112" w:rsidRPr="00E91B0C">
        <w:rPr>
          <w:rFonts w:ascii="Garamond" w:hAnsi="Garamond"/>
          <w:szCs w:val="24"/>
          <w:lang w:val="sq-AL"/>
        </w:rPr>
        <w:t>78).</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Kushtet e kompensimit sipas legjislacionit respektiv janë material</w:t>
      </w:r>
      <w:r w:rsidR="00984E9D">
        <w:rPr>
          <w:rFonts w:ascii="Garamond" w:hAnsi="Garamond"/>
          <w:szCs w:val="24"/>
          <w:lang w:val="sq-AL"/>
        </w:rPr>
        <w:t>e</w:t>
      </w:r>
      <w:r w:rsidR="00395112" w:rsidRPr="00E91B0C">
        <w:rPr>
          <w:rFonts w:ascii="Garamond" w:hAnsi="Garamond"/>
          <w:szCs w:val="24"/>
          <w:lang w:val="sq-AL"/>
        </w:rPr>
        <w:t xml:space="preserve"> për vlerësimin nëse masa e kundërshtuar respekton balancën e drejtë të kërkuar dhe, veçanërisht, nëse ushtron një barrë joproporcionale mbi individët (shih </w:t>
      </w:r>
      <w:r w:rsidR="00395112" w:rsidRPr="00E91B0C">
        <w:rPr>
          <w:rFonts w:ascii="Garamond" w:hAnsi="Garamond"/>
          <w:i/>
          <w:szCs w:val="24"/>
          <w:lang w:val="sq-AL"/>
        </w:rPr>
        <w:t>Jahn dhe të Tjerët</w:t>
      </w:r>
      <w:r w:rsidR="00395112" w:rsidRPr="00E91B0C">
        <w:rPr>
          <w:rFonts w:ascii="Garamond" w:hAnsi="Garamond"/>
          <w:szCs w:val="24"/>
          <w:lang w:val="sq-AL"/>
        </w:rPr>
        <w:t>, cituar më sipër,</w:t>
      </w:r>
      <w:r w:rsidR="009756B9">
        <w:rPr>
          <w:rFonts w:ascii="Garamond" w:hAnsi="Garamond"/>
          <w:szCs w:val="24"/>
          <w:lang w:val="sq-AL"/>
        </w:rPr>
        <w:t xml:space="preserve"> </w:t>
      </w:r>
      <w:r w:rsidR="008B2E1D">
        <w:rPr>
          <w:rFonts w:ascii="Garamond" w:hAnsi="Garamond"/>
          <w:szCs w:val="24"/>
          <w:lang w:val="sq-AL"/>
        </w:rPr>
        <w:t>§</w:t>
      </w:r>
      <w:r w:rsidR="00395112" w:rsidRPr="00E91B0C">
        <w:rPr>
          <w:rFonts w:ascii="Garamond" w:hAnsi="Garamond"/>
          <w:szCs w:val="24"/>
          <w:lang w:val="sq-AL"/>
        </w:rPr>
        <w:t>94). Në këtë kontekst, marrja e pronës pa paguar një shumë</w:t>
      </w:r>
      <w:r w:rsidR="00984E9D">
        <w:rPr>
          <w:rFonts w:ascii="Garamond" w:hAnsi="Garamond"/>
          <w:szCs w:val="24"/>
          <w:lang w:val="sq-AL"/>
        </w:rPr>
        <w:t>,</w:t>
      </w:r>
      <w:r w:rsidR="00395112" w:rsidRPr="00E91B0C">
        <w:rPr>
          <w:rFonts w:ascii="Garamond" w:hAnsi="Garamond"/>
          <w:szCs w:val="24"/>
          <w:lang w:val="sq-AL"/>
        </w:rPr>
        <w:t xml:space="preserve"> e cila lidhet arsyeshëm me vlerën e saj, normalisht</w:t>
      </w:r>
      <w:r w:rsidR="00984E9D">
        <w:rPr>
          <w:rFonts w:ascii="Garamond" w:hAnsi="Garamond"/>
          <w:szCs w:val="24"/>
          <w:lang w:val="sq-AL"/>
        </w:rPr>
        <w:t xml:space="preserve"> do të përbëjë një ndërhyrje jo</w:t>
      </w:r>
      <w:r w:rsidR="00395112" w:rsidRPr="00E91B0C">
        <w:rPr>
          <w:rFonts w:ascii="Garamond" w:hAnsi="Garamond"/>
          <w:szCs w:val="24"/>
          <w:lang w:val="sq-AL"/>
        </w:rPr>
        <w:t xml:space="preserve">proporcionale, ndërkohë që një mungesë totale kompensimi mund të konsiderohet e justifikueshme sipas </w:t>
      </w:r>
      <w:r w:rsidR="001073BE" w:rsidRPr="00E91B0C">
        <w:rPr>
          <w:rFonts w:ascii="Garamond" w:hAnsi="Garamond"/>
          <w:szCs w:val="24"/>
          <w:lang w:val="sq-AL"/>
        </w:rPr>
        <w:t xml:space="preserve">nenit 1 të protokollit nr. </w:t>
      </w:r>
      <w:r w:rsidR="00395112" w:rsidRPr="00E91B0C">
        <w:rPr>
          <w:rFonts w:ascii="Garamond" w:hAnsi="Garamond"/>
          <w:szCs w:val="24"/>
          <w:lang w:val="sq-AL"/>
        </w:rPr>
        <w:t>1, vetëm në rrethana përjashtuese</w:t>
      </w:r>
      <w:r w:rsidR="00E91B0C">
        <w:rPr>
          <w:rFonts w:ascii="Garamond" w:hAnsi="Garamond"/>
          <w:szCs w:val="24"/>
          <w:lang w:val="sq-AL"/>
        </w:rPr>
        <w:t xml:space="preserve"> </w:t>
      </w:r>
      <w:r w:rsidR="00395112" w:rsidRPr="00E91B0C">
        <w:rPr>
          <w:rFonts w:ascii="Garamond" w:hAnsi="Garamond"/>
          <w:szCs w:val="24"/>
          <w:lang w:val="sq-AL"/>
        </w:rPr>
        <w:t xml:space="preserve">(shih </w:t>
      </w:r>
      <w:r w:rsidR="00395112" w:rsidRPr="00E91B0C">
        <w:rPr>
          <w:rFonts w:ascii="Garamond" w:hAnsi="Garamond"/>
          <w:i/>
          <w:szCs w:val="24"/>
          <w:lang w:val="sq-AL"/>
        </w:rPr>
        <w:t>The Holy Monasteries kundër Greqisë</w:t>
      </w:r>
      <w:r w:rsidR="00395112" w:rsidRPr="00E91B0C">
        <w:rPr>
          <w:rFonts w:ascii="Garamond" w:hAnsi="Garamond"/>
          <w:szCs w:val="24"/>
          <w:lang w:val="sq-AL"/>
        </w:rPr>
        <w:t>, 9 dhjetor 1994</w:t>
      </w:r>
      <w:r w:rsidR="008541A0">
        <w:rPr>
          <w:rFonts w:ascii="Garamond" w:hAnsi="Garamond"/>
          <w:szCs w:val="24"/>
          <w:lang w:val="sq-AL"/>
        </w:rPr>
        <w:t>, §</w:t>
      </w:r>
      <w:r w:rsidR="00395112" w:rsidRPr="00E91B0C">
        <w:rPr>
          <w:rFonts w:ascii="Garamond" w:hAnsi="Garamond"/>
          <w:szCs w:val="24"/>
          <w:lang w:val="sq-AL"/>
        </w:rPr>
        <w:t xml:space="preserve">71, </w:t>
      </w:r>
      <w:r w:rsidR="00984E9D" w:rsidRPr="00E91B0C">
        <w:rPr>
          <w:rFonts w:ascii="Garamond" w:hAnsi="Garamond"/>
          <w:szCs w:val="24"/>
          <w:lang w:val="sq-AL"/>
        </w:rPr>
        <w:t xml:space="preserve">seritë </w:t>
      </w:r>
      <w:r w:rsidR="00395112" w:rsidRPr="00E91B0C">
        <w:rPr>
          <w:rFonts w:ascii="Garamond" w:hAnsi="Garamond"/>
          <w:szCs w:val="24"/>
          <w:lang w:val="sq-AL"/>
        </w:rPr>
        <w:t>A nr. 301-A). Megjithatë, teksa është i vërtetë fakti se në shumë çështje të shpronësimit të ligjshëm vetëm kompensimi i plotë mund të konsiderohet s</w:t>
      </w:r>
      <w:r w:rsidR="00984E9D">
        <w:rPr>
          <w:rFonts w:ascii="Garamond" w:hAnsi="Garamond"/>
          <w:szCs w:val="24"/>
          <w:lang w:val="sq-AL"/>
        </w:rPr>
        <w:t>i</w:t>
      </w:r>
      <w:r w:rsidR="00395112" w:rsidRPr="00E91B0C">
        <w:rPr>
          <w:rFonts w:ascii="Garamond" w:hAnsi="Garamond"/>
          <w:szCs w:val="24"/>
          <w:lang w:val="sq-AL"/>
        </w:rPr>
        <w:t xml:space="preserve"> i lidhur arsyeshëm me vlerën e pronës, </w:t>
      </w:r>
      <w:r w:rsidR="001073BE" w:rsidRPr="00E91B0C">
        <w:rPr>
          <w:rFonts w:ascii="Garamond" w:hAnsi="Garamond"/>
          <w:szCs w:val="24"/>
          <w:lang w:val="sq-AL"/>
        </w:rPr>
        <w:t xml:space="preserve">neni 1 i protokollit nr. </w:t>
      </w:r>
      <w:r w:rsidR="00395112" w:rsidRPr="00E91B0C">
        <w:rPr>
          <w:rFonts w:ascii="Garamond" w:hAnsi="Garamond"/>
          <w:szCs w:val="24"/>
          <w:lang w:val="sq-AL"/>
        </w:rPr>
        <w:t>1 nuk garanton një të drejtë për kompensim të plotë në të gjitha rrethanat. Objektivat legjitimë në “interesin publik”, të till</w:t>
      </w:r>
      <w:r w:rsidR="00984E9D">
        <w:rPr>
          <w:rFonts w:ascii="Garamond" w:hAnsi="Garamond"/>
          <w:szCs w:val="24"/>
          <w:lang w:val="sq-AL"/>
        </w:rPr>
        <w:t>ë</w:t>
      </w:r>
      <w:r w:rsidR="00395112" w:rsidRPr="00E91B0C">
        <w:rPr>
          <w:rFonts w:ascii="Garamond" w:hAnsi="Garamond"/>
          <w:szCs w:val="24"/>
          <w:lang w:val="sq-AL"/>
        </w:rPr>
        <w:t xml:space="preserve"> si at</w:t>
      </w:r>
      <w:r w:rsidR="00984E9D">
        <w:rPr>
          <w:rFonts w:ascii="Garamond" w:hAnsi="Garamond"/>
          <w:szCs w:val="24"/>
          <w:lang w:val="sq-AL"/>
        </w:rPr>
        <w:t>a</w:t>
      </w:r>
      <w:r w:rsidR="00395112" w:rsidRPr="00E91B0C">
        <w:rPr>
          <w:rFonts w:ascii="Garamond" w:hAnsi="Garamond"/>
          <w:szCs w:val="24"/>
          <w:lang w:val="sq-AL"/>
        </w:rPr>
        <w:t xml:space="preserve"> të ndjekura në masat e reformës në ekonomi, ose masat e hartuara për të arritur një drejtësi më të madhe shoqërore, mund të kërkojnë për më pak se</w:t>
      </w:r>
      <w:r w:rsidR="0055315C">
        <w:rPr>
          <w:rFonts w:ascii="Garamond" w:hAnsi="Garamond"/>
          <w:szCs w:val="24"/>
          <w:lang w:val="sq-AL"/>
        </w:rPr>
        <w:t xml:space="preserve"> </w:t>
      </w:r>
      <w:r w:rsidR="00395112" w:rsidRPr="00E91B0C">
        <w:rPr>
          <w:rFonts w:ascii="Garamond" w:hAnsi="Garamond"/>
          <w:szCs w:val="24"/>
          <w:lang w:val="sq-AL"/>
        </w:rPr>
        <w:t xml:space="preserve">sa rimbursimi i vlerës së plotë të tregut (shih </w:t>
      </w:r>
      <w:r w:rsidR="00395112" w:rsidRPr="00E91B0C">
        <w:rPr>
          <w:rFonts w:ascii="Garamond" w:hAnsi="Garamond"/>
          <w:i/>
          <w:szCs w:val="24"/>
          <w:lang w:val="sq-AL"/>
        </w:rPr>
        <w:t>Urbárska Obec Trenčianske Biskupice kundër Sllovakisë</w:t>
      </w:r>
      <w:r w:rsidR="00395112" w:rsidRPr="00E91B0C">
        <w:rPr>
          <w:rFonts w:ascii="Garamond" w:hAnsi="Garamond"/>
          <w:szCs w:val="24"/>
          <w:lang w:val="sq-AL"/>
        </w:rPr>
        <w:t>, nr. 74258/01</w:t>
      </w:r>
      <w:r w:rsidR="008541A0">
        <w:rPr>
          <w:rFonts w:ascii="Garamond" w:hAnsi="Garamond"/>
          <w:szCs w:val="24"/>
          <w:lang w:val="sq-AL"/>
        </w:rPr>
        <w:t>, §</w:t>
      </w:r>
      <w:r w:rsidR="00395112" w:rsidRPr="00E91B0C">
        <w:rPr>
          <w:rFonts w:ascii="Garamond" w:hAnsi="Garamond"/>
          <w:szCs w:val="24"/>
          <w:lang w:val="sq-AL"/>
        </w:rPr>
        <w:t>115, GJEDNJ 2007-XIII).</w:t>
      </w:r>
    </w:p>
    <w:p w:rsidR="00395112" w:rsidRDefault="00555606" w:rsidP="00395112">
      <w:pPr>
        <w:pStyle w:val="JuPara"/>
        <w:widowControl w:val="0"/>
        <w:rPr>
          <w:rFonts w:ascii="Garamond" w:hAnsi="Garamond"/>
          <w:szCs w:val="24"/>
          <w:lang w:val="sq-AL"/>
        </w:rPr>
      </w:pPr>
      <w:r>
        <w:rPr>
          <w:rFonts w:ascii="Garamond" w:hAnsi="Garamond"/>
          <w:szCs w:val="24"/>
          <w:lang w:val="sq-AL"/>
        </w:rPr>
        <w:t>168</w:t>
      </w:r>
      <w:r w:rsidR="00395112" w:rsidRPr="00E91B0C">
        <w:rPr>
          <w:rFonts w:ascii="Garamond" w:hAnsi="Garamond"/>
          <w:szCs w:val="24"/>
          <w:lang w:val="sq-AL"/>
        </w:rPr>
        <w:t>. Megjithatë, Gjykata përsërit se arsyeshmëria e kompensimit zvogëlohet nëse paguhet pa iu referuar rrethanave të ndryshme përgjegjëse për uljen e vlerës së tij, si për shembull</w:t>
      </w:r>
      <w:r w:rsidR="001F7D14">
        <w:rPr>
          <w:rFonts w:ascii="Garamond" w:hAnsi="Garamond"/>
          <w:szCs w:val="24"/>
          <w:lang w:val="sq-AL"/>
        </w:rPr>
        <w:t>,</w:t>
      </w:r>
      <w:r w:rsidR="00395112" w:rsidRPr="00E91B0C">
        <w:rPr>
          <w:rFonts w:ascii="Garamond" w:hAnsi="Garamond"/>
          <w:szCs w:val="24"/>
          <w:lang w:val="sq-AL"/>
        </w:rPr>
        <w:t xml:space="preserve"> një vonesë e paarsyeshme. Vonesat shumë të gjata në mënyrë të pazakontë në shlyerjen e kompensimit për shpronësimin çojnë në një humbje financiare në rritje për personin, prona e të cilit është shpronësuar, duke e vendosur atë në një pozicion pasigurie (shih </w:t>
      </w:r>
      <w:r w:rsidR="00395112" w:rsidRPr="00E91B0C">
        <w:rPr>
          <w:rFonts w:ascii="Garamond" w:hAnsi="Garamond"/>
          <w:i/>
          <w:szCs w:val="24"/>
          <w:lang w:val="sq-AL"/>
        </w:rPr>
        <w:t>Akkuş kundër Turqisë</w:t>
      </w:r>
      <w:r w:rsidR="00395112" w:rsidRPr="00E91B0C">
        <w:rPr>
          <w:rFonts w:ascii="Garamond" w:hAnsi="Garamond"/>
          <w:szCs w:val="24"/>
          <w:lang w:val="sq-AL"/>
        </w:rPr>
        <w:t>, 9 korrik 1997</w:t>
      </w:r>
      <w:r w:rsidR="008541A0">
        <w:rPr>
          <w:rFonts w:ascii="Garamond" w:hAnsi="Garamond"/>
          <w:szCs w:val="24"/>
          <w:lang w:val="sq-AL"/>
        </w:rPr>
        <w:t>, §</w:t>
      </w:r>
      <w:r w:rsidR="00395112" w:rsidRPr="00E91B0C">
        <w:rPr>
          <w:rFonts w:ascii="Garamond" w:hAnsi="Garamond"/>
          <w:szCs w:val="24"/>
          <w:lang w:val="sq-AL"/>
        </w:rPr>
        <w:t xml:space="preserve">29, </w:t>
      </w:r>
      <w:r w:rsidR="00395112" w:rsidRPr="00E91B0C">
        <w:rPr>
          <w:rFonts w:ascii="Garamond" w:hAnsi="Garamond"/>
          <w:i/>
          <w:szCs w:val="24"/>
          <w:lang w:val="sq-AL"/>
        </w:rPr>
        <w:t xml:space="preserve">Raportet </w:t>
      </w:r>
      <w:r w:rsidR="00395112" w:rsidRPr="00E91B0C">
        <w:rPr>
          <w:rFonts w:ascii="Garamond" w:hAnsi="Garamond"/>
          <w:szCs w:val="24"/>
          <w:lang w:val="sq-AL"/>
        </w:rPr>
        <w:t>1997-IV).</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169</w:t>
      </w:r>
      <w:r w:rsidR="00395112" w:rsidRPr="00E91B0C">
        <w:rPr>
          <w:rFonts w:ascii="Garamond" w:hAnsi="Garamond"/>
          <w:szCs w:val="24"/>
          <w:lang w:val="sq-AL"/>
        </w:rPr>
        <w:t xml:space="preserve">. Gjykata vëren se është e padiskutueshme se kërkuesit kishin një “pasuri” sipas kuptimit të </w:t>
      </w:r>
      <w:r w:rsidR="001073BE" w:rsidRPr="000507EB">
        <w:rPr>
          <w:rFonts w:ascii="Garamond" w:hAnsi="Garamond"/>
          <w:spacing w:val="-4"/>
          <w:szCs w:val="24"/>
          <w:lang w:val="sq-AL"/>
        </w:rPr>
        <w:t>nenit 1 të protokollit nr</w:t>
      </w:r>
      <w:r w:rsidR="00395112" w:rsidRPr="000507EB">
        <w:rPr>
          <w:rFonts w:ascii="Garamond" w:hAnsi="Garamond"/>
          <w:spacing w:val="-4"/>
          <w:szCs w:val="24"/>
          <w:lang w:val="sq-AL"/>
        </w:rPr>
        <w:t xml:space="preserve">. 1 të Konventës. Ata i kishin blerë apartamentet në mirëbesim, ndërsa kërkuesit e parë dhe të dytë kishin dhënë truallin e tyre për ndërtim dhe si pasojë gëzonin pronësinë e disa apartamenteve dhe dyqaneve. Gjykata vëren se edhe pse urdhri i përkohshëm ishte lëshuar nga gjykatat </w:t>
      </w:r>
      <w:r w:rsidR="003C06FD" w:rsidRPr="000507EB">
        <w:rPr>
          <w:rFonts w:ascii="Garamond" w:hAnsi="Garamond"/>
          <w:spacing w:val="-4"/>
          <w:szCs w:val="24"/>
          <w:lang w:val="sq-AL"/>
        </w:rPr>
        <w:t>vendës</w:t>
      </w:r>
      <w:r w:rsidR="00395112" w:rsidRPr="000507EB">
        <w:rPr>
          <w:rFonts w:ascii="Garamond" w:hAnsi="Garamond"/>
          <w:spacing w:val="-4"/>
          <w:szCs w:val="24"/>
          <w:lang w:val="sq-AL"/>
        </w:rPr>
        <w:t>e duke i ndaluar autoritetet të ndërmerrnin ndonjë masë tjetër për Rezidencën Jon, kërkuesit nuk mund t’i gëzonin pronat e tyre.</w:t>
      </w:r>
      <w:r w:rsidR="00E91B0C">
        <w:rPr>
          <w:rFonts w:ascii="Garamond" w:hAnsi="Garamond"/>
          <w:szCs w:val="24"/>
          <w:lang w:val="sq-AL"/>
        </w:rPr>
        <w:t xml:space="preserve"> </w:t>
      </w:r>
    </w:p>
    <w:p w:rsidR="00395112" w:rsidRPr="00E91B0C" w:rsidRDefault="00555606" w:rsidP="00395112">
      <w:pPr>
        <w:pStyle w:val="JuPara"/>
        <w:widowControl w:val="0"/>
        <w:rPr>
          <w:rFonts w:ascii="Garamond" w:hAnsi="Garamond"/>
          <w:szCs w:val="24"/>
          <w:lang w:val="sq-AL"/>
        </w:rPr>
      </w:pPr>
      <w:r>
        <w:rPr>
          <w:rFonts w:ascii="Garamond" w:hAnsi="Garamond"/>
          <w:szCs w:val="24"/>
          <w:lang w:val="sq-AL"/>
        </w:rPr>
        <w:t>170</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Gjykata vëren se shembja e godinës privonte kërkuesit nga çdo mundësi e ardhshme për të gëzuar pronat e tyre. Nën këto rrethana, ka pasur një ndërhyrje me të drejtat e kërkuesve mbi pronën në formën e një “privimi”, sipas kuptimit të fjalisë së dytë të paragrafit të parë të </w:t>
      </w:r>
      <w:r w:rsidR="001073BE" w:rsidRPr="00E91B0C">
        <w:rPr>
          <w:rFonts w:ascii="Garamond" w:hAnsi="Garamond"/>
          <w:szCs w:val="24"/>
          <w:lang w:val="sq-AL"/>
        </w:rPr>
        <w:t>nenit 1 të protokollit nr</w:t>
      </w:r>
      <w:r w:rsidR="00395112" w:rsidRPr="00E91B0C">
        <w:rPr>
          <w:rFonts w:ascii="Garamond" w:hAnsi="Garamond"/>
          <w:szCs w:val="24"/>
          <w:lang w:val="sq-AL"/>
        </w:rPr>
        <w:t xml:space="preserve">. </w:t>
      </w:r>
      <w:r w:rsidR="00395112" w:rsidRPr="00E91B0C">
        <w:rPr>
          <w:rFonts w:ascii="Garamond" w:hAnsi="Garamond"/>
          <w:szCs w:val="24"/>
          <w:lang w:val="sq-AL"/>
        </w:rPr>
        <w:lastRenderedPageBreak/>
        <w:t xml:space="preserve">1. </w:t>
      </w:r>
    </w:p>
    <w:p w:rsidR="00395112" w:rsidRPr="00E91B0C" w:rsidRDefault="00555606" w:rsidP="00395112">
      <w:pPr>
        <w:pStyle w:val="JuPara"/>
        <w:widowControl w:val="0"/>
        <w:rPr>
          <w:rFonts w:ascii="Garamond" w:eastAsia="Times New Roman" w:hAnsi="Garamond"/>
          <w:szCs w:val="24"/>
          <w:lang w:val="sq-AL"/>
        </w:rPr>
      </w:pPr>
      <w:r>
        <w:rPr>
          <w:rFonts w:ascii="Garamond" w:eastAsia="Times New Roman" w:hAnsi="Garamond"/>
          <w:szCs w:val="24"/>
          <w:lang w:val="sq-AL"/>
        </w:rPr>
        <w:t>171</w:t>
      </w:r>
      <w:r w:rsidR="00395112" w:rsidRPr="00E91B0C">
        <w:rPr>
          <w:rFonts w:ascii="Garamond" w:eastAsia="Times New Roman" w:hAnsi="Garamond"/>
          <w:szCs w:val="24"/>
          <w:lang w:val="sq-AL"/>
        </w:rPr>
        <w:t>.</w:t>
      </w:r>
      <w:r w:rsidR="00E91B0C">
        <w:rPr>
          <w:rFonts w:ascii="Garamond" w:eastAsia="Times New Roman" w:hAnsi="Garamond"/>
          <w:szCs w:val="24"/>
          <w:lang w:val="sq-AL"/>
        </w:rPr>
        <w:t xml:space="preserve"> </w:t>
      </w:r>
      <w:r w:rsidR="00A4197F" w:rsidRPr="00E91B0C">
        <w:rPr>
          <w:rFonts w:ascii="Garamond" w:eastAsia="Times New Roman" w:hAnsi="Garamond"/>
          <w:szCs w:val="24"/>
          <w:lang w:val="sq-AL"/>
        </w:rPr>
        <w:t xml:space="preserve">Në </w:t>
      </w:r>
      <w:r w:rsidR="00395112" w:rsidRPr="00E91B0C">
        <w:rPr>
          <w:rFonts w:ascii="Garamond" w:eastAsia="Times New Roman" w:hAnsi="Garamond"/>
          <w:szCs w:val="24"/>
          <w:lang w:val="sq-AL"/>
        </w:rPr>
        <w:t xml:space="preserve">këtë mënyrë, tashmë, Gjykata duhet të përcaktojë nëse ky privim ishte i justifikuar në përputhje me kërkesat e </w:t>
      </w:r>
      <w:r w:rsidR="001073BE" w:rsidRPr="00E91B0C">
        <w:rPr>
          <w:rFonts w:ascii="Garamond" w:eastAsia="Times New Roman" w:hAnsi="Garamond"/>
          <w:szCs w:val="24"/>
          <w:lang w:val="sq-AL"/>
        </w:rPr>
        <w:t>nenit 1 të protokollit nr</w:t>
      </w:r>
      <w:r w:rsidR="00395112" w:rsidRPr="00E91B0C">
        <w:rPr>
          <w:rFonts w:ascii="Garamond" w:eastAsia="Times New Roman" w:hAnsi="Garamond"/>
          <w:szCs w:val="24"/>
          <w:lang w:val="sq-AL"/>
        </w:rPr>
        <w:t xml:space="preserve">. 1. Në çështjen konkrete, ligjshmëria e shembjes diskutohet nga palët. </w:t>
      </w:r>
    </w:p>
    <w:p w:rsidR="00395112" w:rsidRPr="00E91B0C" w:rsidRDefault="00395112" w:rsidP="00395112">
      <w:pPr>
        <w:pStyle w:val="JuPara"/>
        <w:widowControl w:val="0"/>
        <w:rPr>
          <w:rFonts w:ascii="Garamond" w:eastAsia="Times New Roman" w:hAnsi="Garamond"/>
          <w:szCs w:val="24"/>
          <w:lang w:val="sq-AL"/>
        </w:rPr>
      </w:pPr>
      <w:r w:rsidRPr="00E91B0C">
        <w:rPr>
          <w:rFonts w:ascii="Garamond" w:eastAsia="Times New Roman" w:hAnsi="Garamond"/>
          <w:szCs w:val="24"/>
          <w:lang w:val="sq-AL"/>
        </w:rPr>
        <w:t xml:space="preserve">172. Gjykata vëren se më 3 </w:t>
      </w:r>
      <w:r w:rsidR="007B4D3F" w:rsidRPr="00E91B0C">
        <w:rPr>
          <w:rFonts w:ascii="Garamond" w:eastAsia="Times New Roman" w:hAnsi="Garamond"/>
          <w:szCs w:val="24"/>
          <w:lang w:val="sq-AL"/>
        </w:rPr>
        <w:t xml:space="preserve">nëntor </w:t>
      </w:r>
      <w:r w:rsidRPr="00E91B0C">
        <w:rPr>
          <w:rFonts w:ascii="Garamond" w:eastAsia="Times New Roman" w:hAnsi="Garamond"/>
          <w:szCs w:val="24"/>
          <w:lang w:val="sq-AL"/>
        </w:rPr>
        <w:t xml:space="preserve">2013, autoritetet rrethuan godinën, duke pretenduar se ajo ishte e paligjshme. Më 7 nëntor 2013, gjykata </w:t>
      </w:r>
      <w:r w:rsidR="003C06FD">
        <w:rPr>
          <w:rFonts w:ascii="Garamond" w:eastAsia="Times New Roman" w:hAnsi="Garamond"/>
          <w:szCs w:val="24"/>
          <w:lang w:val="sq-AL"/>
        </w:rPr>
        <w:t>vendës</w:t>
      </w:r>
      <w:r w:rsidRPr="00E91B0C">
        <w:rPr>
          <w:rFonts w:ascii="Garamond" w:eastAsia="Times New Roman" w:hAnsi="Garamond"/>
          <w:szCs w:val="24"/>
          <w:lang w:val="sq-AL"/>
        </w:rPr>
        <w:t>e vendosi se veprimet e autoriteteve të datës 3 nëntor 2013 ishin të paligjshme dhe</w:t>
      </w:r>
      <w:r w:rsidR="00D37728">
        <w:rPr>
          <w:rFonts w:ascii="Garamond" w:eastAsia="Times New Roman" w:hAnsi="Garamond"/>
          <w:szCs w:val="24"/>
          <w:lang w:val="sq-AL"/>
        </w:rPr>
        <w:t>,</w:t>
      </w:r>
      <w:r w:rsidRPr="00E91B0C">
        <w:rPr>
          <w:rFonts w:ascii="Garamond" w:eastAsia="Times New Roman" w:hAnsi="Garamond"/>
          <w:szCs w:val="24"/>
          <w:lang w:val="sq-AL"/>
        </w:rPr>
        <w:t xml:space="preserve"> për këtë arsye</w:t>
      </w:r>
      <w:r w:rsidR="00D37728">
        <w:rPr>
          <w:rFonts w:ascii="Garamond" w:eastAsia="Times New Roman" w:hAnsi="Garamond"/>
          <w:szCs w:val="24"/>
          <w:lang w:val="sq-AL"/>
        </w:rPr>
        <w:t>,</w:t>
      </w:r>
      <w:r w:rsidRPr="00E91B0C">
        <w:rPr>
          <w:rFonts w:ascii="Garamond" w:eastAsia="Times New Roman" w:hAnsi="Garamond"/>
          <w:szCs w:val="24"/>
          <w:lang w:val="sq-AL"/>
        </w:rPr>
        <w:t xml:space="preserve"> lëshoi një urdhër të përkohshëm. Më 27 nëntor 2013, pavarësisht urdhrit të përkohshëm dhe njëzet ditë pas shpalljes së tij, Këshilli i Ministrave lëshoi vendimin për shpronësimin e pronave të k</w:t>
      </w:r>
      <w:r w:rsidR="00075160">
        <w:rPr>
          <w:rFonts w:ascii="Garamond" w:eastAsia="Times New Roman" w:hAnsi="Garamond"/>
          <w:szCs w:val="24"/>
          <w:lang w:val="sq-AL"/>
        </w:rPr>
        <w:t xml:space="preserve">ërkuesve, pa i </w:t>
      </w:r>
      <w:r w:rsidRPr="00E91B0C">
        <w:rPr>
          <w:rFonts w:ascii="Garamond" w:eastAsia="Times New Roman" w:hAnsi="Garamond"/>
          <w:szCs w:val="24"/>
          <w:lang w:val="sq-AL"/>
        </w:rPr>
        <w:t>bërë me dije ata ose kompaninë e ndërtimit. Deri më 8 dhjetor 2013, godina ishte shembur. Duke marrë në konsideratë rrjedhën e përshkruar të ngjarjeve, Gjykata konstaton se lindin shqetësime legjitime mbi arsyeshmërinë e procedurës, për</w:t>
      </w:r>
      <w:r w:rsidR="0049394D">
        <w:rPr>
          <w:rFonts w:ascii="Garamond" w:eastAsia="Times New Roman" w:hAnsi="Garamond"/>
          <w:szCs w:val="24"/>
          <w:lang w:val="sq-AL"/>
        </w:rPr>
        <w:t>mes së cilës autoritetet mund</w:t>
      </w:r>
      <w:r w:rsidRPr="00E91B0C">
        <w:rPr>
          <w:rFonts w:ascii="Garamond" w:eastAsia="Times New Roman" w:hAnsi="Garamond"/>
          <w:szCs w:val="24"/>
          <w:lang w:val="sq-AL"/>
        </w:rPr>
        <w:t>, në një kohë aq të shkurtër, të shpronësonte pronat e kërkuesve për interesin publik dhe të procedohej menjëherë me shpronësimin. Gjithashtu, Gjykata vëren se nën vendimin e tyre, gjykatat e brendshme arritën në përfundimin se si mosrespektimi i urdhrit të përkohshëm nga autoritete</w:t>
      </w:r>
      <w:r w:rsidR="009E5271">
        <w:rPr>
          <w:rFonts w:ascii="Garamond" w:eastAsia="Times New Roman" w:hAnsi="Garamond"/>
          <w:szCs w:val="24"/>
          <w:lang w:val="sq-AL"/>
        </w:rPr>
        <w:t>t</w:t>
      </w:r>
      <w:r w:rsidRPr="00E91B0C">
        <w:rPr>
          <w:rFonts w:ascii="Garamond" w:eastAsia="Times New Roman" w:hAnsi="Garamond"/>
          <w:szCs w:val="24"/>
          <w:lang w:val="sq-AL"/>
        </w:rPr>
        <w:t xml:space="preserve"> </w:t>
      </w:r>
      <w:r w:rsidR="003C06FD">
        <w:rPr>
          <w:rFonts w:ascii="Garamond" w:eastAsia="Times New Roman" w:hAnsi="Garamond"/>
          <w:szCs w:val="24"/>
          <w:lang w:val="sq-AL"/>
        </w:rPr>
        <w:t>vendës</w:t>
      </w:r>
      <w:r w:rsidRPr="00E91B0C">
        <w:rPr>
          <w:rFonts w:ascii="Garamond" w:eastAsia="Times New Roman" w:hAnsi="Garamond"/>
          <w:szCs w:val="24"/>
          <w:lang w:val="sq-AL"/>
        </w:rPr>
        <w:t xml:space="preserve">e edhe shembja e Rezidencës Jon kishin qenë të paligjshme. Për këtë arsye, Gjykata, ashtu siç e përcaktuan korrektësisht edhe gjykatat </w:t>
      </w:r>
      <w:r w:rsidR="003C06FD">
        <w:rPr>
          <w:rFonts w:ascii="Garamond" w:eastAsia="Times New Roman" w:hAnsi="Garamond"/>
          <w:szCs w:val="24"/>
          <w:lang w:val="sq-AL"/>
        </w:rPr>
        <w:t>vendës</w:t>
      </w:r>
      <w:r w:rsidRPr="00E91B0C">
        <w:rPr>
          <w:rFonts w:ascii="Garamond" w:eastAsia="Times New Roman" w:hAnsi="Garamond"/>
          <w:szCs w:val="24"/>
          <w:lang w:val="sq-AL"/>
        </w:rPr>
        <w:t xml:space="preserve">e (shih paragrafët 36, 38 dhe 41, më sipër), arrin në përfundimin se në çështjen konkrete, e gjithë procedura mbi shpronësimin e kërkuesve u realizua me nxitim dhe në këtë mënyrë nuk ishte në përputhje me ligjin </w:t>
      </w:r>
      <w:r w:rsidR="003C06FD">
        <w:rPr>
          <w:rFonts w:ascii="Garamond" w:eastAsia="Times New Roman" w:hAnsi="Garamond"/>
          <w:szCs w:val="24"/>
          <w:lang w:val="sq-AL"/>
        </w:rPr>
        <w:t>vendës</w:t>
      </w:r>
      <w:r w:rsidRPr="00E91B0C">
        <w:rPr>
          <w:rFonts w:ascii="Garamond" w:eastAsia="Times New Roman"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eastAsia="Times New Roman" w:hAnsi="Garamond"/>
          <w:szCs w:val="24"/>
          <w:lang w:val="sq-AL"/>
        </w:rPr>
        <w:t>173. Më tej, Gjykata arsyeton se marrja e Rezidencës Jon shkaktoi pasoja mjaftueshëm serioze për kërkuesit, duke qenë se pronat e tyre ishin shpronësuar në mënyrë të paligjshme, në nj</w:t>
      </w:r>
      <w:r w:rsidR="00117B58">
        <w:rPr>
          <w:rFonts w:ascii="Garamond" w:eastAsia="Times New Roman" w:hAnsi="Garamond"/>
          <w:szCs w:val="24"/>
          <w:lang w:val="sq-AL"/>
        </w:rPr>
        <w:t>ë</w:t>
      </w:r>
      <w:r w:rsidRPr="00E91B0C">
        <w:rPr>
          <w:rFonts w:ascii="Garamond" w:eastAsia="Times New Roman" w:hAnsi="Garamond"/>
          <w:szCs w:val="24"/>
          <w:lang w:val="sq-AL"/>
        </w:rPr>
        <w:t xml:space="preserve"> mënyrë e cila nuk respektonte të drejtën e tyre për të gëzuar qetësisht pasuritë e tyre</w:t>
      </w:r>
      <w:r w:rsidRPr="00E91B0C">
        <w:rPr>
          <w:rFonts w:ascii="Garamond" w:hAnsi="Garamond"/>
          <w:szCs w:val="24"/>
          <w:lang w:val="sq-AL"/>
        </w:rPr>
        <w:t xml:space="preserve"> (shih, midis shumë vendimeve të tjera, </w:t>
      </w:r>
      <w:r w:rsidRPr="00E91B0C">
        <w:rPr>
          <w:rFonts w:ascii="Garamond" w:hAnsi="Garamond"/>
          <w:i/>
          <w:iCs/>
          <w:szCs w:val="24"/>
          <w:lang w:val="sq-AL"/>
        </w:rPr>
        <w:t>Iatridis</w:t>
      </w:r>
      <w:r w:rsidRPr="00E91B0C">
        <w:rPr>
          <w:rFonts w:ascii="Garamond" w:hAnsi="Garamond"/>
          <w:iCs/>
          <w:szCs w:val="24"/>
          <w:lang w:val="sq-AL"/>
        </w:rPr>
        <w:t>, cituar më sipër</w:t>
      </w:r>
      <w:r w:rsidRPr="00E91B0C">
        <w:rPr>
          <w:rFonts w:ascii="Garamond" w:hAnsi="Garamond"/>
          <w:szCs w:val="24"/>
          <w:lang w:val="sq-AL"/>
        </w:rPr>
        <w:t xml:space="preserve">, </w:t>
      </w:r>
      <w:r w:rsidRPr="00E91B0C">
        <w:rPr>
          <w:rFonts w:ascii="Garamond" w:hAnsi="Garamond"/>
          <w:i/>
          <w:iCs/>
          <w:szCs w:val="24"/>
          <w:lang w:val="sq-AL"/>
        </w:rPr>
        <w:t>Papamichalopoulos dhe të Tjerët kundër Greqisë</w:t>
      </w:r>
      <w:r w:rsidRPr="00E91B0C">
        <w:rPr>
          <w:rFonts w:ascii="Garamond" w:hAnsi="Garamond"/>
          <w:szCs w:val="24"/>
          <w:lang w:val="sq-AL"/>
        </w:rPr>
        <w:t xml:space="preserve">, 24 qershor 1993, </w:t>
      </w:r>
      <w:r w:rsidR="002673DD" w:rsidRPr="00E91B0C">
        <w:rPr>
          <w:rFonts w:ascii="Garamond" w:hAnsi="Garamond"/>
          <w:szCs w:val="24"/>
          <w:lang w:val="sq-AL"/>
        </w:rPr>
        <w:t xml:space="preserve">seritë </w:t>
      </w:r>
      <w:r w:rsidRPr="00E91B0C">
        <w:rPr>
          <w:rFonts w:ascii="Garamond" w:hAnsi="Garamond"/>
          <w:szCs w:val="24"/>
          <w:lang w:val="sq-AL"/>
        </w:rPr>
        <w:t>A nr. 260</w:t>
      </w:r>
      <w:r w:rsidRPr="00E91B0C">
        <w:rPr>
          <w:rFonts w:ascii="Garamond" w:hAnsi="Garamond"/>
          <w:szCs w:val="24"/>
          <w:lang w:val="sq-AL"/>
        </w:rPr>
        <w:noBreakHyphen/>
        <w:t xml:space="preserve">B, </w:t>
      </w:r>
      <w:r w:rsidRPr="00E91B0C">
        <w:rPr>
          <w:rFonts w:ascii="Garamond" w:hAnsi="Garamond"/>
          <w:i/>
          <w:szCs w:val="24"/>
          <w:lang w:val="sq-AL"/>
        </w:rPr>
        <w:t>Kolona kundër Qipros</w:t>
      </w:r>
      <w:r w:rsidRPr="00E91B0C">
        <w:rPr>
          <w:rFonts w:ascii="Garamond" w:hAnsi="Garamond"/>
          <w:szCs w:val="24"/>
          <w:lang w:val="sq-AL"/>
        </w:rPr>
        <w:t>, nr. 28025/03, §§ 70</w:t>
      </w:r>
      <w:r w:rsidR="005B203A">
        <w:rPr>
          <w:rFonts w:ascii="Garamond" w:hAnsi="Garamond"/>
          <w:szCs w:val="24"/>
          <w:lang w:val="sq-AL"/>
        </w:rPr>
        <w:t>–</w:t>
      </w:r>
      <w:r w:rsidRPr="00E91B0C">
        <w:rPr>
          <w:rFonts w:ascii="Garamond" w:hAnsi="Garamond"/>
          <w:szCs w:val="24"/>
          <w:lang w:val="sq-AL"/>
        </w:rPr>
        <w:t xml:space="preserve">78, 27 shtator 2007, </w:t>
      </w:r>
      <w:r w:rsidRPr="00E91B0C">
        <w:rPr>
          <w:rFonts w:ascii="Garamond" w:hAnsi="Garamond"/>
          <w:i/>
          <w:szCs w:val="24"/>
          <w:lang w:val="sq-AL"/>
        </w:rPr>
        <w:t>Loizidou,</w:t>
      </w:r>
      <w:r w:rsidR="002673DD">
        <w:rPr>
          <w:rFonts w:ascii="Garamond" w:hAnsi="Garamond"/>
          <w:i/>
          <w:szCs w:val="24"/>
          <w:lang w:val="sq-AL"/>
        </w:rPr>
        <w:t xml:space="preserve"> </w:t>
      </w:r>
      <w:r w:rsidRPr="00E91B0C">
        <w:rPr>
          <w:rFonts w:ascii="Garamond" w:hAnsi="Garamond"/>
          <w:szCs w:val="24"/>
          <w:lang w:val="sq-AL"/>
        </w:rPr>
        <w:t>cituar më sipër, §§ 63</w:t>
      </w:r>
      <w:r w:rsidR="009756B9">
        <w:rPr>
          <w:rFonts w:ascii="Garamond" w:hAnsi="Garamond"/>
          <w:szCs w:val="24"/>
          <w:lang w:val="sq-AL"/>
        </w:rPr>
        <w:t>–</w:t>
      </w:r>
      <w:r w:rsidRPr="00E91B0C">
        <w:rPr>
          <w:rFonts w:ascii="Garamond" w:hAnsi="Garamond"/>
          <w:szCs w:val="24"/>
          <w:lang w:val="sq-AL"/>
        </w:rPr>
        <w:t xml:space="preserve">64, dhe </w:t>
      </w:r>
      <w:r w:rsidRPr="00E91B0C">
        <w:rPr>
          <w:rFonts w:ascii="Garamond" w:hAnsi="Garamond"/>
          <w:i/>
          <w:szCs w:val="24"/>
          <w:lang w:val="sq-AL"/>
        </w:rPr>
        <w:t>Demades</w:t>
      </w:r>
      <w:r w:rsidRPr="00E91B0C">
        <w:rPr>
          <w:rFonts w:ascii="Garamond" w:hAnsi="Garamond"/>
          <w:szCs w:val="24"/>
          <w:lang w:val="sq-AL"/>
        </w:rPr>
        <w:t>, cituar më sipër</w:t>
      </w:r>
      <w:r w:rsidR="008541A0">
        <w:rPr>
          <w:rFonts w:ascii="Garamond" w:hAnsi="Garamond"/>
          <w:szCs w:val="24"/>
          <w:lang w:val="sq-AL"/>
        </w:rPr>
        <w:t>, §</w:t>
      </w:r>
      <w:r w:rsidRPr="00E91B0C">
        <w:rPr>
          <w:rFonts w:ascii="Garamond" w:hAnsi="Garamond"/>
          <w:szCs w:val="24"/>
          <w:lang w:val="sq-AL"/>
        </w:rPr>
        <w:t>46).</w:t>
      </w:r>
    </w:p>
    <w:p w:rsidR="00395112" w:rsidRPr="00484B08" w:rsidRDefault="00555606" w:rsidP="00395112">
      <w:pPr>
        <w:pStyle w:val="JuPara"/>
        <w:widowControl w:val="0"/>
        <w:rPr>
          <w:rFonts w:ascii="Garamond" w:hAnsi="Garamond"/>
          <w:spacing w:val="-4"/>
          <w:szCs w:val="24"/>
          <w:lang w:val="sq-AL"/>
        </w:rPr>
      </w:pPr>
      <w:r w:rsidRPr="00484B08">
        <w:rPr>
          <w:rFonts w:ascii="Garamond" w:hAnsi="Garamond"/>
          <w:spacing w:val="-4"/>
          <w:szCs w:val="24"/>
          <w:lang w:val="sq-AL"/>
        </w:rPr>
        <w:t>174</w:t>
      </w:r>
      <w:r w:rsidR="00395112" w:rsidRPr="00484B08">
        <w:rPr>
          <w:rFonts w:ascii="Garamond" w:hAnsi="Garamond"/>
          <w:spacing w:val="-4"/>
          <w:szCs w:val="24"/>
          <w:lang w:val="sq-AL"/>
        </w:rPr>
        <w:t>. Duke marrë në konsideratë sa më sipër, Gjykata vendos se ndërhyrja konkrete ishte haptazi në shkelje të ligjit shqiptar dhe, për këtë arsye, ishte e paligjshme (shih paragrafin 133 më sipër në lidhje me parimet respektive). Për këtë arsye, nuk respektonte të drejtën e kërkuesve për të gëzuar qetësisht pasuritë e tyre. Ky konkluzion e bën të panevojshëm përcaktimin nëse ishte vendosur një balancë e drejtë midis kërkesave të interesit të përgjithshëm të komunitetit dhe kërkesave për mbrojtjen e të drejtave themelore të individit.</w:t>
      </w:r>
      <w:r w:rsidR="00E91B0C" w:rsidRPr="00484B08">
        <w:rPr>
          <w:rFonts w:ascii="Garamond" w:hAnsi="Garamond"/>
          <w:spacing w:val="-4"/>
          <w:szCs w:val="24"/>
          <w:lang w:val="sq-AL"/>
        </w:rPr>
        <w:t xml:space="preserve"> </w:t>
      </w:r>
    </w:p>
    <w:p w:rsidR="00395112" w:rsidRPr="00E91B0C" w:rsidRDefault="00395112" w:rsidP="00395112">
      <w:pPr>
        <w:pStyle w:val="JuPara"/>
        <w:widowControl w:val="0"/>
        <w:rPr>
          <w:rFonts w:ascii="Garamond" w:hAnsi="Garamond"/>
          <w:szCs w:val="24"/>
          <w:lang w:val="sq-AL"/>
        </w:rPr>
      </w:pPr>
      <w:r w:rsidRPr="000507EB">
        <w:rPr>
          <w:rFonts w:ascii="Garamond" w:hAnsi="Garamond"/>
          <w:spacing w:val="-4"/>
          <w:szCs w:val="24"/>
          <w:lang w:val="sq-AL"/>
        </w:rPr>
        <w:t xml:space="preserve">175. Për këtë arsye, është shkelur </w:t>
      </w:r>
      <w:r w:rsidR="001073BE" w:rsidRPr="000507EB">
        <w:rPr>
          <w:rFonts w:ascii="Garamond" w:hAnsi="Garamond"/>
          <w:spacing w:val="-4"/>
          <w:szCs w:val="24"/>
          <w:lang w:val="sq-AL"/>
        </w:rPr>
        <w:t>neni 1 i protokollit nr</w:t>
      </w:r>
      <w:r w:rsidRPr="000507EB">
        <w:rPr>
          <w:rFonts w:ascii="Garamond" w:hAnsi="Garamond"/>
          <w:spacing w:val="-4"/>
          <w:szCs w:val="24"/>
          <w:lang w:val="sq-AL"/>
        </w:rPr>
        <w:t>. 1 të Konventës, për sa i përket shpronësimit dhe shembjes së pasurive të kërkuesve</w:t>
      </w:r>
      <w:r w:rsidRPr="00E91B0C">
        <w:rPr>
          <w:rFonts w:ascii="Garamond" w:hAnsi="Garamond"/>
          <w:szCs w:val="24"/>
          <w:lang w:val="sq-AL"/>
        </w:rPr>
        <w:t xml:space="preserve">. </w:t>
      </w:r>
    </w:p>
    <w:p w:rsidR="00395112" w:rsidRPr="00484B08" w:rsidRDefault="00395112" w:rsidP="00395112">
      <w:pPr>
        <w:pStyle w:val="ECHRHeading1"/>
        <w:keepNext w:val="0"/>
        <w:keepLines w:val="0"/>
        <w:widowControl w:val="0"/>
        <w:spacing w:before="0" w:after="0"/>
        <w:ind w:left="0" w:firstLine="284"/>
        <w:rPr>
          <w:rFonts w:ascii="Garamond" w:hAnsi="Garamond"/>
          <w:spacing w:val="-4"/>
          <w:szCs w:val="24"/>
          <w:lang w:val="sq-AL"/>
        </w:rPr>
      </w:pPr>
      <w:bookmarkStart w:id="62" w:name="_Toc520459362"/>
      <w:r w:rsidRPr="00484B08">
        <w:rPr>
          <w:rFonts w:ascii="Garamond" w:hAnsi="Garamond"/>
          <w:spacing w:val="-4"/>
          <w:szCs w:val="24"/>
          <w:lang w:val="sq-AL"/>
        </w:rPr>
        <w:t>IV.</w:t>
      </w:r>
      <w:r w:rsidR="00E91B0C" w:rsidRPr="00484B08">
        <w:rPr>
          <w:rFonts w:ascii="Garamond" w:hAnsi="Garamond"/>
          <w:spacing w:val="-4"/>
          <w:szCs w:val="24"/>
          <w:lang w:val="sq-AL"/>
        </w:rPr>
        <w:t xml:space="preserve"> </w:t>
      </w:r>
      <w:r w:rsidRPr="00484B08">
        <w:rPr>
          <w:rFonts w:ascii="Garamond" w:hAnsi="Garamond"/>
          <w:spacing w:val="-4"/>
          <w:szCs w:val="24"/>
          <w:lang w:val="sq-AL"/>
        </w:rPr>
        <w:t>SHKELJE TË TJERA TË PRETENDUARA TË KONVENTËS</w:t>
      </w:r>
      <w:bookmarkEnd w:id="62"/>
      <w:r w:rsidRPr="00484B08">
        <w:rPr>
          <w:rFonts w:ascii="Garamond" w:hAnsi="Garamond"/>
          <w:spacing w:val="-4"/>
          <w:szCs w:val="24"/>
          <w:lang w:val="sq-AL"/>
        </w:rPr>
        <w:t xml:space="preserve"> </w:t>
      </w:r>
    </w:p>
    <w:p w:rsidR="00395112" w:rsidRPr="00484B08" w:rsidRDefault="00395112" w:rsidP="00395112">
      <w:pPr>
        <w:pStyle w:val="ECHRHeading2"/>
        <w:keepNext w:val="0"/>
        <w:keepLines w:val="0"/>
        <w:widowControl w:val="0"/>
        <w:spacing w:before="0" w:after="0"/>
        <w:ind w:left="0" w:firstLine="284"/>
        <w:rPr>
          <w:rFonts w:ascii="Garamond" w:hAnsi="Garamond"/>
          <w:spacing w:val="-4"/>
          <w:szCs w:val="24"/>
          <w:lang w:val="sq-AL"/>
        </w:rPr>
      </w:pPr>
      <w:bookmarkStart w:id="63" w:name="_Toc520459363"/>
      <w:r w:rsidRPr="00484B08">
        <w:rPr>
          <w:rFonts w:ascii="Garamond" w:hAnsi="Garamond"/>
          <w:spacing w:val="-4"/>
          <w:szCs w:val="24"/>
          <w:lang w:val="sq-AL"/>
        </w:rPr>
        <w:t>A.</w:t>
      </w:r>
      <w:r w:rsidR="00E91B0C" w:rsidRPr="00484B08">
        <w:rPr>
          <w:rFonts w:ascii="Garamond" w:hAnsi="Garamond"/>
          <w:spacing w:val="-4"/>
          <w:szCs w:val="24"/>
          <w:lang w:val="sq-AL"/>
        </w:rPr>
        <w:t xml:space="preserve"> </w:t>
      </w:r>
      <w:r w:rsidRPr="00484B08">
        <w:rPr>
          <w:rFonts w:ascii="Garamond" w:hAnsi="Garamond"/>
          <w:spacing w:val="-4"/>
          <w:szCs w:val="24"/>
          <w:lang w:val="sq-AL"/>
        </w:rPr>
        <w:t xml:space="preserve">Ankesa në lidhje me </w:t>
      </w:r>
      <w:r w:rsidR="001073BE" w:rsidRPr="00484B08">
        <w:rPr>
          <w:rFonts w:ascii="Garamond" w:hAnsi="Garamond"/>
          <w:spacing w:val="-4"/>
          <w:szCs w:val="24"/>
          <w:lang w:val="sq-AL"/>
        </w:rPr>
        <w:t>n</w:t>
      </w:r>
      <w:r w:rsidRPr="00484B08">
        <w:rPr>
          <w:rFonts w:ascii="Garamond" w:hAnsi="Garamond"/>
          <w:spacing w:val="-4"/>
          <w:szCs w:val="24"/>
          <w:lang w:val="sq-AL"/>
        </w:rPr>
        <w:t>enin 6</w:t>
      </w:r>
      <w:r w:rsidR="008B2E1D" w:rsidRPr="00484B08">
        <w:rPr>
          <w:rFonts w:ascii="Garamond" w:hAnsi="Garamond"/>
          <w:spacing w:val="-4"/>
          <w:szCs w:val="24"/>
          <w:lang w:val="sq-AL"/>
        </w:rPr>
        <w:t>§</w:t>
      </w:r>
      <w:r w:rsidRPr="00484B08">
        <w:rPr>
          <w:rFonts w:ascii="Garamond" w:hAnsi="Garamond"/>
          <w:spacing w:val="-4"/>
          <w:szCs w:val="24"/>
          <w:lang w:val="sq-AL"/>
        </w:rPr>
        <w:t>2 të Konventës</w:t>
      </w:r>
      <w:bookmarkEnd w:id="63"/>
    </w:p>
    <w:p w:rsidR="00395112" w:rsidRPr="00484B08" w:rsidRDefault="00DC7F96" w:rsidP="005E39FA">
      <w:pPr>
        <w:pStyle w:val="JuPara"/>
        <w:widowControl w:val="0"/>
        <w:rPr>
          <w:rFonts w:ascii="Garamond" w:hAnsi="Garamond"/>
          <w:spacing w:val="-4"/>
          <w:szCs w:val="24"/>
          <w:lang w:val="sq-AL"/>
        </w:rPr>
      </w:pPr>
      <w:r w:rsidRPr="00484B08">
        <w:rPr>
          <w:rFonts w:ascii="Garamond" w:hAnsi="Garamond"/>
          <w:spacing w:val="-4"/>
          <w:szCs w:val="24"/>
          <w:lang w:val="sq-AL"/>
        </w:rPr>
        <w:t>176</w:t>
      </w:r>
      <w:r w:rsidR="00395112" w:rsidRPr="00484B08">
        <w:rPr>
          <w:rFonts w:ascii="Garamond" w:hAnsi="Garamond"/>
          <w:spacing w:val="-4"/>
          <w:szCs w:val="24"/>
          <w:lang w:val="sq-AL"/>
        </w:rPr>
        <w:t>.</w:t>
      </w:r>
      <w:r w:rsidR="00E91B0C" w:rsidRPr="00484B08">
        <w:rPr>
          <w:rFonts w:ascii="Garamond" w:hAnsi="Garamond"/>
          <w:spacing w:val="-4"/>
          <w:szCs w:val="24"/>
          <w:lang w:val="sq-AL"/>
        </w:rPr>
        <w:t xml:space="preserve"> </w:t>
      </w:r>
      <w:r w:rsidR="00395112" w:rsidRPr="00484B08">
        <w:rPr>
          <w:rFonts w:ascii="Garamond" w:hAnsi="Garamond"/>
          <w:spacing w:val="-4"/>
          <w:szCs w:val="24"/>
          <w:lang w:val="sq-AL"/>
        </w:rPr>
        <w:t xml:space="preserve">Kërkuesit parashtruan se përdorimi i shiritit të verdhë nga policia për më shumë se gjashtë javë për t’i ndaluar ata të hynin në shtëpitë e tyre kishte shkaktuar një shkelje të prezumimit të pafajshmërisë, sipas </w:t>
      </w:r>
      <w:r w:rsidR="001073BE" w:rsidRPr="00484B08">
        <w:rPr>
          <w:rFonts w:ascii="Garamond" w:hAnsi="Garamond"/>
          <w:spacing w:val="-4"/>
          <w:szCs w:val="24"/>
          <w:lang w:val="sq-AL"/>
        </w:rPr>
        <w:t>n</w:t>
      </w:r>
      <w:r w:rsidR="00395112" w:rsidRPr="00484B08">
        <w:rPr>
          <w:rFonts w:ascii="Garamond" w:hAnsi="Garamond"/>
          <w:spacing w:val="-4"/>
          <w:szCs w:val="24"/>
          <w:lang w:val="sq-AL"/>
        </w:rPr>
        <w:t>enit 6</w:t>
      </w:r>
      <w:r w:rsidR="008B2E1D" w:rsidRPr="00484B08">
        <w:rPr>
          <w:rFonts w:ascii="Garamond" w:hAnsi="Garamond"/>
          <w:spacing w:val="-4"/>
          <w:szCs w:val="24"/>
          <w:lang w:val="sq-AL"/>
        </w:rPr>
        <w:t>§</w:t>
      </w:r>
      <w:r w:rsidR="00395112" w:rsidRPr="00484B08">
        <w:rPr>
          <w:rFonts w:ascii="Garamond" w:hAnsi="Garamond"/>
          <w:spacing w:val="-4"/>
          <w:szCs w:val="24"/>
          <w:lang w:val="sq-AL"/>
        </w:rPr>
        <w:t>2 të Konventës.</w:t>
      </w:r>
      <w:r w:rsidR="005E39FA" w:rsidRPr="00484B08">
        <w:rPr>
          <w:rFonts w:ascii="Garamond" w:hAnsi="Garamond"/>
          <w:spacing w:val="-4"/>
          <w:szCs w:val="24"/>
          <w:lang w:val="sq-AL"/>
        </w:rPr>
        <w:t xml:space="preserve"> </w:t>
      </w:r>
      <w:r w:rsidR="00395112" w:rsidRPr="00484B08">
        <w:rPr>
          <w:rFonts w:ascii="Garamond" w:hAnsi="Garamond"/>
          <w:spacing w:val="-4"/>
          <w:szCs w:val="24"/>
          <w:lang w:val="sq-AL"/>
        </w:rPr>
        <w:t xml:space="preserve">Gjithashtu, ata u ankuan se Kryeministri, anëtarët e </w:t>
      </w:r>
      <w:r w:rsidR="0018461E" w:rsidRPr="00484B08">
        <w:rPr>
          <w:rFonts w:ascii="Garamond" w:hAnsi="Garamond"/>
          <w:spacing w:val="-4"/>
          <w:szCs w:val="24"/>
          <w:lang w:val="sq-AL"/>
        </w:rPr>
        <w:t>q</w:t>
      </w:r>
      <w:r w:rsidR="00395112" w:rsidRPr="00484B08">
        <w:rPr>
          <w:rFonts w:ascii="Garamond" w:hAnsi="Garamond"/>
          <w:spacing w:val="-4"/>
          <w:szCs w:val="24"/>
          <w:lang w:val="sq-AL"/>
        </w:rPr>
        <w:t>everisë dhe polic</w:t>
      </w:r>
      <w:r w:rsidR="00C74F66" w:rsidRPr="00484B08">
        <w:rPr>
          <w:rFonts w:ascii="Garamond" w:hAnsi="Garamond"/>
          <w:spacing w:val="-4"/>
          <w:szCs w:val="24"/>
          <w:lang w:val="sq-AL"/>
        </w:rPr>
        <w:t>ë</w:t>
      </w:r>
      <w:r w:rsidR="00395112" w:rsidRPr="00484B08">
        <w:rPr>
          <w:rFonts w:ascii="Garamond" w:hAnsi="Garamond"/>
          <w:spacing w:val="-4"/>
          <w:szCs w:val="24"/>
          <w:lang w:val="sq-AL"/>
        </w:rPr>
        <w:t xml:space="preserve"> të tjerë të niveleve të larta kishin bërë një sërë deklaratash në shtyp me qëllimin për të krijuar dyshime në lidhje me pafajësinë e tyre. Gjithashtu, ata iu referuan faktit se procedimet penale kishin filluar kundër nëpunësve </w:t>
      </w:r>
      <w:r w:rsidR="00C74F66" w:rsidRPr="00484B08">
        <w:rPr>
          <w:rFonts w:ascii="Garamond" w:hAnsi="Garamond"/>
          <w:spacing w:val="-4"/>
          <w:szCs w:val="24"/>
          <w:lang w:val="sq-AL"/>
        </w:rPr>
        <w:t xml:space="preserve">shtetërorë </w:t>
      </w:r>
      <w:r w:rsidR="00395112" w:rsidRPr="00484B08">
        <w:rPr>
          <w:rFonts w:ascii="Garamond" w:hAnsi="Garamond"/>
          <w:spacing w:val="-4"/>
          <w:szCs w:val="24"/>
          <w:lang w:val="sq-AL"/>
        </w:rPr>
        <w:t>për abuzim me pushtetin në lidhje me rregullsinë e procesit të rikthimit të pronave të kërkuesve.</w:t>
      </w:r>
      <w:r w:rsidR="00E91B0C" w:rsidRPr="00484B08">
        <w:rPr>
          <w:rFonts w:ascii="Garamond" w:hAnsi="Garamond"/>
          <w:spacing w:val="-4"/>
          <w:szCs w:val="24"/>
          <w:lang w:val="sq-AL"/>
        </w:rPr>
        <w:t xml:space="preserve"> </w:t>
      </w:r>
    </w:p>
    <w:p w:rsidR="00395112" w:rsidRPr="00484B08" w:rsidRDefault="00395112" w:rsidP="00395112">
      <w:pPr>
        <w:pStyle w:val="JuPara"/>
        <w:widowControl w:val="0"/>
        <w:rPr>
          <w:rFonts w:ascii="Garamond" w:hAnsi="Garamond"/>
          <w:spacing w:val="-4"/>
          <w:szCs w:val="24"/>
          <w:lang w:val="sq-AL"/>
        </w:rPr>
      </w:pPr>
      <w:r w:rsidRPr="00484B08">
        <w:rPr>
          <w:rFonts w:ascii="Garamond" w:hAnsi="Garamond"/>
          <w:spacing w:val="-4"/>
          <w:szCs w:val="24"/>
          <w:lang w:val="sq-AL"/>
        </w:rPr>
        <w:t>Neni 6</w:t>
      </w:r>
      <w:r w:rsidR="008B2E1D" w:rsidRPr="00484B08">
        <w:rPr>
          <w:rFonts w:ascii="Garamond" w:hAnsi="Garamond"/>
          <w:spacing w:val="-4"/>
          <w:szCs w:val="24"/>
          <w:lang w:val="sq-AL"/>
        </w:rPr>
        <w:t>§</w:t>
      </w:r>
      <w:r w:rsidRPr="00484B08">
        <w:rPr>
          <w:rFonts w:ascii="Garamond" w:hAnsi="Garamond"/>
          <w:spacing w:val="-4"/>
          <w:szCs w:val="24"/>
          <w:lang w:val="sq-AL"/>
        </w:rPr>
        <w:t>2 i Konventës, për sa ka të bëjë me situatën, parashikon si më poshtë:</w:t>
      </w:r>
    </w:p>
    <w:p w:rsidR="00395112" w:rsidRPr="00E91B0C" w:rsidRDefault="00395112" w:rsidP="00395112">
      <w:pPr>
        <w:pStyle w:val="ECHRParaQuote"/>
        <w:widowControl w:val="0"/>
        <w:spacing w:before="0" w:after="0"/>
        <w:ind w:left="0" w:firstLine="284"/>
        <w:rPr>
          <w:rFonts w:ascii="Garamond" w:hAnsi="Garamond"/>
          <w:sz w:val="22"/>
          <w:lang w:val="sq-AL"/>
        </w:rPr>
      </w:pPr>
      <w:r w:rsidRPr="00E91B0C">
        <w:rPr>
          <w:rFonts w:ascii="Garamond" w:hAnsi="Garamond"/>
          <w:sz w:val="22"/>
          <w:lang w:val="sq-AL"/>
        </w:rPr>
        <w:t>“2.</w:t>
      </w:r>
      <w:r w:rsidR="00E91B0C">
        <w:rPr>
          <w:rFonts w:ascii="Garamond" w:hAnsi="Garamond"/>
          <w:sz w:val="22"/>
          <w:lang w:val="sq-AL"/>
        </w:rPr>
        <w:t xml:space="preserve"> </w:t>
      </w:r>
      <w:r w:rsidRPr="00E91B0C">
        <w:rPr>
          <w:rFonts w:ascii="Garamond" w:hAnsi="Garamond"/>
          <w:sz w:val="22"/>
          <w:lang w:val="sq-AL"/>
        </w:rPr>
        <w:t>Çdo person i akuzuar për një vepër penale prezumohet i pafajshëm, derisa fajësia e tij të provohet ligjërisht</w:t>
      </w:r>
      <w:r w:rsidR="008A7DCB">
        <w:rPr>
          <w:rFonts w:ascii="Garamond" w:hAnsi="Garamond"/>
          <w:sz w:val="22"/>
          <w:lang w:val="sq-AL"/>
        </w:rPr>
        <w:t xml:space="preserve"> </w:t>
      </w:r>
      <w:r w:rsidRPr="00E91B0C">
        <w:rPr>
          <w:rFonts w:ascii="Garamond" w:hAnsi="Garamond"/>
          <w:sz w:val="22"/>
          <w:lang w:val="sq-AL"/>
        </w:rPr>
        <w:t>...</w:t>
      </w:r>
    </w:p>
    <w:p w:rsidR="00395112" w:rsidRPr="00E91B0C" w:rsidRDefault="00DC7F96" w:rsidP="00395112">
      <w:pPr>
        <w:pStyle w:val="JuPara"/>
        <w:widowControl w:val="0"/>
        <w:rPr>
          <w:rFonts w:ascii="Garamond" w:hAnsi="Garamond"/>
          <w:szCs w:val="24"/>
          <w:lang w:val="sq-AL"/>
        </w:rPr>
      </w:pPr>
      <w:r>
        <w:rPr>
          <w:rFonts w:ascii="Garamond" w:hAnsi="Garamond"/>
          <w:szCs w:val="24"/>
          <w:lang w:val="sq-AL"/>
        </w:rPr>
        <w:t>177</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Qeveria parashtroi se kërkuesit nuk e kishin ngritur këtë ankesë përpara gjykatave </w:t>
      </w:r>
      <w:r w:rsidR="003C06FD">
        <w:rPr>
          <w:rFonts w:ascii="Garamond" w:hAnsi="Garamond"/>
          <w:szCs w:val="24"/>
          <w:lang w:val="sq-AL"/>
        </w:rPr>
        <w:t>vendës</w:t>
      </w:r>
      <w:r w:rsidR="00395112" w:rsidRPr="00E91B0C">
        <w:rPr>
          <w:rFonts w:ascii="Garamond" w:hAnsi="Garamond"/>
          <w:szCs w:val="24"/>
          <w:lang w:val="sq-AL"/>
        </w:rPr>
        <w:t xml:space="preserve">e. Për më tepër, ndaj kërkuesve nuk ishte ngritur asnjë padi penale. Gjithashtu, </w:t>
      </w:r>
      <w:r w:rsidR="0018461E" w:rsidRPr="00E91B0C">
        <w:rPr>
          <w:rFonts w:ascii="Garamond" w:hAnsi="Garamond"/>
          <w:szCs w:val="24"/>
          <w:lang w:val="sq-AL"/>
        </w:rPr>
        <w:t>q</w:t>
      </w:r>
      <w:r w:rsidR="00395112" w:rsidRPr="00E91B0C">
        <w:rPr>
          <w:rFonts w:ascii="Garamond" w:hAnsi="Garamond"/>
          <w:szCs w:val="24"/>
          <w:lang w:val="sq-AL"/>
        </w:rPr>
        <w:t xml:space="preserve">everia argumentoi se përdorimi i shiritit “të skenave të krimit” ishte një procedurë standarde për INUK-un për pezullimin e cilitdo aktiviteti të mundshëm në një godinë, kur ligjshmëria e lejes së ndërtimit vihej në pikëpyetje. Në vijim, </w:t>
      </w:r>
      <w:r w:rsidR="0018461E" w:rsidRPr="00E91B0C">
        <w:rPr>
          <w:rFonts w:ascii="Garamond" w:hAnsi="Garamond"/>
          <w:szCs w:val="24"/>
          <w:lang w:val="sq-AL"/>
        </w:rPr>
        <w:t>q</w:t>
      </w:r>
      <w:r w:rsidR="00395112" w:rsidRPr="00E91B0C">
        <w:rPr>
          <w:rFonts w:ascii="Garamond" w:hAnsi="Garamond"/>
          <w:szCs w:val="24"/>
          <w:lang w:val="sq-AL"/>
        </w:rPr>
        <w:t xml:space="preserve">everia parashtroi se autoritetet nuk i kishin përmendur kurrë emrat e kërkuesve në media. Në parashtrimet e saj verbale, </w:t>
      </w:r>
      <w:r w:rsidR="0018461E" w:rsidRPr="00E91B0C">
        <w:rPr>
          <w:rFonts w:ascii="Garamond" w:hAnsi="Garamond"/>
          <w:szCs w:val="24"/>
          <w:lang w:val="sq-AL"/>
        </w:rPr>
        <w:t>q</w:t>
      </w:r>
      <w:r w:rsidR="00395112" w:rsidRPr="00E91B0C">
        <w:rPr>
          <w:rFonts w:ascii="Garamond" w:hAnsi="Garamond"/>
          <w:szCs w:val="24"/>
          <w:lang w:val="sq-AL"/>
        </w:rPr>
        <w:t xml:space="preserve">everia parashtroi se </w:t>
      </w:r>
      <w:r w:rsidR="001073BE" w:rsidRPr="00E91B0C">
        <w:rPr>
          <w:rFonts w:ascii="Garamond" w:hAnsi="Garamond"/>
          <w:szCs w:val="24"/>
          <w:lang w:val="sq-AL"/>
        </w:rPr>
        <w:t>n</w:t>
      </w:r>
      <w:r w:rsidR="00395112" w:rsidRPr="00E91B0C">
        <w:rPr>
          <w:rFonts w:ascii="Garamond" w:hAnsi="Garamond"/>
          <w:szCs w:val="24"/>
          <w:lang w:val="sq-AL"/>
        </w:rPr>
        <w:t>eni 6</w:t>
      </w:r>
      <w:r w:rsidR="008B2E1D">
        <w:rPr>
          <w:rFonts w:ascii="Garamond" w:hAnsi="Garamond"/>
          <w:szCs w:val="24"/>
          <w:lang w:val="sq-AL"/>
        </w:rPr>
        <w:t>§</w:t>
      </w:r>
      <w:r w:rsidR="00395112" w:rsidRPr="00E91B0C">
        <w:rPr>
          <w:rFonts w:ascii="Garamond" w:hAnsi="Garamond"/>
          <w:szCs w:val="24"/>
          <w:lang w:val="sq-AL"/>
        </w:rPr>
        <w:t xml:space="preserve">2 nuk ishte i zbatueshëm. </w:t>
      </w:r>
    </w:p>
    <w:p w:rsidR="00395112" w:rsidRPr="00E91B0C" w:rsidRDefault="00DC7F96" w:rsidP="00395112">
      <w:pPr>
        <w:pStyle w:val="JuPara"/>
        <w:widowControl w:val="0"/>
        <w:rPr>
          <w:rFonts w:ascii="Garamond" w:hAnsi="Garamond"/>
          <w:i/>
          <w:szCs w:val="24"/>
          <w:lang w:val="sq-AL"/>
        </w:rPr>
      </w:pPr>
      <w:r>
        <w:rPr>
          <w:rFonts w:ascii="Garamond" w:hAnsi="Garamond"/>
          <w:szCs w:val="24"/>
          <w:lang w:val="sq-AL"/>
        </w:rPr>
        <w:t>178</w:t>
      </w:r>
      <w:r w:rsidR="00395112" w:rsidRPr="00E91B0C">
        <w:rPr>
          <w:rFonts w:ascii="Garamond" w:hAnsi="Garamond"/>
          <w:szCs w:val="24"/>
          <w:lang w:val="sq-AL"/>
        </w:rPr>
        <w:t xml:space="preserve">. Gjykata përsërit se </w:t>
      </w:r>
      <w:r w:rsidR="001073BE" w:rsidRPr="00E91B0C">
        <w:rPr>
          <w:rFonts w:ascii="Garamond" w:hAnsi="Garamond"/>
          <w:szCs w:val="24"/>
          <w:lang w:val="sq-AL"/>
        </w:rPr>
        <w:t>n</w:t>
      </w:r>
      <w:r w:rsidR="00395112" w:rsidRPr="00E91B0C">
        <w:rPr>
          <w:rFonts w:ascii="Garamond" w:hAnsi="Garamond"/>
          <w:szCs w:val="24"/>
          <w:lang w:val="sq-AL"/>
        </w:rPr>
        <w:t>eni</w:t>
      </w:r>
      <w:r w:rsidR="00E91B0C">
        <w:rPr>
          <w:rFonts w:ascii="Garamond" w:hAnsi="Garamond"/>
          <w:szCs w:val="24"/>
          <w:lang w:val="sq-AL"/>
        </w:rPr>
        <w:t xml:space="preserve"> </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2 i Konventës zbatohet vetëm kur një akuzë penale është pezull. Në rastin kur ekzistojnë ose kanë ekzistuar procedime të tilla, deklaratat që atribuojnë sjellje penale ose sjellje të tjera të dënueshme, gjithsesi, mund të vlerësojnë mbrojtjen ndaj shpifjes dhe aksesit të përshtatshëm në gjykatë për të përcaktuar të drejtat civile</w:t>
      </w:r>
      <w:r w:rsidR="00896E0E">
        <w:rPr>
          <w:rFonts w:ascii="Garamond" w:hAnsi="Garamond"/>
          <w:szCs w:val="24"/>
          <w:lang w:val="sq-AL"/>
        </w:rPr>
        <w:t>,</w:t>
      </w:r>
      <w:r w:rsidR="00395112" w:rsidRPr="00E91B0C">
        <w:rPr>
          <w:rFonts w:ascii="Garamond" w:hAnsi="Garamond"/>
          <w:szCs w:val="24"/>
          <w:lang w:val="sq-AL"/>
        </w:rPr>
        <w:t xml:space="preserve"> si edhe mund të ngrenë problematika të mundshme sipas </w:t>
      </w:r>
      <w:r w:rsidR="001073BE" w:rsidRPr="00E91B0C">
        <w:rPr>
          <w:rFonts w:ascii="Garamond" w:hAnsi="Garamond"/>
          <w:szCs w:val="24"/>
          <w:lang w:val="sq-AL"/>
        </w:rPr>
        <w:t>ne</w:t>
      </w:r>
      <w:r w:rsidR="00395112" w:rsidRPr="00E91B0C">
        <w:rPr>
          <w:rFonts w:ascii="Garamond" w:hAnsi="Garamond"/>
          <w:szCs w:val="24"/>
          <w:lang w:val="sq-AL"/>
        </w:rPr>
        <w:t xml:space="preserve">neve 8 dhe 6 të Konventës (shih </w:t>
      </w:r>
      <w:r w:rsidR="00395112" w:rsidRPr="00E91B0C">
        <w:rPr>
          <w:rFonts w:ascii="Garamond" w:hAnsi="Garamond"/>
          <w:i/>
          <w:szCs w:val="24"/>
          <w:lang w:val="sq-AL"/>
        </w:rPr>
        <w:t>Zollmann kundër Mbretërisë së Bashkuar</w:t>
      </w:r>
      <w:r w:rsidR="00395112" w:rsidRPr="00E91B0C">
        <w:rPr>
          <w:rFonts w:ascii="Garamond" w:hAnsi="Garamond"/>
          <w:szCs w:val="24"/>
          <w:lang w:val="sq-AL"/>
        </w:rPr>
        <w:t xml:space="preserve"> (vend.), nr. 62902/00, GJEDNJ 2003-XII). Në mungesë të një padie penale kundër kërkuesve, Gjykata arrin në </w:t>
      </w:r>
      <w:r w:rsidR="00395112" w:rsidRPr="00E91B0C">
        <w:rPr>
          <w:rFonts w:ascii="Garamond" w:hAnsi="Garamond"/>
          <w:szCs w:val="24"/>
          <w:lang w:val="sq-AL"/>
        </w:rPr>
        <w:lastRenderedPageBreak/>
        <w:t xml:space="preserve">përfundimin se </w:t>
      </w:r>
      <w:r w:rsidR="001073BE" w:rsidRPr="00E91B0C">
        <w:rPr>
          <w:rFonts w:ascii="Garamond" w:hAnsi="Garamond"/>
          <w:szCs w:val="24"/>
          <w:lang w:val="sq-AL"/>
        </w:rPr>
        <w:t>ne</w:t>
      </w:r>
      <w:r w:rsidR="00395112" w:rsidRPr="00E91B0C">
        <w:rPr>
          <w:rFonts w:ascii="Garamond" w:hAnsi="Garamond"/>
          <w:szCs w:val="24"/>
          <w:lang w:val="sq-AL"/>
        </w:rPr>
        <w:t>ni</w:t>
      </w:r>
      <w:r w:rsidR="00E91B0C">
        <w:rPr>
          <w:rFonts w:ascii="Garamond" w:hAnsi="Garamond"/>
          <w:szCs w:val="24"/>
          <w:lang w:val="sq-AL"/>
        </w:rPr>
        <w:t xml:space="preserve"> </w:t>
      </w:r>
      <w:r w:rsidR="00395112" w:rsidRPr="00E91B0C">
        <w:rPr>
          <w:rFonts w:ascii="Garamond" w:hAnsi="Garamond"/>
          <w:szCs w:val="24"/>
          <w:lang w:val="sq-AL"/>
        </w:rPr>
        <w:t>6</w:t>
      </w:r>
      <w:r w:rsidR="008B2E1D">
        <w:rPr>
          <w:rFonts w:ascii="Garamond" w:hAnsi="Garamond"/>
          <w:szCs w:val="24"/>
          <w:lang w:val="sq-AL"/>
        </w:rPr>
        <w:t>§</w:t>
      </w:r>
      <w:r w:rsidR="00395112" w:rsidRPr="00E91B0C">
        <w:rPr>
          <w:rFonts w:ascii="Garamond" w:hAnsi="Garamond"/>
          <w:szCs w:val="24"/>
          <w:lang w:val="sq-AL"/>
        </w:rPr>
        <w:t>2 i Konventës nuk është i zbatueshëm. Kjo pjesë e kërkesës është në këtë mënyrë e papajtueshme</w:t>
      </w:r>
      <w:r w:rsidR="00E91B0C">
        <w:rPr>
          <w:rFonts w:ascii="Garamond" w:hAnsi="Garamond"/>
          <w:szCs w:val="24"/>
          <w:lang w:val="sq-AL"/>
        </w:rPr>
        <w:t xml:space="preserve"> </w:t>
      </w:r>
      <w:r w:rsidR="00395112" w:rsidRPr="00E91B0C">
        <w:rPr>
          <w:rFonts w:ascii="Garamond" w:hAnsi="Garamond"/>
          <w:i/>
          <w:szCs w:val="24"/>
          <w:lang w:val="sq-AL"/>
        </w:rPr>
        <w:t>ratione materiae</w:t>
      </w:r>
      <w:r w:rsidR="00395112" w:rsidRPr="00E91B0C">
        <w:rPr>
          <w:rFonts w:ascii="Garamond" w:hAnsi="Garamond"/>
          <w:szCs w:val="24"/>
          <w:lang w:val="sq-AL"/>
        </w:rPr>
        <w:t xml:space="preserve"> me parashikimet e Konventës, sipas kuptimit të </w:t>
      </w:r>
      <w:r w:rsidR="001073BE" w:rsidRPr="00E91B0C">
        <w:rPr>
          <w:rFonts w:ascii="Garamond" w:hAnsi="Garamond"/>
          <w:szCs w:val="24"/>
          <w:lang w:val="sq-AL"/>
        </w:rPr>
        <w:t>n</w:t>
      </w:r>
      <w:r w:rsidR="00395112" w:rsidRPr="00E91B0C">
        <w:rPr>
          <w:rFonts w:ascii="Garamond" w:hAnsi="Garamond"/>
          <w:szCs w:val="24"/>
          <w:lang w:val="sq-AL"/>
        </w:rPr>
        <w:t>enit</w:t>
      </w:r>
      <w:r w:rsidR="00E91B0C">
        <w:rPr>
          <w:rFonts w:ascii="Garamond" w:hAnsi="Garamond"/>
          <w:szCs w:val="24"/>
          <w:lang w:val="sq-AL"/>
        </w:rPr>
        <w:t xml:space="preserve"> </w:t>
      </w:r>
      <w:r w:rsidR="00395112" w:rsidRPr="00E91B0C">
        <w:rPr>
          <w:rFonts w:ascii="Garamond" w:hAnsi="Garamond"/>
          <w:szCs w:val="24"/>
          <w:lang w:val="sq-AL"/>
        </w:rPr>
        <w:t>35</w:t>
      </w:r>
      <w:r w:rsidR="008B2E1D">
        <w:rPr>
          <w:rFonts w:ascii="Garamond" w:hAnsi="Garamond"/>
          <w:szCs w:val="24"/>
          <w:lang w:val="sq-AL"/>
        </w:rPr>
        <w:t>§</w:t>
      </w:r>
      <w:r w:rsidR="00395112" w:rsidRPr="00E91B0C">
        <w:rPr>
          <w:rFonts w:ascii="Garamond" w:hAnsi="Garamond"/>
          <w:szCs w:val="24"/>
          <w:lang w:val="sq-AL"/>
        </w:rPr>
        <w:t xml:space="preserve">3. Për më tepër, Gjykata vëren se kërkuesit nuk mundën të provonin pretendimet e tyre në këtë këndvështrim. Për këtë arsye, në çdo rast, kjo pjesë e kërkesës është haptazi e pabazuar. Për të gjitha arsyet e mësipërme, ajo duhet të kundërshtohet sipas </w:t>
      </w:r>
      <w:r w:rsidR="001073BE" w:rsidRPr="00E91B0C">
        <w:rPr>
          <w:rFonts w:ascii="Garamond" w:hAnsi="Garamond"/>
          <w:szCs w:val="24"/>
          <w:lang w:val="sq-AL"/>
        </w:rPr>
        <w:t>n</w:t>
      </w:r>
      <w:r w:rsidR="00395112" w:rsidRPr="00E91B0C">
        <w:rPr>
          <w:rFonts w:ascii="Garamond" w:hAnsi="Garamond"/>
          <w:szCs w:val="24"/>
          <w:lang w:val="sq-AL"/>
        </w:rPr>
        <w:t>enit 35</w:t>
      </w:r>
      <w:r w:rsidR="008B2E1D">
        <w:rPr>
          <w:rFonts w:ascii="Garamond" w:hAnsi="Garamond"/>
          <w:szCs w:val="24"/>
          <w:lang w:val="sq-AL"/>
        </w:rPr>
        <w:t>§</w:t>
      </w:r>
      <w:r w:rsidR="00395112" w:rsidRPr="00E91B0C">
        <w:rPr>
          <w:rFonts w:ascii="Garamond" w:hAnsi="Garamond"/>
          <w:szCs w:val="24"/>
          <w:lang w:val="sq-AL"/>
        </w:rPr>
        <w:t>4 të Konventës.</w:t>
      </w:r>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bookmarkStart w:id="64" w:name="_Toc520459364"/>
      <w:r w:rsidRPr="00E91B0C">
        <w:rPr>
          <w:rFonts w:ascii="Garamond" w:hAnsi="Garamond"/>
          <w:szCs w:val="24"/>
          <w:lang w:val="sq-AL"/>
        </w:rPr>
        <w:t>B.</w:t>
      </w:r>
      <w:r w:rsidR="00E91B0C">
        <w:rPr>
          <w:rFonts w:ascii="Garamond" w:hAnsi="Garamond"/>
          <w:szCs w:val="24"/>
          <w:lang w:val="sq-AL"/>
        </w:rPr>
        <w:t xml:space="preserve"> </w:t>
      </w:r>
      <w:r w:rsidRPr="00E91B0C">
        <w:rPr>
          <w:rFonts w:ascii="Garamond" w:hAnsi="Garamond"/>
          <w:szCs w:val="24"/>
          <w:lang w:val="sq-AL"/>
        </w:rPr>
        <w:t>Ankesat sipas nenit 8 të Konventës</w:t>
      </w:r>
      <w:bookmarkEnd w:id="64"/>
      <w:r w:rsidR="00E91B0C">
        <w:rPr>
          <w:rFonts w:ascii="Garamond" w:hAnsi="Garamond"/>
          <w:szCs w:val="24"/>
          <w:lang w:val="sq-AL"/>
        </w:rPr>
        <w:t xml:space="preserve"> </w:t>
      </w:r>
    </w:p>
    <w:p w:rsidR="00395112" w:rsidRPr="00E91B0C" w:rsidRDefault="00DC7F96" w:rsidP="00395112">
      <w:pPr>
        <w:pStyle w:val="JuPara"/>
        <w:widowControl w:val="0"/>
        <w:rPr>
          <w:rFonts w:ascii="Garamond" w:hAnsi="Garamond"/>
          <w:szCs w:val="24"/>
          <w:lang w:val="sq-AL"/>
        </w:rPr>
      </w:pPr>
      <w:r>
        <w:rPr>
          <w:rFonts w:ascii="Garamond" w:hAnsi="Garamond"/>
          <w:szCs w:val="24"/>
          <w:lang w:val="sq-AL"/>
        </w:rPr>
        <w:t>179</w:t>
      </w:r>
      <w:r w:rsidR="00395112" w:rsidRPr="00E91B0C">
        <w:rPr>
          <w:rFonts w:ascii="Garamond" w:hAnsi="Garamond"/>
          <w:szCs w:val="24"/>
          <w:lang w:val="sq-AL"/>
        </w:rPr>
        <w:t>. Gjithashtu, kërkuesit u ankuan për të drejtën mbi reputacionin sipas garantimit nën kreun “</w:t>
      </w:r>
      <w:r w:rsidR="00C74F66" w:rsidRPr="00E91B0C">
        <w:rPr>
          <w:rFonts w:ascii="Garamond" w:hAnsi="Garamond"/>
          <w:szCs w:val="24"/>
          <w:lang w:val="sq-AL"/>
        </w:rPr>
        <w:t xml:space="preserve">Jeta </w:t>
      </w:r>
      <w:r w:rsidR="00395112" w:rsidRPr="00E91B0C">
        <w:rPr>
          <w:rFonts w:ascii="Garamond" w:hAnsi="Garamond"/>
          <w:szCs w:val="24"/>
          <w:lang w:val="sq-AL"/>
        </w:rPr>
        <w:t xml:space="preserve">private”, në </w:t>
      </w:r>
      <w:r w:rsidR="001073BE" w:rsidRPr="00E91B0C">
        <w:rPr>
          <w:rFonts w:ascii="Garamond" w:hAnsi="Garamond"/>
          <w:szCs w:val="24"/>
          <w:lang w:val="sq-AL"/>
        </w:rPr>
        <w:t>n</w:t>
      </w:r>
      <w:r w:rsidR="00395112" w:rsidRPr="00E91B0C">
        <w:rPr>
          <w:rFonts w:ascii="Garamond" w:hAnsi="Garamond"/>
          <w:szCs w:val="24"/>
          <w:lang w:val="sq-AL"/>
        </w:rPr>
        <w:t xml:space="preserve">enin 8 të Konventës për të njëjtat arsye, të përmendura më sipër (shih paragrafin 176 më sipër).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180. Qeveria parashtroi të njëjtat argumente si ato të parashtruara në </w:t>
      </w:r>
      <w:r w:rsidR="001073BE" w:rsidRPr="00E91B0C">
        <w:rPr>
          <w:rFonts w:ascii="Garamond" w:hAnsi="Garamond"/>
          <w:szCs w:val="24"/>
          <w:lang w:val="sq-AL"/>
        </w:rPr>
        <w:t>ne</w:t>
      </w:r>
      <w:r w:rsidRPr="00E91B0C">
        <w:rPr>
          <w:rFonts w:ascii="Garamond" w:hAnsi="Garamond"/>
          <w:szCs w:val="24"/>
          <w:lang w:val="sq-AL"/>
        </w:rPr>
        <w:t>nin 6</w:t>
      </w:r>
      <w:r w:rsidR="008B2E1D">
        <w:rPr>
          <w:rFonts w:ascii="Garamond" w:hAnsi="Garamond"/>
          <w:szCs w:val="24"/>
          <w:lang w:val="sq-AL"/>
        </w:rPr>
        <w:t>§</w:t>
      </w:r>
      <w:r w:rsidRPr="00E91B0C">
        <w:rPr>
          <w:rFonts w:ascii="Garamond" w:hAnsi="Garamond"/>
          <w:szCs w:val="24"/>
          <w:lang w:val="sq-AL"/>
        </w:rPr>
        <w:t>2 të Konventës.</w:t>
      </w:r>
    </w:p>
    <w:p w:rsidR="00395112" w:rsidRPr="00E91B0C" w:rsidRDefault="00DC7F96" w:rsidP="00395112">
      <w:pPr>
        <w:pStyle w:val="JuPara"/>
        <w:widowControl w:val="0"/>
        <w:rPr>
          <w:rFonts w:ascii="Garamond" w:hAnsi="Garamond"/>
          <w:szCs w:val="24"/>
          <w:lang w:val="sq-AL"/>
        </w:rPr>
      </w:pPr>
      <w:r>
        <w:rPr>
          <w:rFonts w:ascii="Garamond" w:hAnsi="Garamond"/>
          <w:szCs w:val="24"/>
          <w:lang w:val="sq-AL"/>
        </w:rPr>
        <w:t>181</w:t>
      </w:r>
      <w:r w:rsidR="00395112" w:rsidRPr="00E91B0C">
        <w:rPr>
          <w:rFonts w:ascii="Garamond" w:hAnsi="Garamond"/>
          <w:szCs w:val="24"/>
          <w:lang w:val="sq-AL"/>
        </w:rPr>
        <w:t xml:space="preserve">. Gjykata vëren se nuk ka asnjë të dhënë të dokumentuar në dosjen e çështjes, se deklaratat e bëra nga anëtarët e </w:t>
      </w:r>
      <w:r w:rsidR="0018461E" w:rsidRPr="00E91B0C">
        <w:rPr>
          <w:rFonts w:ascii="Garamond" w:hAnsi="Garamond"/>
          <w:szCs w:val="24"/>
          <w:lang w:val="sq-AL"/>
        </w:rPr>
        <w:t>q</w:t>
      </w:r>
      <w:r w:rsidR="00395112" w:rsidRPr="00E91B0C">
        <w:rPr>
          <w:rFonts w:ascii="Garamond" w:hAnsi="Garamond"/>
          <w:szCs w:val="24"/>
          <w:lang w:val="sq-AL"/>
        </w:rPr>
        <w:t>everisë ose deklaratat e zyrtarëve të tjerë të lartë, nisja e procedimeve penale kundër oficerëve të policisë për abuzim me pushtetin ose rrethimi i godinës me shirit të verdhë të policisë, adresoheshin kundër reputacionit të kërkuesve (shih paragrafët 13</w:t>
      </w:r>
      <w:r w:rsidR="005B203A">
        <w:rPr>
          <w:rFonts w:ascii="Garamond" w:hAnsi="Garamond"/>
          <w:szCs w:val="24"/>
          <w:lang w:val="sq-AL"/>
        </w:rPr>
        <w:t>–</w:t>
      </w:r>
      <w:r w:rsidR="00395112" w:rsidRPr="00E91B0C">
        <w:rPr>
          <w:rFonts w:ascii="Garamond" w:hAnsi="Garamond"/>
          <w:szCs w:val="24"/>
          <w:lang w:val="sq-AL"/>
        </w:rPr>
        <w:t>14 dhe 44</w:t>
      </w:r>
      <w:r w:rsidR="005B203A">
        <w:rPr>
          <w:rFonts w:ascii="Garamond" w:hAnsi="Garamond"/>
          <w:szCs w:val="24"/>
          <w:lang w:val="sq-AL"/>
        </w:rPr>
        <w:t>–</w:t>
      </w:r>
      <w:r w:rsidR="00395112" w:rsidRPr="00E91B0C">
        <w:rPr>
          <w:rFonts w:ascii="Garamond" w:hAnsi="Garamond"/>
          <w:szCs w:val="24"/>
          <w:lang w:val="sq-AL"/>
        </w:rPr>
        <w:t xml:space="preserve">47 më sipër). Për këtë arsye, sipas të gjitha materialeve të zotëruara, dhe për aq sa çështjet për të cilat janë drejtuar ankesat janë nën kompetencat e saj, Gjykata konstaton se se nuk gjendet ndonjë shfaqje e shkeljes së të drejtave dhe lirive të përcaktuara në Konventë ose në </w:t>
      </w:r>
      <w:r w:rsidR="001B2C72" w:rsidRPr="00E91B0C">
        <w:rPr>
          <w:rFonts w:ascii="Garamond" w:hAnsi="Garamond"/>
          <w:szCs w:val="24"/>
          <w:lang w:val="sq-AL"/>
        </w:rPr>
        <w:t xml:space="preserve">protokollet </w:t>
      </w:r>
      <w:r w:rsidR="00395112" w:rsidRPr="00E91B0C">
        <w:rPr>
          <w:rFonts w:ascii="Garamond" w:hAnsi="Garamond"/>
          <w:szCs w:val="24"/>
          <w:lang w:val="sq-AL"/>
        </w:rPr>
        <w:t xml:space="preserve">e saj. Ajo vijon se kjo pjesë e kërkesës është haptazi e pabazuar dhe duhet të kundërshtohet sipas </w:t>
      </w:r>
      <w:r w:rsidR="001073BE" w:rsidRPr="00E91B0C">
        <w:rPr>
          <w:rFonts w:ascii="Garamond" w:hAnsi="Garamond"/>
          <w:szCs w:val="24"/>
          <w:lang w:val="sq-AL"/>
        </w:rPr>
        <w:t>n</w:t>
      </w:r>
      <w:r w:rsidR="008F4E27">
        <w:rPr>
          <w:rFonts w:ascii="Garamond" w:hAnsi="Garamond"/>
          <w:szCs w:val="24"/>
          <w:lang w:val="sq-AL"/>
        </w:rPr>
        <w:t>enit 35§§3</w:t>
      </w:r>
      <w:r w:rsidR="00395112" w:rsidRPr="00E91B0C">
        <w:rPr>
          <w:rFonts w:ascii="Garamond" w:hAnsi="Garamond"/>
          <w:szCs w:val="24"/>
          <w:lang w:val="sq-AL"/>
        </w:rPr>
        <w:t>(a) dhe 4 të Konventës.</w:t>
      </w:r>
    </w:p>
    <w:p w:rsidR="00DC7F96" w:rsidRDefault="00395112" w:rsidP="00DC7F96">
      <w:pPr>
        <w:pStyle w:val="ECHRHeading2"/>
        <w:keepNext w:val="0"/>
        <w:keepLines w:val="0"/>
        <w:widowControl w:val="0"/>
        <w:spacing w:before="0" w:after="0"/>
        <w:ind w:left="0" w:firstLine="284"/>
        <w:rPr>
          <w:rFonts w:ascii="Garamond" w:hAnsi="Garamond"/>
          <w:szCs w:val="24"/>
          <w:lang w:val="sq-AL"/>
        </w:rPr>
      </w:pPr>
      <w:bookmarkStart w:id="65" w:name="_Toc520459365"/>
      <w:r w:rsidRPr="00E91B0C">
        <w:rPr>
          <w:rFonts w:ascii="Garamond" w:hAnsi="Garamond"/>
          <w:szCs w:val="24"/>
          <w:lang w:val="sq-AL"/>
        </w:rPr>
        <w:t>C.</w:t>
      </w:r>
      <w:r w:rsidR="00E91B0C">
        <w:rPr>
          <w:rFonts w:ascii="Garamond" w:hAnsi="Garamond"/>
          <w:szCs w:val="24"/>
          <w:lang w:val="sq-AL"/>
        </w:rPr>
        <w:t xml:space="preserve"> </w:t>
      </w:r>
      <w:r w:rsidRPr="00E91B0C">
        <w:rPr>
          <w:rFonts w:ascii="Garamond" w:hAnsi="Garamond"/>
          <w:szCs w:val="24"/>
          <w:lang w:val="sq-AL"/>
        </w:rPr>
        <w:t xml:space="preserve">Shkelje e pretenduar e </w:t>
      </w:r>
      <w:r w:rsidR="009B65F2" w:rsidRPr="00E91B0C">
        <w:rPr>
          <w:rFonts w:ascii="Garamond" w:hAnsi="Garamond"/>
          <w:szCs w:val="24"/>
          <w:lang w:val="sq-AL"/>
        </w:rPr>
        <w:t xml:space="preserve">nenit </w:t>
      </w:r>
      <w:r w:rsidRPr="00E91B0C">
        <w:rPr>
          <w:rFonts w:ascii="Garamond" w:hAnsi="Garamond"/>
          <w:szCs w:val="24"/>
          <w:lang w:val="sq-AL"/>
        </w:rPr>
        <w:t xml:space="preserve">14 e interpretuar së bashku me </w:t>
      </w:r>
      <w:r w:rsidR="009B65F2" w:rsidRPr="00E91B0C">
        <w:rPr>
          <w:rFonts w:ascii="Garamond" w:hAnsi="Garamond"/>
          <w:szCs w:val="24"/>
          <w:lang w:val="sq-AL"/>
        </w:rPr>
        <w:t>nenin</w:t>
      </w:r>
      <w:r w:rsidR="009B65F2">
        <w:rPr>
          <w:rFonts w:ascii="Garamond" w:hAnsi="Garamond"/>
          <w:szCs w:val="24"/>
          <w:lang w:val="sq-AL"/>
        </w:rPr>
        <w:t xml:space="preserve"> </w:t>
      </w:r>
      <w:r w:rsidRPr="00E91B0C">
        <w:rPr>
          <w:rFonts w:ascii="Garamond" w:hAnsi="Garamond"/>
          <w:szCs w:val="24"/>
          <w:lang w:val="sq-AL"/>
        </w:rPr>
        <w:t>6</w:t>
      </w:r>
      <w:r w:rsidR="008B2E1D">
        <w:rPr>
          <w:rFonts w:ascii="Garamond" w:hAnsi="Garamond"/>
          <w:szCs w:val="24"/>
          <w:lang w:val="sq-AL"/>
        </w:rPr>
        <w:t>§</w:t>
      </w:r>
      <w:r w:rsidRPr="00E91B0C">
        <w:rPr>
          <w:rFonts w:ascii="Garamond" w:hAnsi="Garamond"/>
          <w:szCs w:val="24"/>
          <w:lang w:val="sq-AL"/>
        </w:rPr>
        <w:t xml:space="preserve">1 dhe </w:t>
      </w:r>
      <w:r w:rsidR="009B65F2" w:rsidRPr="00E91B0C">
        <w:rPr>
          <w:rFonts w:ascii="Garamond" w:hAnsi="Garamond"/>
          <w:szCs w:val="24"/>
          <w:lang w:val="sq-AL"/>
        </w:rPr>
        <w:t xml:space="preserve">nenin </w:t>
      </w:r>
      <w:r w:rsidRPr="00E91B0C">
        <w:rPr>
          <w:rFonts w:ascii="Garamond" w:hAnsi="Garamond"/>
          <w:szCs w:val="24"/>
          <w:lang w:val="sq-AL"/>
        </w:rPr>
        <w:t>8 të Konventës</w:t>
      </w:r>
      <w:r w:rsidR="00896E0E">
        <w:rPr>
          <w:rFonts w:ascii="Garamond" w:hAnsi="Garamond"/>
          <w:szCs w:val="24"/>
          <w:lang w:val="sq-AL"/>
        </w:rPr>
        <w:t>,</w:t>
      </w:r>
      <w:r w:rsidRPr="00E91B0C">
        <w:rPr>
          <w:rFonts w:ascii="Garamond" w:hAnsi="Garamond"/>
          <w:szCs w:val="24"/>
          <w:lang w:val="sq-AL"/>
        </w:rPr>
        <w:t xml:space="preserve"> si edhe </w:t>
      </w:r>
      <w:r w:rsidR="009B65F2" w:rsidRPr="00E91B0C">
        <w:rPr>
          <w:rFonts w:ascii="Garamond" w:hAnsi="Garamond"/>
          <w:szCs w:val="24"/>
          <w:lang w:val="sq-AL"/>
        </w:rPr>
        <w:t xml:space="preserve">nenin </w:t>
      </w:r>
      <w:r w:rsidRPr="00E91B0C">
        <w:rPr>
          <w:rFonts w:ascii="Garamond" w:hAnsi="Garamond"/>
          <w:szCs w:val="24"/>
          <w:lang w:val="sq-AL"/>
        </w:rPr>
        <w:t xml:space="preserve">1 të </w:t>
      </w:r>
      <w:r w:rsidR="009B65F2" w:rsidRPr="00E91B0C">
        <w:rPr>
          <w:rFonts w:ascii="Garamond" w:hAnsi="Garamond"/>
          <w:szCs w:val="24"/>
          <w:lang w:val="sq-AL"/>
        </w:rPr>
        <w:t>protokollit nr</w:t>
      </w:r>
      <w:r w:rsidRPr="00E91B0C">
        <w:rPr>
          <w:rFonts w:ascii="Garamond" w:hAnsi="Garamond"/>
          <w:szCs w:val="24"/>
          <w:lang w:val="sq-AL"/>
        </w:rPr>
        <w:t>. 1 të Konventës</w:t>
      </w:r>
      <w:bookmarkEnd w:id="65"/>
      <w:r w:rsidR="00E91B0C">
        <w:rPr>
          <w:rFonts w:ascii="Garamond" w:hAnsi="Garamond"/>
          <w:szCs w:val="24"/>
          <w:lang w:val="sq-AL"/>
        </w:rPr>
        <w:t xml:space="preserve"> </w:t>
      </w:r>
    </w:p>
    <w:p w:rsidR="00395112" w:rsidRPr="00DC7F96" w:rsidRDefault="00DC7F96" w:rsidP="00DC7F96">
      <w:pPr>
        <w:pStyle w:val="ECHRHeading2"/>
        <w:keepNext w:val="0"/>
        <w:keepLines w:val="0"/>
        <w:widowControl w:val="0"/>
        <w:spacing w:before="0" w:after="0"/>
        <w:ind w:left="0" w:firstLine="284"/>
        <w:rPr>
          <w:rFonts w:ascii="Garamond" w:hAnsi="Garamond"/>
          <w:b w:val="0"/>
          <w:szCs w:val="24"/>
          <w:lang w:val="sq-AL"/>
        </w:rPr>
      </w:pPr>
      <w:r w:rsidRPr="00DC7F96">
        <w:rPr>
          <w:rFonts w:ascii="Garamond" w:hAnsi="Garamond"/>
          <w:b w:val="0"/>
          <w:szCs w:val="24"/>
          <w:lang w:val="sq-AL"/>
        </w:rPr>
        <w:t>182</w:t>
      </w:r>
      <w:r w:rsidR="00395112" w:rsidRPr="00DC7F96">
        <w:rPr>
          <w:rFonts w:ascii="Garamond" w:hAnsi="Garamond"/>
          <w:b w:val="0"/>
          <w:szCs w:val="24"/>
          <w:lang w:val="sq-AL"/>
        </w:rPr>
        <w:t>.</w:t>
      </w:r>
      <w:r w:rsidR="00E91B0C" w:rsidRPr="00DC7F96">
        <w:rPr>
          <w:rFonts w:ascii="Garamond" w:hAnsi="Garamond"/>
          <w:b w:val="0"/>
          <w:szCs w:val="24"/>
          <w:lang w:val="sq-AL"/>
        </w:rPr>
        <w:t xml:space="preserve"> </w:t>
      </w:r>
      <w:r w:rsidR="00395112" w:rsidRPr="00DC7F96">
        <w:rPr>
          <w:rFonts w:ascii="Garamond" w:hAnsi="Garamond"/>
          <w:b w:val="0"/>
          <w:szCs w:val="24"/>
          <w:lang w:val="sq-AL"/>
        </w:rPr>
        <w:t xml:space="preserve">Kërkuesit parashtruan se ata ishin diskriminuar, sepse Rezidenca Jon ishte e vetmja ndërtesë e ndërtuar me leje e shembur nga autoritetet, ndërsa të gjitha godinat e tjera të pozicionuara në shëtitoren Lungomare ishin ndërtime pa leje. </w:t>
      </w:r>
    </w:p>
    <w:p w:rsidR="00395112" w:rsidRPr="00484B08" w:rsidRDefault="00395112" w:rsidP="00395112">
      <w:pPr>
        <w:pStyle w:val="JuPara"/>
        <w:widowControl w:val="0"/>
        <w:rPr>
          <w:rFonts w:ascii="Garamond" w:hAnsi="Garamond"/>
          <w:spacing w:val="-4"/>
          <w:szCs w:val="24"/>
          <w:lang w:val="sq-AL"/>
        </w:rPr>
      </w:pPr>
      <w:r w:rsidRPr="00484B08">
        <w:rPr>
          <w:rFonts w:ascii="Garamond" w:hAnsi="Garamond"/>
          <w:spacing w:val="-4"/>
          <w:szCs w:val="24"/>
          <w:lang w:val="sq-AL"/>
        </w:rPr>
        <w:t xml:space="preserve">Neni 14 i Konventës parashikon si më poshtë: </w:t>
      </w:r>
    </w:p>
    <w:p w:rsidR="00395112" w:rsidRPr="00484B08" w:rsidRDefault="00395112" w:rsidP="00395112">
      <w:pPr>
        <w:pStyle w:val="ECHRParaQuote"/>
        <w:widowControl w:val="0"/>
        <w:spacing w:before="0" w:after="0"/>
        <w:ind w:left="0" w:firstLine="284"/>
        <w:rPr>
          <w:rFonts w:ascii="Garamond" w:hAnsi="Garamond"/>
          <w:spacing w:val="-4"/>
          <w:sz w:val="22"/>
          <w:lang w:val="sq-AL"/>
        </w:rPr>
      </w:pPr>
      <w:r w:rsidRPr="00484B08">
        <w:rPr>
          <w:rFonts w:ascii="Garamond" w:hAnsi="Garamond"/>
          <w:spacing w:val="-4"/>
          <w:sz w:val="22"/>
          <w:lang w:val="sq-AL"/>
        </w:rPr>
        <w:t>“Gëzimi i të drejtave dhe i lirive të përcaktuara në këtë Konventë duhet të sigurohet, pa asnjë dallim të bazuar në shkaqe të tilla si seksi, raca, ngjyra, gjuha, feja, mendimet politike ose çdo mendim tjetër, origjina kombëtare ose shoqërore, përkatësia në një minoritet kombëtar, pasuria, lindja ose çdo status tjetër.”</w:t>
      </w:r>
    </w:p>
    <w:p w:rsidR="00395112" w:rsidRPr="00484B08" w:rsidRDefault="00DC7F96" w:rsidP="00395112">
      <w:pPr>
        <w:pStyle w:val="JuPara"/>
        <w:widowControl w:val="0"/>
        <w:rPr>
          <w:rFonts w:ascii="Garamond" w:hAnsi="Garamond"/>
          <w:spacing w:val="-4"/>
          <w:szCs w:val="24"/>
          <w:lang w:val="sq-AL"/>
        </w:rPr>
      </w:pPr>
      <w:r w:rsidRPr="00484B08">
        <w:rPr>
          <w:rFonts w:ascii="Garamond" w:hAnsi="Garamond"/>
          <w:spacing w:val="-4"/>
          <w:szCs w:val="24"/>
          <w:lang w:val="sq-AL"/>
        </w:rPr>
        <w:t>183</w:t>
      </w:r>
      <w:r w:rsidR="00395112" w:rsidRPr="00484B08">
        <w:rPr>
          <w:rFonts w:ascii="Garamond" w:hAnsi="Garamond"/>
          <w:spacing w:val="-4"/>
          <w:szCs w:val="24"/>
          <w:lang w:val="sq-AL"/>
        </w:rPr>
        <w:t>.</w:t>
      </w:r>
      <w:r w:rsidR="00E91B0C" w:rsidRPr="00484B08">
        <w:rPr>
          <w:rFonts w:ascii="Garamond" w:hAnsi="Garamond"/>
          <w:spacing w:val="-4"/>
          <w:szCs w:val="24"/>
          <w:lang w:val="sq-AL"/>
        </w:rPr>
        <w:t xml:space="preserve"> </w:t>
      </w:r>
      <w:r w:rsidR="00395112" w:rsidRPr="00484B08">
        <w:rPr>
          <w:rFonts w:ascii="Garamond" w:hAnsi="Garamond"/>
          <w:spacing w:val="-4"/>
          <w:szCs w:val="24"/>
          <w:lang w:val="sq-AL"/>
        </w:rPr>
        <w:t xml:space="preserve">Qeveria parashtroi se ankuesit nuk e kishin ngritur këtë kërkesë përpara autoriteteve </w:t>
      </w:r>
      <w:r w:rsidR="003C06FD" w:rsidRPr="00484B08">
        <w:rPr>
          <w:rFonts w:ascii="Garamond" w:hAnsi="Garamond"/>
          <w:spacing w:val="-4"/>
          <w:szCs w:val="24"/>
          <w:lang w:val="sq-AL"/>
        </w:rPr>
        <w:t>vendës</w:t>
      </w:r>
      <w:r w:rsidR="00395112" w:rsidRPr="00484B08">
        <w:rPr>
          <w:rFonts w:ascii="Garamond" w:hAnsi="Garamond"/>
          <w:spacing w:val="-4"/>
          <w:szCs w:val="24"/>
          <w:lang w:val="sq-AL"/>
        </w:rPr>
        <w:t xml:space="preserve">e. Më tej, </w:t>
      </w:r>
      <w:r w:rsidR="0018461E" w:rsidRPr="00484B08">
        <w:rPr>
          <w:rFonts w:ascii="Garamond" w:hAnsi="Garamond"/>
          <w:spacing w:val="-4"/>
          <w:szCs w:val="24"/>
          <w:lang w:val="sq-AL"/>
        </w:rPr>
        <w:t xml:space="preserve">qeveria </w:t>
      </w:r>
      <w:r w:rsidR="00395112" w:rsidRPr="00484B08">
        <w:rPr>
          <w:rFonts w:ascii="Garamond" w:hAnsi="Garamond"/>
          <w:spacing w:val="-4"/>
          <w:szCs w:val="24"/>
          <w:lang w:val="sq-AL"/>
        </w:rPr>
        <w:t xml:space="preserve">parashtroi se nuk ishte shkelur </w:t>
      </w:r>
      <w:r w:rsidR="001073BE" w:rsidRPr="00484B08">
        <w:rPr>
          <w:rFonts w:ascii="Garamond" w:hAnsi="Garamond"/>
          <w:spacing w:val="-4"/>
          <w:szCs w:val="24"/>
          <w:lang w:val="sq-AL"/>
        </w:rPr>
        <w:t>n</w:t>
      </w:r>
      <w:r w:rsidR="00395112" w:rsidRPr="00484B08">
        <w:rPr>
          <w:rFonts w:ascii="Garamond" w:hAnsi="Garamond"/>
          <w:spacing w:val="-4"/>
          <w:szCs w:val="24"/>
          <w:lang w:val="sq-AL"/>
        </w:rPr>
        <w:t xml:space="preserve">eni 14 i Konventës, sepse procedura e ndjekur nga INUK dhe INU në çështjen konkrete ishte e njëjtë me atë të ndjekur në çështjet e tjera, ku autoritetet kishin shembur godina të tjera.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184. Gjykata vëren se kërkuesit nuk e ngritën këtë ankesë përpara gjykatave </w:t>
      </w:r>
      <w:r w:rsidR="003C06FD">
        <w:rPr>
          <w:rFonts w:ascii="Garamond" w:hAnsi="Garamond"/>
          <w:szCs w:val="24"/>
          <w:lang w:val="sq-AL"/>
        </w:rPr>
        <w:t>vendës</w:t>
      </w:r>
      <w:r w:rsidRPr="00E91B0C">
        <w:rPr>
          <w:rFonts w:ascii="Garamond" w:hAnsi="Garamond"/>
          <w:szCs w:val="24"/>
          <w:lang w:val="sq-AL"/>
        </w:rPr>
        <w:t xml:space="preserve">e, as në thelb. Për këtë arsye, kjo pjesë e kërkesës duhet të kundërshtohet në përputhje me </w:t>
      </w:r>
      <w:r w:rsidR="001073BE" w:rsidRPr="00E91B0C">
        <w:rPr>
          <w:rFonts w:ascii="Garamond" w:hAnsi="Garamond"/>
          <w:szCs w:val="24"/>
          <w:lang w:val="sq-AL"/>
        </w:rPr>
        <w:t>n</w:t>
      </w:r>
      <w:r w:rsidRPr="00E91B0C">
        <w:rPr>
          <w:rFonts w:ascii="Garamond" w:hAnsi="Garamond"/>
          <w:szCs w:val="24"/>
          <w:lang w:val="sq-AL"/>
        </w:rPr>
        <w:t>enin 35§§3(a) dhe 4 të Konventës.</w:t>
      </w:r>
    </w:p>
    <w:p w:rsidR="00395112" w:rsidRPr="003421FE" w:rsidRDefault="00395112" w:rsidP="00395112">
      <w:pPr>
        <w:pStyle w:val="ECHRHeading1"/>
        <w:keepNext w:val="0"/>
        <w:keepLines w:val="0"/>
        <w:widowControl w:val="0"/>
        <w:spacing w:before="0" w:after="0"/>
        <w:ind w:left="0" w:firstLine="284"/>
        <w:rPr>
          <w:rFonts w:ascii="Garamond" w:hAnsi="Garamond"/>
          <w:spacing w:val="-4"/>
          <w:szCs w:val="24"/>
          <w:lang w:val="sq-AL"/>
        </w:rPr>
      </w:pPr>
      <w:bookmarkStart w:id="66" w:name="_Toc520459366"/>
      <w:r w:rsidRPr="003421FE">
        <w:rPr>
          <w:rFonts w:ascii="Garamond" w:hAnsi="Garamond"/>
          <w:spacing w:val="-4"/>
          <w:szCs w:val="24"/>
          <w:lang w:val="sq-AL"/>
        </w:rPr>
        <w:t>V.</w:t>
      </w:r>
      <w:r w:rsidR="00E91B0C" w:rsidRPr="003421FE">
        <w:rPr>
          <w:rFonts w:ascii="Garamond" w:hAnsi="Garamond"/>
          <w:spacing w:val="-4"/>
          <w:szCs w:val="24"/>
          <w:lang w:val="sq-AL"/>
        </w:rPr>
        <w:t xml:space="preserve"> </w:t>
      </w:r>
      <w:r w:rsidRPr="003421FE">
        <w:rPr>
          <w:rFonts w:ascii="Garamond" w:hAnsi="Garamond"/>
          <w:spacing w:val="-4"/>
          <w:szCs w:val="24"/>
          <w:lang w:val="sq-AL"/>
        </w:rPr>
        <w:t>ZBATIMI I NENIT 41 TË KONVENTËS</w:t>
      </w:r>
      <w:bookmarkEnd w:id="66"/>
    </w:p>
    <w:p w:rsidR="00395112" w:rsidRPr="00E91B0C" w:rsidRDefault="00DC7F96" w:rsidP="00395112">
      <w:pPr>
        <w:pStyle w:val="JuPara"/>
        <w:widowControl w:val="0"/>
        <w:rPr>
          <w:rFonts w:ascii="Garamond" w:hAnsi="Garamond"/>
          <w:szCs w:val="24"/>
          <w:lang w:val="sq-AL"/>
        </w:rPr>
      </w:pPr>
      <w:r>
        <w:rPr>
          <w:rFonts w:ascii="Garamond" w:hAnsi="Garamond"/>
          <w:szCs w:val="24"/>
          <w:lang w:val="sq-AL"/>
        </w:rPr>
        <w:t>185</w:t>
      </w:r>
      <w:r w:rsidR="00395112" w:rsidRPr="00E91B0C">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Neni 41 i Konventës parashikon:</w:t>
      </w:r>
    </w:p>
    <w:p w:rsidR="00484B08" w:rsidRPr="00922378" w:rsidRDefault="00395112" w:rsidP="00922378">
      <w:pPr>
        <w:pStyle w:val="ECHRParaQuote"/>
        <w:widowControl w:val="0"/>
        <w:spacing w:before="0" w:after="0"/>
        <w:ind w:left="0" w:firstLine="284"/>
        <w:rPr>
          <w:rFonts w:ascii="Garamond" w:hAnsi="Garamond"/>
          <w:sz w:val="22"/>
          <w:lang w:val="sq-AL"/>
        </w:rPr>
      </w:pPr>
      <w:r w:rsidRPr="000D3DDC">
        <w:rPr>
          <w:rFonts w:ascii="Garamond" w:hAnsi="Garamond"/>
          <w:sz w:val="22"/>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bookmarkStart w:id="67" w:name="_Toc520459367"/>
    </w:p>
    <w:p w:rsidR="00395112" w:rsidRPr="00E91B0C" w:rsidRDefault="00395112" w:rsidP="00395112">
      <w:pPr>
        <w:pStyle w:val="ECHRHeading2"/>
        <w:keepNext w:val="0"/>
        <w:keepLines w:val="0"/>
        <w:widowControl w:val="0"/>
        <w:spacing w:before="0" w:after="0"/>
        <w:ind w:left="0" w:firstLine="284"/>
        <w:rPr>
          <w:rFonts w:ascii="Garamond" w:hAnsi="Garamond"/>
          <w:szCs w:val="24"/>
          <w:lang w:val="sq-AL"/>
        </w:rPr>
      </w:pPr>
      <w:r w:rsidRPr="00E91B0C">
        <w:rPr>
          <w:rFonts w:ascii="Garamond" w:hAnsi="Garamond"/>
          <w:szCs w:val="24"/>
          <w:lang w:val="sq-AL"/>
        </w:rPr>
        <w:t>A.</w:t>
      </w:r>
      <w:r w:rsidR="00E91B0C">
        <w:rPr>
          <w:rFonts w:ascii="Garamond" w:hAnsi="Garamond"/>
          <w:szCs w:val="24"/>
          <w:lang w:val="sq-AL"/>
        </w:rPr>
        <w:t xml:space="preserve"> </w:t>
      </w:r>
      <w:r w:rsidRPr="00E91B0C">
        <w:rPr>
          <w:rFonts w:ascii="Garamond" w:hAnsi="Garamond"/>
          <w:szCs w:val="24"/>
          <w:lang w:val="sq-AL"/>
        </w:rPr>
        <w:t>Dëmi</w:t>
      </w:r>
      <w:bookmarkEnd w:id="67"/>
    </w:p>
    <w:p w:rsidR="00395112" w:rsidRPr="00E91B0C" w:rsidRDefault="00395112" w:rsidP="00395112">
      <w:pPr>
        <w:pStyle w:val="ECHRHeading3"/>
        <w:keepNext w:val="0"/>
        <w:keepLines w:val="0"/>
        <w:widowControl w:val="0"/>
        <w:spacing w:before="0" w:after="0"/>
        <w:ind w:left="0" w:firstLine="284"/>
        <w:rPr>
          <w:rFonts w:ascii="Garamond" w:hAnsi="Garamond"/>
          <w:szCs w:val="24"/>
          <w:lang w:val="sq-AL"/>
        </w:rPr>
      </w:pPr>
      <w:bookmarkStart w:id="68" w:name="_Toc520459368"/>
      <w:r w:rsidRPr="00E91B0C">
        <w:rPr>
          <w:rFonts w:ascii="Garamond" w:hAnsi="Garamond"/>
          <w:szCs w:val="24"/>
          <w:lang w:val="sq-AL"/>
        </w:rPr>
        <w:t>1.</w:t>
      </w:r>
      <w:r w:rsidR="00E91B0C">
        <w:rPr>
          <w:rFonts w:ascii="Garamond" w:hAnsi="Garamond"/>
          <w:szCs w:val="24"/>
          <w:lang w:val="sq-AL"/>
        </w:rPr>
        <w:t xml:space="preserve"> </w:t>
      </w:r>
      <w:r w:rsidRPr="00E91B0C">
        <w:rPr>
          <w:rFonts w:ascii="Garamond" w:hAnsi="Garamond"/>
          <w:szCs w:val="24"/>
          <w:lang w:val="sq-AL"/>
        </w:rPr>
        <w:t>Dëmi monetar</w:t>
      </w:r>
      <w:bookmarkEnd w:id="68"/>
    </w:p>
    <w:p w:rsidR="00395112" w:rsidRPr="00E91B0C" w:rsidRDefault="00395112" w:rsidP="00395112">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a)</w:t>
      </w:r>
      <w:r w:rsidR="00E91B0C">
        <w:rPr>
          <w:rFonts w:ascii="Garamond" w:hAnsi="Garamond"/>
          <w:sz w:val="24"/>
          <w:szCs w:val="24"/>
          <w:lang w:val="sq-AL"/>
        </w:rPr>
        <w:t xml:space="preserve"> </w:t>
      </w:r>
      <w:r w:rsidRPr="00E91B0C">
        <w:rPr>
          <w:rFonts w:ascii="Garamond" w:hAnsi="Garamond"/>
          <w:sz w:val="24"/>
          <w:szCs w:val="24"/>
          <w:lang w:val="sq-AL"/>
        </w:rPr>
        <w:t>Parashtrimet e palëve</w:t>
      </w:r>
    </w:p>
    <w:p w:rsidR="00395112" w:rsidRPr="00E91B0C" w:rsidRDefault="00DC7F96" w:rsidP="00395112">
      <w:pPr>
        <w:pStyle w:val="JuPara"/>
        <w:widowControl w:val="0"/>
        <w:rPr>
          <w:rFonts w:ascii="Garamond" w:hAnsi="Garamond"/>
          <w:szCs w:val="24"/>
          <w:lang w:val="sq-AL"/>
        </w:rPr>
      </w:pPr>
      <w:r>
        <w:rPr>
          <w:rFonts w:ascii="Garamond" w:hAnsi="Garamond"/>
          <w:szCs w:val="24"/>
          <w:lang w:val="sq-AL"/>
        </w:rPr>
        <w:t>186</w:t>
      </w:r>
      <w:r w:rsidR="00395112" w:rsidRPr="00E91B0C">
        <w:rPr>
          <w:rFonts w:ascii="Garamond" w:hAnsi="Garamond"/>
          <w:szCs w:val="24"/>
          <w:lang w:val="sq-AL"/>
        </w:rPr>
        <w:t>. Fillimisht, kërkuesit kërkuan shumat e mëposhtme për dëmin monetar:</w:t>
      </w:r>
      <w:r w:rsidR="00E91B0C">
        <w:rPr>
          <w:rFonts w:ascii="Garamond" w:hAnsi="Garamond"/>
          <w:szCs w:val="24"/>
          <w:lang w:val="sq-AL"/>
        </w:rPr>
        <w:t xml:space="preserve"> </w:t>
      </w:r>
    </w:p>
    <w:p w:rsidR="00395112" w:rsidRPr="00E91B0C" w:rsidRDefault="009B65F2" w:rsidP="00395112">
      <w:pPr>
        <w:pStyle w:val="JuPara"/>
        <w:widowControl w:val="0"/>
        <w:rPr>
          <w:rFonts w:ascii="Garamond" w:hAnsi="Garamond"/>
          <w:szCs w:val="24"/>
          <w:lang w:val="sq-AL"/>
        </w:rPr>
      </w:pPr>
      <w:r>
        <w:rPr>
          <w:rFonts w:ascii="Garamond" w:hAnsi="Garamond"/>
          <w:szCs w:val="24"/>
          <w:lang w:val="sq-AL"/>
        </w:rPr>
        <w:t xml:space="preserve"> </w:t>
      </w:r>
      <w:r w:rsidR="00395112" w:rsidRPr="00E91B0C">
        <w:rPr>
          <w:rFonts w:ascii="Garamond" w:hAnsi="Garamond"/>
          <w:szCs w:val="24"/>
          <w:lang w:val="sq-AL"/>
        </w:rPr>
        <w:t>i</w:t>
      </w:r>
      <w:r>
        <w:rPr>
          <w:rFonts w:ascii="Garamond" w:hAnsi="Garamond"/>
          <w:szCs w:val="24"/>
          <w:lang w:val="sq-AL"/>
        </w:rPr>
        <w:t>.</w:t>
      </w:r>
      <w:r w:rsidR="00E91B0C">
        <w:rPr>
          <w:rFonts w:ascii="Garamond" w:hAnsi="Garamond"/>
          <w:szCs w:val="24"/>
          <w:lang w:val="sq-AL"/>
        </w:rPr>
        <w:t xml:space="preserve"> </w:t>
      </w:r>
      <w:r w:rsidR="00395112" w:rsidRPr="00E91B0C">
        <w:rPr>
          <w:rFonts w:ascii="Garamond" w:hAnsi="Garamond"/>
          <w:szCs w:val="24"/>
          <w:lang w:val="sq-AL"/>
        </w:rPr>
        <w:t xml:space="preserve">EUR 14,222,986.00, sipas raportit të ekspertit, për t’u ndarë midis kërkuesve në mënyrë proporcionale sipas sipërfaqes së pronave të tyre në Rezidencën Jon;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ii</w:t>
      </w:r>
      <w:r w:rsidR="009B65F2">
        <w:rPr>
          <w:rFonts w:ascii="Garamond" w:hAnsi="Garamond"/>
          <w:szCs w:val="24"/>
          <w:lang w:val="sq-AL"/>
        </w:rPr>
        <w:t>.</w:t>
      </w:r>
      <w:r w:rsidR="00E91B0C">
        <w:rPr>
          <w:rFonts w:ascii="Garamond" w:hAnsi="Garamond"/>
          <w:szCs w:val="24"/>
          <w:lang w:val="sq-AL"/>
        </w:rPr>
        <w:t xml:space="preserve"> </w:t>
      </w:r>
      <w:r w:rsidRPr="00E91B0C">
        <w:rPr>
          <w:rFonts w:ascii="Garamond" w:hAnsi="Garamond"/>
          <w:szCs w:val="24"/>
          <w:lang w:val="sq-AL"/>
        </w:rPr>
        <w:t>EUR 20,000.00 në mënyrë të barabartë për çdo kërkues si një shumë shtesë për humbjen e mundësive, shkaktuar nga konfiskimi i paligjshëm, shpronësimi dhe shembja e godinës</w:t>
      </w:r>
      <w:r w:rsidR="000F576B">
        <w:rPr>
          <w:rFonts w:ascii="Garamond" w:hAnsi="Garamond"/>
          <w:szCs w:val="24"/>
          <w:lang w:val="sq-AL"/>
        </w:rPr>
        <w:t>;</w:t>
      </w:r>
      <w:r w:rsidRP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iii</w:t>
      </w:r>
      <w:r w:rsidR="009B65F2">
        <w:rPr>
          <w:rFonts w:ascii="Garamond" w:hAnsi="Garamond"/>
          <w:szCs w:val="24"/>
          <w:lang w:val="sq-AL"/>
        </w:rPr>
        <w:t>.</w:t>
      </w:r>
      <w:r w:rsidR="00E91B0C">
        <w:rPr>
          <w:rFonts w:ascii="Garamond" w:hAnsi="Garamond"/>
          <w:szCs w:val="24"/>
          <w:lang w:val="sq-AL"/>
        </w:rPr>
        <w:t xml:space="preserve"> </w:t>
      </w:r>
      <w:r w:rsidRPr="00E91B0C">
        <w:rPr>
          <w:rFonts w:ascii="Garamond" w:hAnsi="Garamond"/>
          <w:szCs w:val="24"/>
          <w:lang w:val="sq-AL"/>
        </w:rPr>
        <w:t>EUR 15,000.00 në mënyrë të barabartë për kërkuesit nr. 3</w:t>
      </w:r>
      <w:r w:rsidR="005B203A">
        <w:rPr>
          <w:rFonts w:ascii="Garamond" w:hAnsi="Garamond"/>
          <w:szCs w:val="24"/>
          <w:lang w:val="sq-AL"/>
        </w:rPr>
        <w:t>–</w:t>
      </w:r>
      <w:r w:rsidRPr="00E91B0C">
        <w:rPr>
          <w:rFonts w:ascii="Garamond" w:hAnsi="Garamond"/>
          <w:szCs w:val="24"/>
          <w:lang w:val="sq-AL"/>
        </w:rPr>
        <w:t xml:space="preserve">19, në listën te shtojca, për humbjen e sendeve të tyre personale, sendeve me vlerë, </w:t>
      </w:r>
      <w:r w:rsidR="009B65F2" w:rsidRPr="00E91B0C">
        <w:rPr>
          <w:rFonts w:ascii="Garamond" w:hAnsi="Garamond"/>
          <w:szCs w:val="24"/>
          <w:lang w:val="sq-AL"/>
        </w:rPr>
        <w:t>mobileve</w:t>
      </w:r>
      <w:r w:rsidRPr="00E91B0C">
        <w:rPr>
          <w:rFonts w:ascii="Garamond" w:hAnsi="Garamond"/>
          <w:szCs w:val="24"/>
          <w:lang w:val="sq-AL"/>
        </w:rPr>
        <w:t xml:space="preserve"> dhe artikujve të shtëpive si rezultat i shembjes së godinës. Kërkuesi i parë kërkoi edhe EUR 15,000.00 mbi normën e barazisë për humbjen e pajisjeve dhe </w:t>
      </w:r>
      <w:r w:rsidR="009B65F2" w:rsidRPr="00E91B0C">
        <w:rPr>
          <w:rFonts w:ascii="Garamond" w:hAnsi="Garamond"/>
          <w:szCs w:val="24"/>
          <w:lang w:val="sq-AL"/>
        </w:rPr>
        <w:t>mobileve</w:t>
      </w:r>
      <w:r w:rsidRPr="00E91B0C">
        <w:rPr>
          <w:rFonts w:ascii="Garamond" w:hAnsi="Garamond"/>
          <w:szCs w:val="24"/>
          <w:lang w:val="sq-AL"/>
        </w:rPr>
        <w:t xml:space="preserve"> që ai zotëronte </w:t>
      </w:r>
      <w:r w:rsidR="005B203A" w:rsidRPr="00E91B0C">
        <w:rPr>
          <w:rFonts w:ascii="Garamond" w:hAnsi="Garamond"/>
          <w:szCs w:val="24"/>
          <w:lang w:val="sq-AL"/>
        </w:rPr>
        <w:t xml:space="preserve">në bar-restorantin </w:t>
      </w:r>
      <w:r w:rsidRPr="00E91B0C">
        <w:rPr>
          <w:rFonts w:ascii="Garamond" w:hAnsi="Garamond"/>
          <w:szCs w:val="24"/>
          <w:lang w:val="sq-AL"/>
        </w:rPr>
        <w:t xml:space="preserve">e tij. Ata parashtruan se duke qenë se godina </w:t>
      </w:r>
      <w:r w:rsidR="003E1122">
        <w:rPr>
          <w:rFonts w:ascii="Garamond" w:hAnsi="Garamond"/>
          <w:szCs w:val="24"/>
          <w:lang w:val="sq-AL"/>
        </w:rPr>
        <w:t>u</w:t>
      </w:r>
      <w:r w:rsidRPr="00E91B0C">
        <w:rPr>
          <w:rFonts w:ascii="Garamond" w:hAnsi="Garamond"/>
          <w:szCs w:val="24"/>
          <w:lang w:val="sq-AL"/>
        </w:rPr>
        <w:t xml:space="preserve"> shemb, ishte e pamundur që ata të përcaktonin në mënyrë precize shumën e dëmeve ose të paraqisnin të dhëna të sakta për pasuritë e luajtshme që ishin shkatërruar</w:t>
      </w:r>
      <w:r w:rsidR="003E1122">
        <w:rPr>
          <w:rFonts w:ascii="Garamond" w:hAnsi="Garamond"/>
          <w:szCs w:val="24"/>
          <w:lang w:val="sq-AL"/>
        </w:rPr>
        <w:t>;</w:t>
      </w:r>
      <w:r w:rsidRPr="00E91B0C">
        <w:rPr>
          <w:rFonts w:ascii="Garamond" w:hAnsi="Garamond"/>
          <w:szCs w:val="24"/>
          <w:lang w:val="sq-AL"/>
        </w:rPr>
        <w:t xml:space="preserve">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iv</w:t>
      </w:r>
      <w:r w:rsidR="009B65F2">
        <w:rPr>
          <w:rFonts w:ascii="Garamond" w:hAnsi="Garamond"/>
          <w:szCs w:val="24"/>
          <w:lang w:val="sq-AL"/>
        </w:rPr>
        <w:t>.</w:t>
      </w:r>
      <w:r w:rsidR="00E91B0C">
        <w:rPr>
          <w:rFonts w:ascii="Garamond" w:hAnsi="Garamond"/>
          <w:szCs w:val="24"/>
          <w:lang w:val="sq-AL"/>
        </w:rPr>
        <w:t xml:space="preserve"> </w:t>
      </w:r>
      <w:r w:rsidRPr="00E91B0C">
        <w:rPr>
          <w:rFonts w:ascii="Garamond" w:hAnsi="Garamond"/>
          <w:szCs w:val="24"/>
          <w:lang w:val="sq-AL"/>
        </w:rPr>
        <w:t>Një shumë shtesë për kërkuesit e parë dhe të dytë për interesin që rrjedh nga kësti i fundit i një huaje bankare (marrë për ndërtimin e godinës), me normë 7% nga 27 Nëntori 2013 deri në datën e shpalljes së vendimit nga Gjykata. Ata parashtruan se kërkuesit kishin marrë një kredi prej</w:t>
      </w:r>
      <w:r w:rsidR="00E91B0C">
        <w:rPr>
          <w:rFonts w:ascii="Garamond" w:hAnsi="Garamond"/>
          <w:szCs w:val="24"/>
          <w:lang w:val="sq-AL"/>
        </w:rPr>
        <w:t xml:space="preserve"> </w:t>
      </w:r>
      <w:r w:rsidRPr="00E91B0C">
        <w:rPr>
          <w:rFonts w:ascii="Garamond" w:hAnsi="Garamond"/>
          <w:szCs w:val="24"/>
          <w:lang w:val="sq-AL"/>
        </w:rPr>
        <w:lastRenderedPageBreak/>
        <w:t>397,920,600.00 lekë</w:t>
      </w:r>
      <w:r w:rsidR="003E1122">
        <w:rPr>
          <w:rFonts w:ascii="Garamond" w:hAnsi="Garamond"/>
          <w:szCs w:val="24"/>
          <w:lang w:val="sq-AL"/>
        </w:rPr>
        <w:t>sh</w:t>
      </w:r>
      <w:r w:rsidRPr="00E91B0C">
        <w:rPr>
          <w:rFonts w:ascii="Garamond" w:hAnsi="Garamond"/>
          <w:szCs w:val="24"/>
          <w:lang w:val="sq-AL"/>
        </w:rPr>
        <w:t xml:space="preserve"> (rreth 3 milion</w:t>
      </w:r>
      <w:r w:rsidR="004F5B46">
        <w:rPr>
          <w:rFonts w:ascii="Garamond" w:hAnsi="Garamond"/>
          <w:szCs w:val="24"/>
          <w:lang w:val="sq-AL"/>
        </w:rPr>
        <w:t>ë</w:t>
      </w:r>
      <w:r w:rsidRPr="00E91B0C">
        <w:rPr>
          <w:rFonts w:ascii="Garamond" w:hAnsi="Garamond"/>
          <w:szCs w:val="24"/>
          <w:lang w:val="sq-AL"/>
        </w:rPr>
        <w:t xml:space="preserve"> euro) dhe tashmë kishin shlyer dy të tretat përpara shembjes së godinës. Kërkuesit i detyrohen ende Bankës Credins këstin e tyre të fundit prej EUR 903,350.000. Pas shembjes së Rezidencës Jon, kërkuesit nuk kanë mundur të shlyejnë këstin e mbetur dhe interesi i konsiderueshëm ka filluar të rritet me një normë interesi vjetore LIBOR prej 7%. </w:t>
      </w:r>
    </w:p>
    <w:p w:rsidR="00395112" w:rsidRPr="00E91B0C" w:rsidRDefault="00395112" w:rsidP="00395112">
      <w:pPr>
        <w:pStyle w:val="JuPara"/>
        <w:widowControl w:val="0"/>
        <w:rPr>
          <w:rFonts w:ascii="Garamond" w:hAnsi="Garamond"/>
          <w:szCs w:val="24"/>
          <w:lang w:val="sq-AL"/>
        </w:rPr>
      </w:pPr>
      <w:r w:rsidRPr="00E91B0C">
        <w:rPr>
          <w:rFonts w:ascii="Garamond" w:hAnsi="Garamond"/>
          <w:szCs w:val="24"/>
          <w:lang w:val="sq-AL"/>
        </w:rPr>
        <w:t xml:space="preserve">187. Qeveria argumentoi se për aq kohë sa kërkesat e ankuesve për kompensim për dëmin monetar </w:t>
      </w:r>
      <w:r w:rsidR="004F5B46">
        <w:rPr>
          <w:rFonts w:ascii="Garamond" w:hAnsi="Garamond"/>
          <w:szCs w:val="24"/>
          <w:lang w:val="sq-AL"/>
        </w:rPr>
        <w:t>u</w:t>
      </w:r>
      <w:r w:rsidRPr="00E91B0C">
        <w:rPr>
          <w:rFonts w:ascii="Garamond" w:hAnsi="Garamond"/>
          <w:szCs w:val="24"/>
          <w:lang w:val="sq-AL"/>
        </w:rPr>
        <w:t xml:space="preserve"> ishin nënshtruar procedimeve gjyqësore të filluara në nivel </w:t>
      </w:r>
      <w:r w:rsidR="003C06FD">
        <w:rPr>
          <w:rFonts w:ascii="Garamond" w:hAnsi="Garamond"/>
          <w:szCs w:val="24"/>
          <w:lang w:val="sq-AL"/>
        </w:rPr>
        <w:t>vendës</w:t>
      </w:r>
      <w:r w:rsidRPr="00E91B0C">
        <w:rPr>
          <w:rFonts w:ascii="Garamond" w:hAnsi="Garamond"/>
          <w:szCs w:val="24"/>
          <w:lang w:val="sq-AL"/>
        </w:rPr>
        <w:t xml:space="preserve"> dhe pjesërisht nuk ishin ngritur në gjykatat </w:t>
      </w:r>
      <w:r w:rsidR="003C06FD">
        <w:rPr>
          <w:rFonts w:ascii="Garamond" w:hAnsi="Garamond"/>
          <w:szCs w:val="24"/>
          <w:lang w:val="sq-AL"/>
        </w:rPr>
        <w:t>vendës</w:t>
      </w:r>
      <w:r w:rsidRPr="00E91B0C">
        <w:rPr>
          <w:rFonts w:ascii="Garamond" w:hAnsi="Garamond"/>
          <w:szCs w:val="24"/>
          <w:lang w:val="sq-AL"/>
        </w:rPr>
        <w:t xml:space="preserve">e, ato duhet të kundërshtohen si abuzim me të drejtën për të aplikuar. Për këtë arsye, kërkesat e ankuesve, sipas </w:t>
      </w:r>
      <w:r w:rsidR="001073BE" w:rsidRPr="00E91B0C">
        <w:rPr>
          <w:rFonts w:ascii="Garamond" w:hAnsi="Garamond"/>
          <w:szCs w:val="24"/>
          <w:lang w:val="sq-AL"/>
        </w:rPr>
        <w:t>n</w:t>
      </w:r>
      <w:r w:rsidRPr="00E91B0C">
        <w:rPr>
          <w:rFonts w:ascii="Garamond" w:hAnsi="Garamond"/>
          <w:szCs w:val="24"/>
          <w:lang w:val="sq-AL"/>
        </w:rPr>
        <w:t xml:space="preserve">enit 41 të Konventës, ishin të nxituara. Kërkuesit nuk mund të kompensoheshin dy herë. Shumat ishin të </w:t>
      </w:r>
      <w:r w:rsidR="009B65F2" w:rsidRPr="00E91B0C">
        <w:rPr>
          <w:rFonts w:ascii="Garamond" w:hAnsi="Garamond"/>
          <w:szCs w:val="24"/>
          <w:lang w:val="sq-AL"/>
        </w:rPr>
        <w:t>ekzagjeruar</w:t>
      </w:r>
      <w:r w:rsidRPr="00E91B0C">
        <w:rPr>
          <w:rFonts w:ascii="Garamond" w:hAnsi="Garamond"/>
          <w:szCs w:val="24"/>
          <w:lang w:val="sq-AL"/>
        </w:rPr>
        <w:t>, spekulative dhe të pabazuara. Kë</w:t>
      </w:r>
      <w:r w:rsidR="00D3771B">
        <w:rPr>
          <w:rFonts w:ascii="Garamond" w:hAnsi="Garamond"/>
          <w:szCs w:val="24"/>
          <w:lang w:val="sq-AL"/>
        </w:rPr>
        <w:t>rkuesit nuk kishin paraqitur as</w:t>
      </w:r>
      <w:r w:rsidRPr="00E91B0C">
        <w:rPr>
          <w:rFonts w:ascii="Garamond" w:hAnsi="Garamond"/>
          <w:szCs w:val="24"/>
          <w:lang w:val="sq-AL"/>
        </w:rPr>
        <w:t xml:space="preserve">një kërkesë në gjykatat </w:t>
      </w:r>
      <w:r w:rsidR="003C06FD">
        <w:rPr>
          <w:rFonts w:ascii="Garamond" w:hAnsi="Garamond"/>
          <w:szCs w:val="24"/>
          <w:lang w:val="sq-AL"/>
        </w:rPr>
        <w:t>vendës</w:t>
      </w:r>
      <w:r w:rsidRPr="00E91B0C">
        <w:rPr>
          <w:rFonts w:ascii="Garamond" w:hAnsi="Garamond"/>
          <w:szCs w:val="24"/>
          <w:lang w:val="sq-AL"/>
        </w:rPr>
        <w:t xml:space="preserve">e për dëmin monetar për humbje përfitimesh, interesin e huas së marrë në bankë dhe dëmin e pretenduar për humbjen e pasurive të luajtshme dhe të ndërtesave. Po ashtu, kërkuesit nuk i kishin ndarë në zëra kërkesat e tyre. Për më tepër, kërkuesit nuk janë kompensuar deri më sot, me arsyen se procedimet ishin pezull në Gjykatën e Lartë, jo për mungesën e gatishmërisë së autoriteteve. Çështja e tyre ishte ndryshe nga çështja e </w:t>
      </w:r>
      <w:r w:rsidRPr="00E91B0C">
        <w:rPr>
          <w:rFonts w:ascii="Garamond" w:hAnsi="Garamond"/>
          <w:i/>
          <w:szCs w:val="24"/>
          <w:lang w:val="sq-AL"/>
        </w:rPr>
        <w:t xml:space="preserve">Driza </w:t>
      </w:r>
      <w:r w:rsidRPr="00E91B0C">
        <w:rPr>
          <w:rFonts w:ascii="Garamond" w:hAnsi="Garamond"/>
          <w:szCs w:val="24"/>
          <w:lang w:val="sq-AL"/>
        </w:rPr>
        <w:t>(cituar më sipër).</w:t>
      </w:r>
      <w:r w:rsidR="00E91B0C">
        <w:rPr>
          <w:rFonts w:ascii="Garamond" w:hAnsi="Garamond"/>
          <w:szCs w:val="24"/>
          <w:lang w:val="sq-AL"/>
        </w:rPr>
        <w:t xml:space="preserve"> </w:t>
      </w:r>
    </w:p>
    <w:p w:rsidR="004A090D" w:rsidRDefault="00395112" w:rsidP="00395112">
      <w:pPr>
        <w:pStyle w:val="JuPara"/>
        <w:widowControl w:val="0"/>
        <w:rPr>
          <w:rFonts w:ascii="Garamond" w:hAnsi="Garamond"/>
          <w:szCs w:val="24"/>
          <w:lang w:val="sq-AL"/>
        </w:rPr>
      </w:pPr>
      <w:r w:rsidRPr="00E91B0C">
        <w:rPr>
          <w:rFonts w:ascii="Garamond" w:hAnsi="Garamond"/>
          <w:szCs w:val="24"/>
          <w:lang w:val="sq-AL"/>
        </w:rPr>
        <w:t xml:space="preserve">188. Më 3 </w:t>
      </w:r>
      <w:r w:rsidR="00D3771B" w:rsidRPr="00E91B0C">
        <w:rPr>
          <w:rFonts w:ascii="Garamond" w:hAnsi="Garamond"/>
          <w:szCs w:val="24"/>
          <w:lang w:val="sq-AL"/>
        </w:rPr>
        <w:t xml:space="preserve">maj </w:t>
      </w:r>
      <w:r w:rsidRPr="00E91B0C">
        <w:rPr>
          <w:rFonts w:ascii="Garamond" w:hAnsi="Garamond"/>
          <w:szCs w:val="24"/>
          <w:lang w:val="sq-AL"/>
        </w:rPr>
        <w:t xml:space="preserve">2017, në përgjigje të letrës së Gjykatës, gjatë përgatitjes për seancën dëgjimore, duke kërkuar </w:t>
      </w:r>
      <w:r w:rsidRPr="00E91B0C">
        <w:rPr>
          <w:rFonts w:ascii="Garamond" w:hAnsi="Garamond"/>
          <w:i/>
          <w:szCs w:val="24"/>
          <w:lang w:val="sq-AL"/>
        </w:rPr>
        <w:t>inter alia</w:t>
      </w:r>
      <w:r w:rsidRPr="00E91B0C">
        <w:rPr>
          <w:rFonts w:ascii="Garamond" w:hAnsi="Garamond"/>
          <w:szCs w:val="24"/>
          <w:lang w:val="sq-AL"/>
        </w:rPr>
        <w:t xml:space="preserve"> për materiale të tjera të dokumentuara mbi të cilat kërkuesit do të donin të mbështeteshin në seancë përpara Gjykatës, ata parashtruan kërkesa shtesë për dëmin monetar. Ata parashtruan një raport, në të cilin përllogaritja e dëmit monetar bazohej në vlerat e tregut të përcaktuara në vërejtjet e tyre të para EUR 1,600 për metër katror</w:t>
      </w:r>
      <w:r w:rsidR="00D3771B">
        <w:rPr>
          <w:rFonts w:ascii="Garamond" w:hAnsi="Garamond"/>
          <w:szCs w:val="24"/>
          <w:lang w:val="sq-AL"/>
        </w:rPr>
        <w:t>ë</w:t>
      </w:r>
      <w:r w:rsidRPr="00E91B0C">
        <w:rPr>
          <w:rFonts w:ascii="Garamond" w:hAnsi="Garamond"/>
          <w:szCs w:val="24"/>
          <w:lang w:val="sq-AL"/>
        </w:rPr>
        <w:t>, në lidhje me mjediset e banimit, dhe</w:t>
      </w:r>
      <w:r w:rsidR="00E91B0C">
        <w:rPr>
          <w:rFonts w:ascii="Garamond" w:hAnsi="Garamond"/>
          <w:szCs w:val="24"/>
          <w:lang w:val="sq-AL"/>
        </w:rPr>
        <w:t xml:space="preserve"> </w:t>
      </w:r>
      <w:r w:rsidRPr="00E91B0C">
        <w:rPr>
          <w:rFonts w:ascii="Garamond" w:hAnsi="Garamond"/>
          <w:szCs w:val="24"/>
          <w:lang w:val="sq-AL"/>
        </w:rPr>
        <w:t>EUR 2,200 për mjediset e biznesit. Vlera neto e sipërfaqes së shpronësuar (8,218.15 metër katrorë),</w:t>
      </w:r>
      <w:r w:rsidR="00C24FF5">
        <w:rPr>
          <w:rFonts w:ascii="Garamond" w:hAnsi="Garamond"/>
          <w:szCs w:val="24"/>
          <w:lang w:val="sq-AL"/>
        </w:rPr>
        <w:t xml:space="preserve"> </w:t>
      </w:r>
      <w:r w:rsidRPr="00E91B0C">
        <w:rPr>
          <w:rFonts w:ascii="Garamond" w:hAnsi="Garamond"/>
          <w:szCs w:val="24"/>
          <w:lang w:val="sq-AL"/>
        </w:rPr>
        <w:t xml:space="preserve">e cila rezultonte në EUR 14,222,986.00, ishte përshtatur më tej sipas normave të inflacionit në Shqipëri për periudhën 27 nëntor 2013 (data e shpronësimit të paligjshëm) deri më 31 mars 2017. Gjithashtu, interesi statutor mbi kapitalin e përshtatur në mënyrë progresive u shtua për periudhën 27 nëntor 2013 (data e shpronësimit të paligjshëm) deri më 23 maj 2017 (data e seancës dëgjimore me dyer të hapura në Gjykatë). Për sa më sipër, secili kërkues bëri kërkesat e mëposhtme për dëmin monetar që kishin vuajtur si rezultat i shembjes së Rezidencës Jon: </w:t>
      </w:r>
    </w:p>
    <w:p w:rsidR="003421FE" w:rsidRDefault="003421FE" w:rsidP="00395112">
      <w:pPr>
        <w:pStyle w:val="JuPara"/>
        <w:widowControl w:val="0"/>
        <w:rPr>
          <w:rFonts w:ascii="Garamond" w:hAnsi="Garamond"/>
          <w:szCs w:val="24"/>
          <w:lang w:val="sq-AL"/>
        </w:rPr>
        <w:sectPr w:rsidR="003421FE" w:rsidSect="00922378">
          <w:footerReference w:type="even" r:id="rId8"/>
          <w:footerReference w:type="default" r:id="rId9"/>
          <w:pgSz w:w="11907" w:h="16840" w:code="9"/>
          <w:pgMar w:top="720" w:right="1134" w:bottom="720" w:left="1134" w:header="851" w:footer="851" w:gutter="0"/>
          <w:pgNumType w:start="8405"/>
          <w:cols w:space="454"/>
          <w:docGrid w:linePitch="360"/>
        </w:sectPr>
      </w:pPr>
    </w:p>
    <w:p w:rsidR="00395112" w:rsidRPr="00E91B0C" w:rsidRDefault="00395112" w:rsidP="00395112">
      <w:pPr>
        <w:pStyle w:val="JuPara"/>
        <w:widowControl w:val="0"/>
        <w:rPr>
          <w:rFonts w:ascii="Garamond" w:hAnsi="Garamond"/>
          <w:szCs w:val="24"/>
          <w:lang w:val="sq-AL"/>
        </w:rPr>
      </w:pPr>
    </w:p>
    <w:tbl>
      <w:tblPr>
        <w:tblW w:w="5000" w:type="pct"/>
        <w:jc w:val="cente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Look w:val="04A0" w:firstRow="1" w:lastRow="0" w:firstColumn="1" w:lastColumn="0" w:noHBand="0" w:noVBand="1"/>
      </w:tblPr>
      <w:tblGrid>
        <w:gridCol w:w="596"/>
        <w:gridCol w:w="2330"/>
        <w:gridCol w:w="1604"/>
        <w:gridCol w:w="1271"/>
        <w:gridCol w:w="1397"/>
        <w:gridCol w:w="1145"/>
        <w:gridCol w:w="1512"/>
      </w:tblGrid>
      <w:tr w:rsidR="00F61185" w:rsidRPr="00E91B0C" w:rsidTr="00E4573F">
        <w:trPr>
          <w:trHeight w:val="1323"/>
          <w:jc w:val="center"/>
        </w:trPr>
        <w:tc>
          <w:tcPr>
            <w:tcW w:w="302"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Nr.</w:t>
            </w:r>
          </w:p>
        </w:tc>
        <w:tc>
          <w:tcPr>
            <w:tcW w:w="1182"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Kërkuesi</w:t>
            </w:r>
          </w:p>
        </w:tc>
        <w:tc>
          <w:tcPr>
            <w:tcW w:w="814"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Vlera në total e mjediseve të banimit, të biznesit dhe mjediseve të përbashkëta</w:t>
            </w:r>
          </w:p>
        </w:tc>
        <w:tc>
          <w:tcPr>
            <w:tcW w:w="645"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 xml:space="preserve">Vlera në total e inflacionit </w:t>
            </w:r>
            <w:r w:rsidR="00E4573F" w:rsidRPr="00E91B0C">
              <w:rPr>
                <w:b/>
                <w:sz w:val="18"/>
                <w:szCs w:val="18"/>
                <w:lang w:val="sq-AL"/>
              </w:rPr>
              <w:t xml:space="preserve">nëntor </w:t>
            </w:r>
            <w:r w:rsidRPr="00E91B0C">
              <w:rPr>
                <w:b/>
                <w:sz w:val="18"/>
                <w:szCs w:val="18"/>
                <w:lang w:val="sq-AL"/>
              </w:rPr>
              <w:t xml:space="preserve">2013 </w:t>
            </w:r>
            <w:r w:rsidR="00E4573F" w:rsidRPr="00E91B0C">
              <w:rPr>
                <w:b/>
                <w:sz w:val="18"/>
                <w:szCs w:val="18"/>
                <w:lang w:val="sq-AL"/>
              </w:rPr>
              <w:t xml:space="preserve">mars </w:t>
            </w:r>
            <w:r w:rsidRPr="00E91B0C">
              <w:rPr>
                <w:b/>
                <w:sz w:val="18"/>
                <w:szCs w:val="18"/>
                <w:lang w:val="sq-AL"/>
              </w:rPr>
              <w:t>2017</w:t>
            </w:r>
          </w:p>
        </w:tc>
        <w:tc>
          <w:tcPr>
            <w:tcW w:w="709"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 xml:space="preserve">Totali i interesit sht. </w:t>
            </w:r>
            <w:r w:rsidR="00E4573F" w:rsidRPr="00E91B0C">
              <w:rPr>
                <w:b/>
                <w:sz w:val="18"/>
                <w:szCs w:val="18"/>
                <w:lang w:val="sq-AL"/>
              </w:rPr>
              <w:t xml:space="preserve">nëntor </w:t>
            </w:r>
            <w:r w:rsidRPr="00E91B0C">
              <w:rPr>
                <w:b/>
                <w:sz w:val="18"/>
                <w:szCs w:val="18"/>
                <w:lang w:val="sq-AL"/>
              </w:rPr>
              <w:t xml:space="preserve">2013 – </w:t>
            </w:r>
            <w:r w:rsidR="00E4573F" w:rsidRPr="00E91B0C">
              <w:rPr>
                <w:b/>
                <w:sz w:val="18"/>
                <w:szCs w:val="18"/>
                <w:lang w:val="sq-AL"/>
              </w:rPr>
              <w:t xml:space="preserve">maj </w:t>
            </w:r>
            <w:r w:rsidRPr="00E91B0C">
              <w:rPr>
                <w:b/>
                <w:sz w:val="18"/>
                <w:szCs w:val="18"/>
                <w:lang w:val="sq-AL"/>
              </w:rPr>
              <w:t>2017</w:t>
            </w:r>
          </w:p>
        </w:tc>
        <w:tc>
          <w:tcPr>
            <w:tcW w:w="581"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E4573F" w:rsidP="00E4573F">
            <w:pPr>
              <w:pStyle w:val="Paragrafi"/>
              <w:ind w:firstLine="0"/>
              <w:jc w:val="center"/>
              <w:rPr>
                <w:b/>
                <w:sz w:val="18"/>
                <w:szCs w:val="18"/>
                <w:lang w:val="sq-AL"/>
              </w:rPr>
            </w:pPr>
            <w:r>
              <w:rPr>
                <w:b/>
                <w:sz w:val="18"/>
                <w:szCs w:val="18"/>
                <w:lang w:val="sq-AL"/>
              </w:rPr>
              <w:t>Dhënia e huas</w:t>
            </w:r>
            <w:r w:rsidR="00B9612D" w:rsidRPr="00E91B0C">
              <w:rPr>
                <w:b/>
                <w:sz w:val="18"/>
                <w:szCs w:val="18"/>
                <w:lang w:val="sq-AL"/>
              </w:rPr>
              <w:t xml:space="preserve"> për dëmet monetare</w:t>
            </w:r>
          </w:p>
        </w:tc>
        <w:tc>
          <w:tcPr>
            <w:tcW w:w="767" w:type="pct"/>
            <w:tcBorders>
              <w:top w:val="single" w:sz="4" w:space="0" w:color="949494"/>
              <w:left w:val="single" w:sz="4" w:space="0" w:color="949494"/>
              <w:bottom w:val="single" w:sz="4" w:space="0" w:color="949494"/>
              <w:right w:val="single" w:sz="4" w:space="0" w:color="949494"/>
            </w:tcBorders>
            <w:shd w:val="clear" w:color="auto" w:fill="DFDFDF"/>
            <w:vAlign w:val="center"/>
          </w:tcPr>
          <w:p w:rsidR="00B9612D" w:rsidRPr="00E91B0C" w:rsidRDefault="00B9612D" w:rsidP="00E4573F">
            <w:pPr>
              <w:pStyle w:val="Paragrafi"/>
              <w:ind w:firstLine="0"/>
              <w:jc w:val="center"/>
              <w:rPr>
                <w:b/>
                <w:sz w:val="18"/>
                <w:szCs w:val="18"/>
                <w:lang w:val="sq-AL"/>
              </w:rPr>
            </w:pPr>
            <w:r w:rsidRPr="00E91B0C">
              <w:rPr>
                <w:b/>
                <w:sz w:val="18"/>
                <w:szCs w:val="18"/>
                <w:lang w:val="sq-AL"/>
              </w:rPr>
              <w:t>Totali përfundimtar</w:t>
            </w:r>
          </w:p>
        </w:tc>
      </w:tr>
      <w:tr w:rsidR="00B9612D" w:rsidRPr="00E4573F" w:rsidTr="00E4573F">
        <w:trPr>
          <w:jc w:val="center"/>
        </w:trPr>
        <w:tc>
          <w:tcPr>
            <w:tcW w:w="302" w:type="pct"/>
          </w:tcPr>
          <w:p w:rsidR="00B9612D" w:rsidRPr="00E4573F" w:rsidRDefault="00B9612D" w:rsidP="00E4573F">
            <w:pPr>
              <w:pStyle w:val="Paragrafi"/>
              <w:ind w:firstLine="0"/>
              <w:jc w:val="center"/>
              <w:rPr>
                <w:b/>
                <w:sz w:val="18"/>
                <w:szCs w:val="18"/>
                <w:lang w:val="sq-AL"/>
              </w:rPr>
            </w:pPr>
          </w:p>
        </w:tc>
        <w:tc>
          <w:tcPr>
            <w:tcW w:w="1182" w:type="pct"/>
          </w:tcPr>
          <w:p w:rsidR="00B9612D" w:rsidRPr="00E4573F" w:rsidRDefault="00B9612D" w:rsidP="00E4573F">
            <w:pPr>
              <w:pStyle w:val="Paragrafi"/>
              <w:ind w:firstLine="0"/>
              <w:jc w:val="center"/>
              <w:rPr>
                <w:b/>
                <w:sz w:val="18"/>
                <w:szCs w:val="18"/>
                <w:lang w:val="sq-AL"/>
              </w:rPr>
            </w:pPr>
            <w:r w:rsidRPr="00E4573F">
              <w:rPr>
                <w:b/>
                <w:sz w:val="18"/>
                <w:szCs w:val="18"/>
                <w:lang w:val="sq-AL"/>
              </w:rPr>
              <w:t>1</w:t>
            </w:r>
          </w:p>
        </w:tc>
        <w:tc>
          <w:tcPr>
            <w:tcW w:w="814" w:type="pct"/>
          </w:tcPr>
          <w:p w:rsidR="00B9612D" w:rsidRPr="00E4573F" w:rsidRDefault="00B9612D" w:rsidP="00E4573F">
            <w:pPr>
              <w:pStyle w:val="Paragrafi"/>
              <w:ind w:firstLine="0"/>
              <w:jc w:val="center"/>
              <w:rPr>
                <w:b/>
                <w:sz w:val="18"/>
                <w:szCs w:val="18"/>
                <w:lang w:val="sq-AL"/>
              </w:rPr>
            </w:pPr>
            <w:r w:rsidRPr="00E4573F">
              <w:rPr>
                <w:b/>
                <w:sz w:val="18"/>
                <w:szCs w:val="18"/>
                <w:lang w:val="sq-AL"/>
              </w:rPr>
              <w:t>2</w:t>
            </w:r>
          </w:p>
        </w:tc>
        <w:tc>
          <w:tcPr>
            <w:tcW w:w="645" w:type="pct"/>
          </w:tcPr>
          <w:p w:rsidR="00B9612D" w:rsidRPr="00E4573F" w:rsidRDefault="00B9612D" w:rsidP="00E4573F">
            <w:pPr>
              <w:pStyle w:val="Paragrafi"/>
              <w:ind w:firstLine="0"/>
              <w:jc w:val="center"/>
              <w:rPr>
                <w:b/>
                <w:sz w:val="18"/>
                <w:szCs w:val="18"/>
                <w:lang w:val="sq-AL"/>
              </w:rPr>
            </w:pPr>
            <w:r w:rsidRPr="00E4573F">
              <w:rPr>
                <w:b/>
                <w:sz w:val="18"/>
                <w:szCs w:val="18"/>
                <w:lang w:val="sq-AL"/>
              </w:rPr>
              <w:t>3</w:t>
            </w:r>
          </w:p>
        </w:tc>
        <w:tc>
          <w:tcPr>
            <w:tcW w:w="709" w:type="pct"/>
          </w:tcPr>
          <w:p w:rsidR="00B9612D" w:rsidRPr="00E4573F" w:rsidRDefault="00B9612D" w:rsidP="00E4573F">
            <w:pPr>
              <w:pStyle w:val="Paragrafi"/>
              <w:ind w:firstLine="0"/>
              <w:jc w:val="center"/>
              <w:rPr>
                <w:b/>
                <w:sz w:val="18"/>
                <w:szCs w:val="18"/>
                <w:lang w:val="sq-AL"/>
              </w:rPr>
            </w:pPr>
            <w:r w:rsidRPr="00E4573F">
              <w:rPr>
                <w:b/>
                <w:sz w:val="18"/>
                <w:szCs w:val="18"/>
                <w:lang w:val="sq-AL"/>
              </w:rPr>
              <w:t>4</w:t>
            </w:r>
          </w:p>
        </w:tc>
        <w:tc>
          <w:tcPr>
            <w:tcW w:w="581" w:type="pct"/>
          </w:tcPr>
          <w:p w:rsidR="00B9612D" w:rsidRPr="00E4573F" w:rsidRDefault="00B9612D" w:rsidP="00E4573F">
            <w:pPr>
              <w:pStyle w:val="Paragrafi"/>
              <w:ind w:firstLine="0"/>
              <w:jc w:val="center"/>
              <w:rPr>
                <w:b/>
                <w:sz w:val="18"/>
                <w:szCs w:val="18"/>
                <w:lang w:val="sq-AL"/>
              </w:rPr>
            </w:pPr>
            <w:r w:rsidRPr="00E4573F">
              <w:rPr>
                <w:b/>
                <w:sz w:val="18"/>
                <w:szCs w:val="18"/>
                <w:lang w:val="sq-AL"/>
              </w:rPr>
              <w:t>5</w:t>
            </w:r>
          </w:p>
        </w:tc>
        <w:tc>
          <w:tcPr>
            <w:tcW w:w="767" w:type="pct"/>
          </w:tcPr>
          <w:p w:rsidR="00B9612D" w:rsidRPr="00E4573F" w:rsidRDefault="00B9612D" w:rsidP="00E4573F">
            <w:pPr>
              <w:pStyle w:val="Paragrafi"/>
              <w:ind w:firstLine="0"/>
              <w:jc w:val="center"/>
              <w:rPr>
                <w:b/>
                <w:sz w:val="18"/>
                <w:szCs w:val="18"/>
                <w:lang w:val="sq-AL"/>
              </w:rPr>
            </w:pPr>
            <w:r w:rsidRPr="00E4573F">
              <w:rPr>
                <w:b/>
                <w:sz w:val="18"/>
                <w:szCs w:val="18"/>
                <w:lang w:val="sq-AL"/>
              </w:rPr>
              <w:t>6=(2+3+4+5)</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Ballanca Erinda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€ 164,352.00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€ 9,194.84</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€ 17,859.44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€ 191,406.28</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2</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Basha Arben</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€ 164,352.00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€ 9,194.84</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€ 17,859.44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€ 191,406.28</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3</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Calliku Gerti</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€ 140,384.00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€ 7,853.93</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€ 15,254.93</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€ 163,492.86</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4</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Calliku Valbona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€ 82,176.00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€ 4,597.42</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€ 8,929.72</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€ 95,703.14</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5</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Deromemaj Abdul</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€ 111,280.00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€ 6,225.67</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€ 12,092.33</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€ 129,598.00</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6</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Durolli Eduard</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€157,056.00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€ 8,786.66</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€ 17,066.61</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€ 182,909.27</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7</w:t>
            </w:r>
          </w:p>
        </w:tc>
        <w:tc>
          <w:tcPr>
            <w:tcW w:w="1182" w:type="pct"/>
          </w:tcPr>
          <w:p w:rsidR="00B9612D" w:rsidRPr="00E91B0C" w:rsidRDefault="00B9612D" w:rsidP="001E2DF5">
            <w:pPr>
              <w:pStyle w:val="Paragrafi"/>
              <w:ind w:firstLine="0"/>
              <w:rPr>
                <w:sz w:val="18"/>
                <w:szCs w:val="18"/>
                <w:lang w:val="sq-AL"/>
              </w:rPr>
            </w:pPr>
            <w:r w:rsidRPr="00E91B0C">
              <w:rPr>
                <w:sz w:val="18"/>
                <w:szCs w:val="18"/>
                <w:lang w:val="sq-AL"/>
              </w:rPr>
              <w:t xml:space="preserve">Hanxhari Ilonka </w:t>
            </w:r>
            <w:r w:rsidR="001E2DF5">
              <w:rPr>
                <w:sz w:val="18"/>
                <w:szCs w:val="18"/>
                <w:lang w:val="sq-AL"/>
              </w:rPr>
              <w:t>dhe</w:t>
            </w:r>
            <w:r w:rsidRPr="00E91B0C">
              <w:rPr>
                <w:sz w:val="18"/>
                <w:szCs w:val="18"/>
                <w:lang w:val="sq-AL"/>
              </w:rPr>
              <w:t xml:space="preserve"> Mihallaq </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€ 98,048.00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€ 5,485.40</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€ 10,654.46</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€ 114,187.86</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8</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Kacorri Vullnet</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€ 111,280.00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xml:space="preserve">€ 6,225.67 </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€ 12,092.33</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€ 129,598.00</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9</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Kapidani Klima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€ 172,560.00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€ 9,654.05</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€ 18,751.36</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€ 200,965.41</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10</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Mecaj Mimoza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€ 126,640.00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€ 7,085.01</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€ 13,761.43</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€ 147,486.44</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11</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Pojani Teri</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€ 76,720.00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€ 4,292.18</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€ 8,336.84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€ 89,349.02</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12</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Rakipaj Pano</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€ 76,720.00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€ 4,292.18</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€ 8,336.84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€ 89,349.02</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13</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Rakipaj Baki</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€ 79,488.00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€ 4,447.04</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€ 8,637.62</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€ 92,572.66</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14</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Schenetti Giuliano</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€ 84,352.00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€ 4,719.16</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€ 9,166.17</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€ 98,237.33</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15</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Sopoti Etnik</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€ 97,584.00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€ 5,459.44</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€ 10,604.04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€ 113,647.48</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16</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Dorina Ylli</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€ 171,792.00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€ 9,611.08</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€ 18,667.91</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€ 200,070.99</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17</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Xhafer Isufi (35 prona)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€ 5,341.090.00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€ 298,812.80</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€ 580,393.62</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€ 6,220,296.42</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18</w:t>
            </w:r>
          </w:p>
        </w:tc>
        <w:tc>
          <w:tcPr>
            <w:tcW w:w="1182" w:type="pct"/>
          </w:tcPr>
          <w:p w:rsidR="00B9612D" w:rsidRPr="00E91B0C" w:rsidRDefault="00B9612D" w:rsidP="00B9612D">
            <w:pPr>
              <w:pStyle w:val="Paragrafi"/>
              <w:ind w:firstLine="0"/>
              <w:rPr>
                <w:sz w:val="18"/>
                <w:szCs w:val="18"/>
                <w:lang w:val="sq-AL"/>
              </w:rPr>
            </w:pPr>
            <w:r w:rsidRPr="00E91B0C">
              <w:rPr>
                <w:sz w:val="18"/>
                <w:szCs w:val="18"/>
                <w:lang w:val="sq-AL"/>
              </w:rPr>
              <w:t>Xhuvi Sharxhi (3 prona)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€744,932.00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€ 41,675.99</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€ 80,948.60</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€ 867,556.60</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t>19</w:t>
            </w:r>
          </w:p>
        </w:tc>
        <w:tc>
          <w:tcPr>
            <w:tcW w:w="1182" w:type="pct"/>
          </w:tcPr>
          <w:p w:rsidR="00B9612D" w:rsidRPr="00E91B0C" w:rsidRDefault="00B9612D" w:rsidP="00F61185">
            <w:pPr>
              <w:pStyle w:val="Paragrafi"/>
              <w:ind w:firstLine="0"/>
              <w:jc w:val="left"/>
              <w:rPr>
                <w:sz w:val="18"/>
                <w:szCs w:val="18"/>
                <w:lang w:val="sq-AL"/>
              </w:rPr>
            </w:pPr>
            <w:r w:rsidRPr="00E91B0C">
              <w:rPr>
                <w:sz w:val="18"/>
                <w:szCs w:val="18"/>
                <w:lang w:val="sq-AL"/>
              </w:rPr>
              <w:t>Xhafer Isufi and Xhuvi Sharxhi (si bashkëpronarë) (25 prona)</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€ 6,222,180.00</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€ 348,106.29</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€ 676,137.94</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€ 7,246,424.23</w:t>
            </w:r>
          </w:p>
        </w:tc>
      </w:tr>
      <w:tr w:rsidR="00B9612D" w:rsidRPr="00E91B0C" w:rsidTr="00E4573F">
        <w:trPr>
          <w:jc w:val="center"/>
        </w:trPr>
        <w:tc>
          <w:tcPr>
            <w:tcW w:w="302" w:type="pct"/>
          </w:tcPr>
          <w:p w:rsidR="00B9612D" w:rsidRPr="00E91B0C" w:rsidRDefault="00B9612D" w:rsidP="00E4573F">
            <w:pPr>
              <w:pStyle w:val="Paragrafi"/>
              <w:ind w:firstLine="0"/>
              <w:jc w:val="right"/>
              <w:rPr>
                <w:sz w:val="18"/>
                <w:szCs w:val="18"/>
                <w:lang w:val="sq-AL"/>
              </w:rPr>
            </w:pPr>
            <w:r w:rsidRPr="00E91B0C">
              <w:rPr>
                <w:sz w:val="18"/>
                <w:szCs w:val="18"/>
                <w:lang w:val="sq-AL"/>
              </w:rPr>
              <w:lastRenderedPageBreak/>
              <w:t>20</w:t>
            </w:r>
          </w:p>
        </w:tc>
        <w:tc>
          <w:tcPr>
            <w:tcW w:w="1182" w:type="pct"/>
          </w:tcPr>
          <w:p w:rsidR="00B9612D" w:rsidRPr="00E91B0C" w:rsidRDefault="00B9612D" w:rsidP="00F61185">
            <w:pPr>
              <w:pStyle w:val="Paragrafi"/>
              <w:ind w:firstLine="0"/>
              <w:jc w:val="left"/>
              <w:rPr>
                <w:sz w:val="18"/>
                <w:szCs w:val="18"/>
                <w:lang w:val="sq-AL"/>
              </w:rPr>
            </w:pPr>
            <w:r w:rsidRPr="00E91B0C">
              <w:rPr>
                <w:sz w:val="18"/>
                <w:szCs w:val="18"/>
                <w:lang w:val="sq-AL"/>
              </w:rPr>
              <w:t xml:space="preserve">Huaja e dhënë për dëmet monetare </w:t>
            </w:r>
            <w:r w:rsidR="00E4573F" w:rsidRPr="00E91B0C">
              <w:rPr>
                <w:sz w:val="18"/>
                <w:szCs w:val="18"/>
                <w:lang w:val="sq-AL"/>
              </w:rPr>
              <w:t>nën</w:t>
            </w:r>
            <w:r w:rsidRPr="00E91B0C">
              <w:rPr>
                <w:sz w:val="18"/>
                <w:szCs w:val="18"/>
                <w:lang w:val="sq-AL"/>
              </w:rPr>
              <w:t>. 2013</w:t>
            </w:r>
            <w:r w:rsidR="00E4573F">
              <w:rPr>
                <w:sz w:val="18"/>
                <w:szCs w:val="18"/>
                <w:lang w:val="sq-AL"/>
              </w:rPr>
              <w:t>–</w:t>
            </w:r>
            <w:r w:rsidR="00E4573F" w:rsidRPr="00E91B0C">
              <w:rPr>
                <w:sz w:val="18"/>
                <w:szCs w:val="18"/>
                <w:lang w:val="sq-AL"/>
              </w:rPr>
              <w:t xml:space="preserve">maj </w:t>
            </w:r>
            <w:r w:rsidRPr="00E91B0C">
              <w:rPr>
                <w:sz w:val="18"/>
                <w:szCs w:val="18"/>
                <w:lang w:val="sq-AL"/>
              </w:rPr>
              <w:t>2017</w:t>
            </w:r>
          </w:p>
        </w:tc>
        <w:tc>
          <w:tcPr>
            <w:tcW w:w="814" w:type="pct"/>
          </w:tcPr>
          <w:p w:rsidR="00B9612D" w:rsidRPr="00E91B0C" w:rsidRDefault="00B9612D" w:rsidP="00E4573F">
            <w:pPr>
              <w:pStyle w:val="Paragrafi"/>
              <w:ind w:firstLine="0"/>
              <w:jc w:val="right"/>
              <w:rPr>
                <w:sz w:val="18"/>
                <w:szCs w:val="18"/>
                <w:lang w:val="sq-AL"/>
              </w:rPr>
            </w:pPr>
            <w:r w:rsidRPr="00E91B0C">
              <w:rPr>
                <w:sz w:val="18"/>
                <w:szCs w:val="18"/>
                <w:lang w:val="sq-AL"/>
              </w:rPr>
              <w:t>€ -</w:t>
            </w:r>
          </w:p>
        </w:tc>
        <w:tc>
          <w:tcPr>
            <w:tcW w:w="645" w:type="pct"/>
          </w:tcPr>
          <w:p w:rsidR="00B9612D" w:rsidRPr="00E91B0C" w:rsidRDefault="00B9612D" w:rsidP="00E4573F">
            <w:pPr>
              <w:pStyle w:val="Paragrafi"/>
              <w:ind w:firstLine="0"/>
              <w:jc w:val="right"/>
              <w:rPr>
                <w:sz w:val="18"/>
                <w:szCs w:val="18"/>
                <w:lang w:val="sq-AL"/>
              </w:rPr>
            </w:pPr>
            <w:r w:rsidRPr="00E91B0C">
              <w:rPr>
                <w:sz w:val="18"/>
                <w:szCs w:val="18"/>
                <w:lang w:val="sq-AL"/>
              </w:rPr>
              <w:t>€ -</w:t>
            </w:r>
          </w:p>
        </w:tc>
        <w:tc>
          <w:tcPr>
            <w:tcW w:w="709" w:type="pct"/>
          </w:tcPr>
          <w:p w:rsidR="00B9612D" w:rsidRPr="00E91B0C" w:rsidRDefault="00B9612D" w:rsidP="00E4573F">
            <w:pPr>
              <w:pStyle w:val="Paragrafi"/>
              <w:ind w:firstLine="0"/>
              <w:jc w:val="right"/>
              <w:rPr>
                <w:sz w:val="18"/>
                <w:szCs w:val="18"/>
                <w:lang w:val="sq-AL"/>
              </w:rPr>
            </w:pPr>
            <w:r w:rsidRPr="00E91B0C">
              <w:rPr>
                <w:sz w:val="18"/>
                <w:szCs w:val="18"/>
                <w:lang w:val="sq-AL"/>
              </w:rPr>
              <w:t xml:space="preserve">€ - </w:t>
            </w:r>
          </w:p>
        </w:tc>
        <w:tc>
          <w:tcPr>
            <w:tcW w:w="581" w:type="pct"/>
          </w:tcPr>
          <w:p w:rsidR="00B9612D" w:rsidRPr="00E91B0C" w:rsidRDefault="00B9612D" w:rsidP="00E4573F">
            <w:pPr>
              <w:pStyle w:val="Paragrafi"/>
              <w:ind w:firstLine="0"/>
              <w:jc w:val="right"/>
              <w:rPr>
                <w:sz w:val="18"/>
                <w:szCs w:val="18"/>
                <w:lang w:val="sq-AL"/>
              </w:rPr>
            </w:pPr>
            <w:r w:rsidRPr="00E91B0C">
              <w:rPr>
                <w:sz w:val="18"/>
                <w:szCs w:val="18"/>
                <w:lang w:val="sq-AL"/>
              </w:rPr>
              <w:t>€ 242,025.08</w:t>
            </w:r>
          </w:p>
        </w:tc>
        <w:tc>
          <w:tcPr>
            <w:tcW w:w="767" w:type="pct"/>
          </w:tcPr>
          <w:p w:rsidR="00B9612D" w:rsidRPr="00E91B0C" w:rsidRDefault="00B9612D" w:rsidP="00E4573F">
            <w:pPr>
              <w:pStyle w:val="Paragrafi"/>
              <w:ind w:firstLine="0"/>
              <w:jc w:val="right"/>
              <w:rPr>
                <w:sz w:val="18"/>
                <w:szCs w:val="18"/>
                <w:lang w:val="sq-AL"/>
              </w:rPr>
            </w:pPr>
            <w:r w:rsidRPr="00E91B0C">
              <w:rPr>
                <w:sz w:val="18"/>
                <w:szCs w:val="18"/>
                <w:lang w:val="sq-AL"/>
              </w:rPr>
              <w:t>€ 242,025.08</w:t>
            </w:r>
          </w:p>
        </w:tc>
      </w:tr>
      <w:tr w:rsidR="00B9612D" w:rsidRPr="00E4573F" w:rsidTr="00E4573F">
        <w:trPr>
          <w:jc w:val="center"/>
        </w:trPr>
        <w:tc>
          <w:tcPr>
            <w:tcW w:w="302" w:type="pct"/>
          </w:tcPr>
          <w:p w:rsidR="00B9612D" w:rsidRPr="00E4573F" w:rsidRDefault="00B9612D" w:rsidP="00B9612D">
            <w:pPr>
              <w:pStyle w:val="Paragrafi"/>
              <w:ind w:firstLine="0"/>
              <w:rPr>
                <w:b/>
                <w:sz w:val="18"/>
                <w:szCs w:val="18"/>
                <w:lang w:val="sq-AL"/>
              </w:rPr>
            </w:pPr>
          </w:p>
        </w:tc>
        <w:tc>
          <w:tcPr>
            <w:tcW w:w="1182" w:type="pct"/>
          </w:tcPr>
          <w:p w:rsidR="00B9612D" w:rsidRPr="00E4573F" w:rsidRDefault="004F1F26" w:rsidP="00B9612D">
            <w:pPr>
              <w:pStyle w:val="Paragrafi"/>
              <w:ind w:firstLine="0"/>
              <w:rPr>
                <w:b/>
                <w:sz w:val="18"/>
                <w:szCs w:val="18"/>
                <w:lang w:val="sq-AL"/>
              </w:rPr>
            </w:pPr>
            <w:r w:rsidRPr="00E4573F">
              <w:rPr>
                <w:b/>
                <w:sz w:val="18"/>
                <w:szCs w:val="18"/>
                <w:lang w:val="sq-AL"/>
              </w:rPr>
              <w:t>VLERA NË TOTAL</w:t>
            </w:r>
          </w:p>
        </w:tc>
        <w:tc>
          <w:tcPr>
            <w:tcW w:w="814" w:type="pct"/>
          </w:tcPr>
          <w:p w:rsidR="00B9612D" w:rsidRPr="00E4573F" w:rsidRDefault="00B9612D" w:rsidP="00E4573F">
            <w:pPr>
              <w:pStyle w:val="Paragrafi"/>
              <w:ind w:firstLine="0"/>
              <w:jc w:val="right"/>
              <w:rPr>
                <w:b/>
                <w:sz w:val="18"/>
                <w:szCs w:val="18"/>
                <w:lang w:val="sq-AL"/>
              </w:rPr>
            </w:pPr>
            <w:r w:rsidRPr="00E4573F">
              <w:rPr>
                <w:b/>
                <w:sz w:val="18"/>
                <w:szCs w:val="18"/>
                <w:lang w:val="sq-AL"/>
              </w:rPr>
              <w:t>€ 14,222,986.00</w:t>
            </w:r>
          </w:p>
        </w:tc>
        <w:tc>
          <w:tcPr>
            <w:tcW w:w="645" w:type="pct"/>
          </w:tcPr>
          <w:p w:rsidR="00B9612D" w:rsidRPr="00E4573F" w:rsidRDefault="00B9612D" w:rsidP="00E4573F">
            <w:pPr>
              <w:pStyle w:val="Paragrafi"/>
              <w:ind w:firstLine="0"/>
              <w:jc w:val="right"/>
              <w:rPr>
                <w:b/>
                <w:sz w:val="18"/>
                <w:szCs w:val="18"/>
                <w:lang w:val="sq-AL"/>
              </w:rPr>
            </w:pPr>
            <w:r w:rsidRPr="00E4573F">
              <w:rPr>
                <w:b/>
                <w:sz w:val="18"/>
                <w:szCs w:val="18"/>
                <w:lang w:val="sq-AL"/>
              </w:rPr>
              <w:t>€ 795,719.65</w:t>
            </w:r>
          </w:p>
        </w:tc>
        <w:tc>
          <w:tcPr>
            <w:tcW w:w="709" w:type="pct"/>
          </w:tcPr>
          <w:p w:rsidR="00B9612D" w:rsidRPr="00E4573F" w:rsidRDefault="00B9612D" w:rsidP="00E4573F">
            <w:pPr>
              <w:pStyle w:val="Paragrafi"/>
              <w:ind w:firstLine="0"/>
              <w:jc w:val="right"/>
              <w:rPr>
                <w:b/>
                <w:sz w:val="18"/>
                <w:szCs w:val="18"/>
                <w:lang w:val="sq-AL"/>
              </w:rPr>
            </w:pPr>
            <w:r w:rsidRPr="00E4573F">
              <w:rPr>
                <w:b/>
                <w:sz w:val="18"/>
                <w:szCs w:val="18"/>
                <w:lang w:val="sq-AL"/>
              </w:rPr>
              <w:t>€ 1,545,551.63</w:t>
            </w:r>
          </w:p>
        </w:tc>
        <w:tc>
          <w:tcPr>
            <w:tcW w:w="581" w:type="pct"/>
          </w:tcPr>
          <w:p w:rsidR="00B9612D" w:rsidRPr="00E4573F" w:rsidRDefault="00B9612D" w:rsidP="00E4573F">
            <w:pPr>
              <w:pStyle w:val="Paragrafi"/>
              <w:ind w:firstLine="0"/>
              <w:jc w:val="right"/>
              <w:rPr>
                <w:b/>
                <w:sz w:val="18"/>
                <w:szCs w:val="18"/>
                <w:lang w:val="sq-AL"/>
              </w:rPr>
            </w:pPr>
            <w:r w:rsidRPr="00E4573F">
              <w:rPr>
                <w:b/>
                <w:sz w:val="18"/>
                <w:szCs w:val="18"/>
                <w:lang w:val="sq-AL"/>
              </w:rPr>
              <w:t>€ 242,025.08</w:t>
            </w:r>
          </w:p>
        </w:tc>
        <w:tc>
          <w:tcPr>
            <w:tcW w:w="767" w:type="pct"/>
          </w:tcPr>
          <w:p w:rsidR="00B9612D" w:rsidRPr="00E4573F" w:rsidRDefault="00B9612D" w:rsidP="00E4573F">
            <w:pPr>
              <w:pStyle w:val="Paragrafi"/>
              <w:ind w:firstLine="0"/>
              <w:jc w:val="right"/>
              <w:rPr>
                <w:b/>
                <w:sz w:val="18"/>
                <w:szCs w:val="18"/>
                <w:lang w:val="sq-AL"/>
              </w:rPr>
            </w:pPr>
            <w:r w:rsidRPr="00E4573F">
              <w:rPr>
                <w:b/>
                <w:sz w:val="18"/>
                <w:szCs w:val="18"/>
                <w:u w:val="single"/>
                <w:lang w:val="sq-AL"/>
              </w:rPr>
              <w:t>€ 16,806,282.37</w:t>
            </w:r>
          </w:p>
        </w:tc>
      </w:tr>
    </w:tbl>
    <w:p w:rsidR="00B9612D" w:rsidRPr="00E91B0C" w:rsidRDefault="00B9612D" w:rsidP="00B9612D">
      <w:pPr>
        <w:widowControl w:val="0"/>
        <w:spacing w:after="0" w:line="240" w:lineRule="auto"/>
        <w:rPr>
          <w:rFonts w:ascii="Garamond" w:hAnsi="Garamond"/>
          <w:sz w:val="24"/>
          <w:szCs w:val="24"/>
          <w:lang w:val="sq-AL"/>
        </w:rPr>
      </w:pPr>
    </w:p>
    <w:p w:rsidR="000551D3" w:rsidRDefault="000551D3" w:rsidP="00B9612D">
      <w:pPr>
        <w:pStyle w:val="JuPara"/>
        <w:widowControl w:val="0"/>
        <w:rPr>
          <w:rFonts w:ascii="Garamond" w:hAnsi="Garamond"/>
          <w:szCs w:val="24"/>
          <w:lang w:val="sq-AL"/>
        </w:rPr>
        <w:sectPr w:rsidR="000551D3" w:rsidSect="00922378">
          <w:type w:val="continuous"/>
          <w:pgSz w:w="11907" w:h="16840" w:code="9"/>
          <w:pgMar w:top="720" w:right="1134" w:bottom="720" w:left="1134" w:header="851" w:footer="851" w:gutter="0"/>
          <w:pgNumType w:start="8436"/>
          <w:cols w:space="454"/>
          <w:docGrid w:linePitch="360"/>
        </w:sectPr>
      </w:pPr>
    </w:p>
    <w:p w:rsidR="00B9612D" w:rsidRPr="00E91B0C" w:rsidRDefault="009827DE" w:rsidP="00B9612D">
      <w:pPr>
        <w:pStyle w:val="JuPara"/>
        <w:widowControl w:val="0"/>
        <w:rPr>
          <w:rFonts w:ascii="Garamond" w:hAnsi="Garamond"/>
          <w:szCs w:val="24"/>
          <w:lang w:val="sq-AL"/>
        </w:rPr>
      </w:pPr>
      <w:r>
        <w:rPr>
          <w:rFonts w:ascii="Garamond" w:hAnsi="Garamond"/>
          <w:szCs w:val="24"/>
          <w:lang w:val="sq-AL"/>
        </w:rPr>
        <w:lastRenderedPageBreak/>
        <w:t>189</w:t>
      </w:r>
      <w:r w:rsidR="00B9612D" w:rsidRPr="00E91B0C">
        <w:rPr>
          <w:rFonts w:ascii="Garamond" w:hAnsi="Garamond"/>
          <w:szCs w:val="24"/>
          <w:lang w:val="sq-AL"/>
        </w:rPr>
        <w:t xml:space="preserve">. Kërkuesit parashtruan edhe fotografi të apartamenteve të tyre të mobiluar, përpara se të shembeshin. </w:t>
      </w:r>
    </w:p>
    <w:p w:rsidR="00B9612D" w:rsidRPr="00E91B0C" w:rsidRDefault="00B9612D" w:rsidP="00B9612D">
      <w:pPr>
        <w:pStyle w:val="JuPara"/>
        <w:widowControl w:val="0"/>
        <w:rPr>
          <w:rFonts w:ascii="Garamond" w:hAnsi="Garamond"/>
          <w:szCs w:val="24"/>
          <w:lang w:val="sq-AL"/>
        </w:rPr>
      </w:pPr>
      <w:r w:rsidRPr="00E91B0C">
        <w:rPr>
          <w:rFonts w:ascii="Garamond" w:hAnsi="Garamond"/>
          <w:szCs w:val="24"/>
          <w:lang w:val="sq-AL"/>
        </w:rPr>
        <w:t xml:space="preserve">190. Dokumentet e mësipërme të datës 3 maj 2017 ishin përfshirë në dosjen e çështjes sipas </w:t>
      </w:r>
      <w:r w:rsidR="00B9741B" w:rsidRPr="00E91B0C">
        <w:rPr>
          <w:rFonts w:ascii="Garamond" w:hAnsi="Garamond"/>
          <w:szCs w:val="24"/>
          <w:lang w:val="sq-AL"/>
        </w:rPr>
        <w:t xml:space="preserve">rregullave </w:t>
      </w:r>
      <w:r w:rsidRPr="00E91B0C">
        <w:rPr>
          <w:rFonts w:ascii="Garamond" w:hAnsi="Garamond"/>
          <w:szCs w:val="24"/>
          <w:lang w:val="sq-AL"/>
        </w:rPr>
        <w:t xml:space="preserve">54 dhe 64 të Rregullores së Gjykatës dhe </w:t>
      </w:r>
      <w:r w:rsidR="0018461E" w:rsidRPr="00E91B0C">
        <w:rPr>
          <w:rFonts w:ascii="Garamond" w:hAnsi="Garamond"/>
          <w:szCs w:val="24"/>
          <w:lang w:val="sq-AL"/>
        </w:rPr>
        <w:t>q</w:t>
      </w:r>
      <w:r w:rsidRPr="00E91B0C">
        <w:rPr>
          <w:rFonts w:ascii="Garamond" w:hAnsi="Garamond"/>
          <w:szCs w:val="24"/>
          <w:lang w:val="sq-AL"/>
        </w:rPr>
        <w:t xml:space="preserve">everia u ftua të paraqiste komente mbi to në seancë. </w:t>
      </w:r>
    </w:p>
    <w:p w:rsidR="00B9612D" w:rsidRPr="00E91B0C" w:rsidRDefault="00B9612D" w:rsidP="00B9612D">
      <w:pPr>
        <w:pStyle w:val="JuPara"/>
        <w:widowControl w:val="0"/>
        <w:rPr>
          <w:rFonts w:ascii="Garamond" w:hAnsi="Garamond"/>
          <w:szCs w:val="24"/>
          <w:lang w:val="sq-AL"/>
        </w:rPr>
      </w:pPr>
      <w:r w:rsidRPr="00E91B0C">
        <w:rPr>
          <w:rFonts w:ascii="Garamond" w:hAnsi="Garamond"/>
          <w:szCs w:val="24"/>
          <w:lang w:val="sq-AL"/>
        </w:rPr>
        <w:t xml:space="preserve">191. Në parashtrimet e saj verbale, </w:t>
      </w:r>
      <w:r w:rsidR="0018461E" w:rsidRPr="00E91B0C">
        <w:rPr>
          <w:rFonts w:ascii="Garamond" w:hAnsi="Garamond"/>
          <w:szCs w:val="24"/>
          <w:lang w:val="sq-AL"/>
        </w:rPr>
        <w:t>q</w:t>
      </w:r>
      <w:r w:rsidRPr="00E91B0C">
        <w:rPr>
          <w:rFonts w:ascii="Garamond" w:hAnsi="Garamond"/>
          <w:szCs w:val="24"/>
          <w:lang w:val="sq-AL"/>
        </w:rPr>
        <w:t xml:space="preserve">everia parashtroi se kërkesa e </w:t>
      </w:r>
      <w:r w:rsidR="001073BE" w:rsidRPr="00E91B0C">
        <w:rPr>
          <w:rFonts w:ascii="Garamond" w:hAnsi="Garamond"/>
          <w:szCs w:val="24"/>
          <w:lang w:val="sq-AL"/>
        </w:rPr>
        <w:t>n</w:t>
      </w:r>
      <w:r w:rsidRPr="00E91B0C">
        <w:rPr>
          <w:rFonts w:ascii="Garamond" w:hAnsi="Garamond"/>
          <w:szCs w:val="24"/>
          <w:lang w:val="sq-AL"/>
        </w:rPr>
        <w:t xml:space="preserve">enit 41 ishte e parakohshme. </w:t>
      </w:r>
    </w:p>
    <w:p w:rsidR="00B9612D" w:rsidRPr="00E91B0C" w:rsidRDefault="00B9612D" w:rsidP="00B9612D">
      <w:pPr>
        <w:pStyle w:val="JuPara"/>
        <w:widowControl w:val="0"/>
        <w:rPr>
          <w:rFonts w:ascii="Garamond" w:hAnsi="Garamond"/>
          <w:szCs w:val="24"/>
          <w:lang w:val="sq-AL"/>
        </w:rPr>
      </w:pPr>
      <w:r w:rsidRPr="00E91B0C">
        <w:rPr>
          <w:rFonts w:ascii="Garamond" w:hAnsi="Garamond"/>
          <w:szCs w:val="24"/>
          <w:lang w:val="sq-AL"/>
        </w:rPr>
        <w:t>19</w:t>
      </w:r>
      <w:r w:rsidR="00B9741B">
        <w:rPr>
          <w:rFonts w:ascii="Garamond" w:hAnsi="Garamond"/>
          <w:szCs w:val="24"/>
          <w:lang w:val="sq-AL"/>
        </w:rPr>
        <w:t>2</w:t>
      </w:r>
      <w:r w:rsidRPr="00E91B0C">
        <w:rPr>
          <w:rFonts w:ascii="Garamond" w:hAnsi="Garamond"/>
          <w:szCs w:val="24"/>
          <w:lang w:val="sq-AL"/>
        </w:rPr>
        <w:t xml:space="preserve">. Në parashtrimet e tyre verbale, kërkuesit parashtruan se duke qenë se godina ishte marrë në mënyrë të paligjshme dhe </w:t>
      </w:r>
      <w:r w:rsidRPr="00E91B0C">
        <w:rPr>
          <w:rFonts w:ascii="Garamond" w:hAnsi="Garamond"/>
          <w:i/>
          <w:szCs w:val="24"/>
          <w:lang w:val="sq-AL"/>
        </w:rPr>
        <w:t>restitutio in integrum</w:t>
      </w:r>
      <w:r w:rsidRPr="00E91B0C">
        <w:rPr>
          <w:rFonts w:ascii="Garamond" w:hAnsi="Garamond"/>
          <w:szCs w:val="24"/>
          <w:lang w:val="sq-AL"/>
        </w:rPr>
        <w:t xml:space="preserve"> ishte i pamundur, ata kishin të drejtë për kompensim</w:t>
      </w:r>
      <w:r w:rsidR="00B9741B">
        <w:rPr>
          <w:rFonts w:ascii="Garamond" w:hAnsi="Garamond"/>
          <w:szCs w:val="24"/>
          <w:lang w:val="sq-AL"/>
        </w:rPr>
        <w:t>,</w:t>
      </w:r>
      <w:r w:rsidRPr="00E91B0C">
        <w:rPr>
          <w:rFonts w:ascii="Garamond" w:hAnsi="Garamond"/>
          <w:szCs w:val="24"/>
          <w:lang w:val="sq-AL"/>
        </w:rPr>
        <w:t xml:space="preserve"> i cili të paktën duhej të korrespondonte me vlerën e plotë të tregut për pronat në datën e shpronësimit. Përveç faktit se nuk ishte paguar ende kompensim, shuma e akorduar nga Këshilli i Ministrave në vitin 2014, ishte e ul</w:t>
      </w:r>
      <w:r w:rsidR="00B9741B">
        <w:rPr>
          <w:rFonts w:ascii="Garamond" w:hAnsi="Garamond"/>
          <w:szCs w:val="24"/>
          <w:lang w:val="sq-AL"/>
        </w:rPr>
        <w:t>ë</w:t>
      </w:r>
      <w:r w:rsidRPr="00E91B0C">
        <w:rPr>
          <w:rFonts w:ascii="Garamond" w:hAnsi="Garamond"/>
          <w:szCs w:val="24"/>
          <w:lang w:val="sq-AL"/>
        </w:rPr>
        <w:t>t në mënyr</w:t>
      </w:r>
      <w:r w:rsidR="00B9741B">
        <w:rPr>
          <w:rFonts w:ascii="Garamond" w:hAnsi="Garamond"/>
          <w:szCs w:val="24"/>
          <w:lang w:val="sq-AL"/>
        </w:rPr>
        <w:t>ë</w:t>
      </w:r>
      <w:r w:rsidRPr="00E91B0C">
        <w:rPr>
          <w:rFonts w:ascii="Garamond" w:hAnsi="Garamond"/>
          <w:szCs w:val="24"/>
          <w:lang w:val="sq-AL"/>
        </w:rPr>
        <w:t xml:space="preserve"> joproporcionale dhe e papërshtatshme për të zbutur mjaftueshëm pasojat e dëmshme për humbjen e pasurive të tyre. Kjo shumë ishte vetëm një e treta e shumës me të cilën kishin blerë apartamentet e tyre dhe një pjesë më e vogël ende e vlerës së pronave të tyre në kohën e shpronësimit.</w:t>
      </w:r>
      <w:r w:rsidR="00E91B0C">
        <w:rPr>
          <w:rFonts w:ascii="Garamond" w:hAnsi="Garamond"/>
          <w:szCs w:val="24"/>
          <w:lang w:val="sq-AL"/>
        </w:rPr>
        <w:t xml:space="preserve"> </w:t>
      </w:r>
    </w:p>
    <w:p w:rsidR="00B9612D" w:rsidRPr="00E91B0C" w:rsidRDefault="00B9612D" w:rsidP="00B9612D">
      <w:pPr>
        <w:pStyle w:val="ECHRHeading4"/>
        <w:keepNext w:val="0"/>
        <w:keepLines w:val="0"/>
        <w:widowControl w:val="0"/>
        <w:spacing w:before="0" w:after="0"/>
        <w:ind w:left="0" w:firstLine="284"/>
        <w:rPr>
          <w:rFonts w:ascii="Garamond" w:hAnsi="Garamond"/>
          <w:sz w:val="24"/>
          <w:szCs w:val="24"/>
          <w:lang w:val="sq-AL"/>
        </w:rPr>
      </w:pPr>
      <w:r w:rsidRPr="00E91B0C">
        <w:rPr>
          <w:rFonts w:ascii="Garamond" w:hAnsi="Garamond"/>
          <w:sz w:val="24"/>
          <w:szCs w:val="24"/>
          <w:lang w:val="sq-AL"/>
        </w:rPr>
        <w:t>b)</w:t>
      </w:r>
      <w:r w:rsidR="00E91B0C">
        <w:rPr>
          <w:rFonts w:ascii="Garamond" w:hAnsi="Garamond"/>
          <w:sz w:val="24"/>
          <w:szCs w:val="24"/>
          <w:lang w:val="sq-AL"/>
        </w:rPr>
        <w:t xml:space="preserve"> </w:t>
      </w:r>
      <w:r w:rsidRPr="00E91B0C">
        <w:rPr>
          <w:rFonts w:ascii="Garamond" w:hAnsi="Garamond"/>
          <w:sz w:val="24"/>
          <w:szCs w:val="24"/>
          <w:lang w:val="sq-AL"/>
        </w:rPr>
        <w:t xml:space="preserve">Vlerësimet e Gjykatës </w:t>
      </w:r>
    </w:p>
    <w:p w:rsidR="00B9612D" w:rsidRPr="000551D3" w:rsidRDefault="009827DE" w:rsidP="00B9612D">
      <w:pPr>
        <w:pStyle w:val="JuPara"/>
        <w:widowControl w:val="0"/>
        <w:rPr>
          <w:rFonts w:ascii="Garamond" w:hAnsi="Garamond"/>
          <w:spacing w:val="-4"/>
          <w:szCs w:val="24"/>
          <w:lang w:val="sq-AL"/>
        </w:rPr>
      </w:pPr>
      <w:r>
        <w:rPr>
          <w:rFonts w:ascii="Garamond" w:hAnsi="Garamond"/>
          <w:szCs w:val="24"/>
          <w:lang w:val="sq-AL"/>
        </w:rPr>
        <w:t>193</w:t>
      </w:r>
      <w:r w:rsidR="00B9612D" w:rsidRPr="00E91B0C">
        <w:rPr>
          <w:rFonts w:ascii="Garamond" w:hAnsi="Garamond"/>
          <w:szCs w:val="24"/>
          <w:lang w:val="sq-AL"/>
        </w:rPr>
        <w:t xml:space="preserve">. Gjykata përsërit se një vendim në të cilin konstatohet një shkelje e ngarkon </w:t>
      </w:r>
      <w:r w:rsidR="00340FE8" w:rsidRPr="00E91B0C">
        <w:rPr>
          <w:rFonts w:ascii="Garamond" w:hAnsi="Garamond"/>
          <w:szCs w:val="24"/>
          <w:lang w:val="sq-AL"/>
        </w:rPr>
        <w:t xml:space="preserve">shtetin </w:t>
      </w:r>
      <w:r w:rsidR="00B9612D" w:rsidRPr="00E91B0C">
        <w:rPr>
          <w:rFonts w:ascii="Garamond" w:hAnsi="Garamond"/>
          <w:szCs w:val="24"/>
          <w:lang w:val="sq-AL"/>
        </w:rPr>
        <w:t>e paditur me detyrimin ligjor t’i japë fund shkeljes dhe të riparojë pasojat e dëmit në mënyrë të tillë që të mund ta kthejë situatën në gjendjen e saj përpara shkeljes sa më shumë të jetë e mundur (shih, midis shumë vendimeve të tjer</w:t>
      </w:r>
      <w:r w:rsidR="009D46A9">
        <w:rPr>
          <w:rFonts w:ascii="Garamond" w:hAnsi="Garamond"/>
          <w:szCs w:val="24"/>
          <w:lang w:val="sq-AL"/>
        </w:rPr>
        <w:t>a</w:t>
      </w:r>
      <w:r w:rsidR="00B9612D" w:rsidRPr="00E91B0C">
        <w:rPr>
          <w:rFonts w:ascii="Garamond" w:hAnsi="Garamond"/>
          <w:szCs w:val="24"/>
          <w:lang w:val="sq-AL"/>
        </w:rPr>
        <w:t xml:space="preserve">, </w:t>
      </w:r>
      <w:r w:rsidR="00B9612D" w:rsidRPr="00E91B0C">
        <w:rPr>
          <w:rFonts w:ascii="Garamond" w:hAnsi="Garamond"/>
          <w:i/>
          <w:szCs w:val="24"/>
          <w:lang w:val="sq-AL"/>
        </w:rPr>
        <w:t>Scordino</w:t>
      </w:r>
      <w:r w:rsidR="00B9612D" w:rsidRPr="00E91B0C">
        <w:rPr>
          <w:rFonts w:ascii="Garamond" w:hAnsi="Garamond"/>
          <w:szCs w:val="24"/>
          <w:lang w:val="sq-AL"/>
        </w:rPr>
        <w:t>, cituar më sipër,</w:t>
      </w:r>
      <w:r w:rsidR="009B65F2">
        <w:rPr>
          <w:rFonts w:ascii="Garamond" w:hAnsi="Garamond"/>
          <w:szCs w:val="24"/>
          <w:lang w:val="sq-AL"/>
        </w:rPr>
        <w:t xml:space="preserve"> </w:t>
      </w:r>
      <w:r w:rsidR="008B2E1D">
        <w:rPr>
          <w:rFonts w:ascii="Garamond" w:hAnsi="Garamond"/>
          <w:szCs w:val="24"/>
          <w:lang w:val="sq-AL"/>
        </w:rPr>
        <w:t>§</w:t>
      </w:r>
      <w:r w:rsidR="00B9612D" w:rsidRPr="00E91B0C">
        <w:rPr>
          <w:rFonts w:ascii="Garamond" w:hAnsi="Garamond"/>
          <w:szCs w:val="24"/>
          <w:lang w:val="sq-AL"/>
        </w:rPr>
        <w:t xml:space="preserve">246). Nëse ligji </w:t>
      </w:r>
      <w:r w:rsidR="003C06FD">
        <w:rPr>
          <w:rFonts w:ascii="Garamond" w:hAnsi="Garamond"/>
          <w:szCs w:val="24"/>
          <w:lang w:val="sq-AL"/>
        </w:rPr>
        <w:t>vendës</w:t>
      </w:r>
      <w:r w:rsidR="00340FE8">
        <w:rPr>
          <w:rFonts w:ascii="Garamond" w:hAnsi="Garamond"/>
          <w:szCs w:val="24"/>
          <w:lang w:val="sq-AL"/>
        </w:rPr>
        <w:t xml:space="preserve"> nuk e lejon </w:t>
      </w:r>
      <w:r w:rsidR="00B9612D" w:rsidRPr="00E91B0C">
        <w:rPr>
          <w:rFonts w:ascii="Garamond" w:hAnsi="Garamond"/>
          <w:szCs w:val="24"/>
          <w:lang w:val="sq-AL"/>
        </w:rPr>
        <w:t>ose e lejon vetëm pjesërisht</w:t>
      </w:r>
      <w:r w:rsidR="00340FE8">
        <w:rPr>
          <w:rFonts w:ascii="Garamond" w:hAnsi="Garamond"/>
          <w:szCs w:val="24"/>
          <w:lang w:val="sq-AL"/>
        </w:rPr>
        <w:t>,</w:t>
      </w:r>
      <w:r w:rsidR="00B9612D" w:rsidRPr="00E91B0C">
        <w:rPr>
          <w:rFonts w:ascii="Garamond" w:hAnsi="Garamond"/>
          <w:szCs w:val="24"/>
          <w:lang w:val="sq-AL"/>
        </w:rPr>
        <w:t xml:space="preserve"> që të bëhet një korrigjim i pasojave të shkaktuara nga shkelja, </w:t>
      </w:r>
      <w:r w:rsidR="001073BE" w:rsidRPr="00E91B0C">
        <w:rPr>
          <w:rFonts w:ascii="Garamond" w:hAnsi="Garamond"/>
          <w:szCs w:val="24"/>
          <w:lang w:val="sq-AL"/>
        </w:rPr>
        <w:t>n</w:t>
      </w:r>
      <w:r w:rsidR="00B9612D" w:rsidRPr="00E91B0C">
        <w:rPr>
          <w:rFonts w:ascii="Garamond" w:hAnsi="Garamond"/>
          <w:szCs w:val="24"/>
          <w:lang w:val="sq-AL"/>
        </w:rPr>
        <w:t xml:space="preserve">eni 41 i jep autoritetin Gjykatës t’i ofrojë palës së dëmtuar kompensimin që ajo e gjykon të </w:t>
      </w:r>
      <w:r w:rsidR="00B9612D" w:rsidRPr="000551D3">
        <w:rPr>
          <w:rFonts w:ascii="Garamond" w:hAnsi="Garamond"/>
          <w:spacing w:val="-4"/>
          <w:szCs w:val="24"/>
          <w:lang w:val="sq-AL"/>
        </w:rPr>
        <w:t>përshtatshëm. Gjykata gëzon një liri të caktuar veprimi në ushtrim të pushtetit, siç edhe e dëshmojnë mbiemri “i drejtë” dhe shprehja “nëse është e nevojshme”. Përveç çështjeve</w:t>
      </w:r>
      <w:r w:rsidR="00E661C8" w:rsidRPr="000551D3">
        <w:rPr>
          <w:rFonts w:ascii="Garamond" w:hAnsi="Garamond"/>
          <w:spacing w:val="-4"/>
          <w:szCs w:val="24"/>
          <w:lang w:val="sq-AL"/>
        </w:rPr>
        <w:t>,</w:t>
      </w:r>
      <w:r w:rsidR="00B9612D" w:rsidRPr="000551D3">
        <w:rPr>
          <w:rFonts w:ascii="Garamond" w:hAnsi="Garamond"/>
          <w:spacing w:val="-4"/>
          <w:szCs w:val="24"/>
          <w:lang w:val="sq-AL"/>
        </w:rPr>
        <w:t xml:space="preserve"> të cilat Gjykata i ka në konsideratë kur vlerëson kompensimin, janë dëmi monetar, i cili në fakt është humbja e pësuar si rezultat i drejtpërdrejtë i një shkelje</w:t>
      </w:r>
      <w:r w:rsidR="00E661C8" w:rsidRPr="000551D3">
        <w:rPr>
          <w:rFonts w:ascii="Garamond" w:hAnsi="Garamond"/>
          <w:spacing w:val="-4"/>
          <w:szCs w:val="24"/>
          <w:lang w:val="sq-AL"/>
        </w:rPr>
        <w:t>je</w:t>
      </w:r>
      <w:r w:rsidR="00B9612D" w:rsidRPr="000551D3">
        <w:rPr>
          <w:rFonts w:ascii="Garamond" w:hAnsi="Garamond"/>
          <w:spacing w:val="-4"/>
          <w:szCs w:val="24"/>
          <w:lang w:val="sq-AL"/>
        </w:rPr>
        <w:t xml:space="preserve"> të pretenduar, e cila është humbja e shkaktuar si rezultat i drejtpërdre</w:t>
      </w:r>
      <w:r w:rsidR="009B65F2" w:rsidRPr="000551D3">
        <w:rPr>
          <w:rFonts w:ascii="Garamond" w:hAnsi="Garamond"/>
          <w:spacing w:val="-4"/>
          <w:szCs w:val="24"/>
          <w:lang w:val="sq-AL"/>
        </w:rPr>
        <w:t>jtë i shkeljes së pretenduar, ç</w:t>
      </w:r>
      <w:r w:rsidR="00B9612D" w:rsidRPr="000551D3">
        <w:rPr>
          <w:rFonts w:ascii="Garamond" w:hAnsi="Garamond"/>
          <w:spacing w:val="-4"/>
          <w:szCs w:val="24"/>
          <w:lang w:val="sq-AL"/>
        </w:rPr>
        <w:t xml:space="preserve">ka është korrigjimi për ankthin, shqetësimin dhe pasigurinë e shkaktuar nga shkelja (shih </w:t>
      </w:r>
      <w:r w:rsidR="00B9612D" w:rsidRPr="000551D3">
        <w:rPr>
          <w:rFonts w:ascii="Garamond" w:hAnsi="Garamond"/>
          <w:i/>
          <w:spacing w:val="-4"/>
          <w:szCs w:val="24"/>
          <w:lang w:val="sq-AL"/>
        </w:rPr>
        <w:t>Comingersoll S.A. kundër Portugalisë</w:t>
      </w:r>
      <w:r w:rsidR="00B9612D" w:rsidRPr="000551D3">
        <w:rPr>
          <w:rFonts w:ascii="Garamond" w:hAnsi="Garamond"/>
          <w:spacing w:val="-4"/>
          <w:szCs w:val="24"/>
          <w:lang w:val="sq-AL"/>
        </w:rPr>
        <w:t xml:space="preserve"> [DHM], nr. 35382/97</w:t>
      </w:r>
      <w:r w:rsidR="008541A0" w:rsidRPr="000551D3">
        <w:rPr>
          <w:rFonts w:ascii="Garamond" w:hAnsi="Garamond"/>
          <w:spacing w:val="-4"/>
          <w:szCs w:val="24"/>
          <w:lang w:val="sq-AL"/>
        </w:rPr>
        <w:t>, §</w:t>
      </w:r>
      <w:r w:rsidR="00B9612D" w:rsidRPr="000551D3">
        <w:rPr>
          <w:rFonts w:ascii="Garamond" w:hAnsi="Garamond"/>
          <w:spacing w:val="-4"/>
          <w:szCs w:val="24"/>
          <w:lang w:val="sq-AL"/>
        </w:rPr>
        <w:t>29, GJEDNJ 2000</w:t>
      </w:r>
      <w:r w:rsidR="00B9612D" w:rsidRPr="000551D3">
        <w:rPr>
          <w:rFonts w:ascii="MS Mincho" w:eastAsia="MS Mincho" w:hAnsi="MS Mincho" w:cs="MS Mincho"/>
          <w:spacing w:val="-4"/>
          <w:szCs w:val="24"/>
          <w:lang w:val="sq-AL"/>
        </w:rPr>
        <w:t>‑</w:t>
      </w:r>
      <w:r w:rsidR="00B9612D" w:rsidRPr="000551D3">
        <w:rPr>
          <w:rFonts w:ascii="Garamond" w:hAnsi="Garamond"/>
          <w:spacing w:val="-4"/>
          <w:szCs w:val="24"/>
          <w:lang w:val="sq-AL"/>
        </w:rPr>
        <w:t>IV).</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194</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Më tej, Gjykata vëren se rregull</w:t>
      </w:r>
      <w:r w:rsidR="00781175" w:rsidRPr="000551D3">
        <w:rPr>
          <w:rFonts w:ascii="Garamond" w:hAnsi="Garamond"/>
          <w:spacing w:val="-4"/>
          <w:szCs w:val="24"/>
          <w:lang w:val="sq-AL"/>
        </w:rPr>
        <w:t>a</w:t>
      </w:r>
      <w:r w:rsidR="00B9612D" w:rsidRPr="000551D3">
        <w:rPr>
          <w:rFonts w:ascii="Garamond" w:hAnsi="Garamond"/>
          <w:spacing w:val="-4"/>
          <w:szCs w:val="24"/>
          <w:lang w:val="sq-AL"/>
        </w:rPr>
        <w:t xml:space="preserve"> se mjetet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duhet të shfrytëzohen, nuk zbatohet për kërkesat për kompensim të drejtë paraqitur në Gjykatë sipas </w:t>
      </w:r>
      <w:r w:rsidR="001073BE" w:rsidRPr="000551D3">
        <w:rPr>
          <w:rFonts w:ascii="Garamond" w:hAnsi="Garamond"/>
          <w:spacing w:val="-4"/>
          <w:szCs w:val="24"/>
          <w:lang w:val="sq-AL"/>
        </w:rPr>
        <w:t>n</w:t>
      </w:r>
      <w:r w:rsidR="00B9612D" w:rsidRPr="000551D3">
        <w:rPr>
          <w:rFonts w:ascii="Garamond" w:hAnsi="Garamond"/>
          <w:spacing w:val="-4"/>
          <w:szCs w:val="24"/>
          <w:lang w:val="sq-AL"/>
        </w:rPr>
        <w:t>enit 41 (më herët neni 50) i Konventës (</w:t>
      </w:r>
      <w:r w:rsidR="00E661C8" w:rsidRPr="000551D3">
        <w:rPr>
          <w:rFonts w:ascii="Garamond" w:hAnsi="Garamond"/>
          <w:spacing w:val="-4"/>
          <w:szCs w:val="24"/>
          <w:lang w:val="sq-AL"/>
        </w:rPr>
        <w:t>shih</w:t>
      </w:r>
      <w:r w:rsidR="00B9612D" w:rsidRPr="000551D3">
        <w:rPr>
          <w:rFonts w:ascii="Garamond" w:hAnsi="Garamond"/>
          <w:spacing w:val="-4"/>
          <w:szCs w:val="24"/>
          <w:lang w:val="sq-AL"/>
        </w:rPr>
        <w:t xml:space="preserve"> </w:t>
      </w:r>
      <w:r w:rsidR="00B9612D" w:rsidRPr="000551D3">
        <w:rPr>
          <w:rFonts w:ascii="Garamond" w:hAnsi="Garamond"/>
          <w:i/>
          <w:spacing w:val="-4"/>
          <w:szCs w:val="24"/>
          <w:lang w:val="sq-AL"/>
        </w:rPr>
        <w:t>De </w:t>
      </w:r>
      <w:r w:rsidR="005B203A" w:rsidRPr="000551D3">
        <w:rPr>
          <w:rFonts w:ascii="Garamond" w:hAnsi="Garamond"/>
          <w:i/>
          <w:spacing w:val="-4"/>
          <w:szCs w:val="24"/>
          <w:lang w:val="sq-AL"/>
        </w:rPr>
        <w:t>W</w:t>
      </w:r>
      <w:r w:rsidR="00B9612D" w:rsidRPr="000551D3">
        <w:rPr>
          <w:rFonts w:ascii="Garamond" w:hAnsi="Garamond"/>
          <w:i/>
          <w:spacing w:val="-4"/>
          <w:szCs w:val="24"/>
          <w:lang w:val="sq-AL"/>
        </w:rPr>
        <w:t xml:space="preserve">ilde, Ooms </w:t>
      </w:r>
      <w:r w:rsidR="00B9612D" w:rsidRPr="000551D3">
        <w:rPr>
          <w:rFonts w:ascii="Garamond" w:hAnsi="Garamond"/>
          <w:spacing w:val="-4"/>
          <w:szCs w:val="24"/>
          <w:lang w:val="sq-AL"/>
        </w:rPr>
        <w:t>dhe</w:t>
      </w:r>
      <w:r w:rsidR="00B9612D" w:rsidRPr="000551D3">
        <w:rPr>
          <w:rFonts w:ascii="Garamond" w:hAnsi="Garamond"/>
          <w:i/>
          <w:spacing w:val="-4"/>
          <w:szCs w:val="24"/>
          <w:lang w:val="sq-AL"/>
        </w:rPr>
        <w:t xml:space="preserve"> Versyp kundër Belgjikës</w:t>
      </w:r>
      <w:r w:rsidR="00B9612D" w:rsidRPr="000551D3">
        <w:rPr>
          <w:rFonts w:ascii="Garamond" w:hAnsi="Garamond"/>
          <w:spacing w:val="-4"/>
          <w:szCs w:val="24"/>
          <w:lang w:val="sq-AL"/>
        </w:rPr>
        <w:t xml:space="preserve"> (</w:t>
      </w:r>
      <w:r w:rsidR="001073BE" w:rsidRPr="000551D3">
        <w:rPr>
          <w:rFonts w:ascii="Garamond" w:hAnsi="Garamond"/>
          <w:spacing w:val="-4"/>
          <w:szCs w:val="24"/>
          <w:lang w:val="sq-AL"/>
        </w:rPr>
        <w:t>n</w:t>
      </w:r>
      <w:r w:rsidR="00B9612D" w:rsidRPr="000551D3">
        <w:rPr>
          <w:rFonts w:ascii="Garamond" w:hAnsi="Garamond"/>
          <w:spacing w:val="-4"/>
          <w:szCs w:val="24"/>
          <w:lang w:val="sq-AL"/>
        </w:rPr>
        <w:t>eni 50), 10 mars 1972, §§ 15</w:t>
      </w:r>
      <w:r w:rsidR="005B203A" w:rsidRPr="000551D3">
        <w:rPr>
          <w:rFonts w:ascii="Garamond" w:hAnsi="Garamond"/>
          <w:spacing w:val="-4"/>
          <w:szCs w:val="24"/>
          <w:lang w:val="sq-AL"/>
        </w:rPr>
        <w:t>–</w:t>
      </w:r>
      <w:r w:rsidR="00B9612D" w:rsidRPr="000551D3">
        <w:rPr>
          <w:rFonts w:ascii="Garamond" w:hAnsi="Garamond"/>
          <w:spacing w:val="-4"/>
          <w:szCs w:val="24"/>
          <w:lang w:val="sq-AL"/>
        </w:rPr>
        <w:t xml:space="preserve">16, </w:t>
      </w:r>
      <w:r w:rsidR="00E661C8" w:rsidRPr="000551D3">
        <w:rPr>
          <w:rFonts w:ascii="Garamond" w:hAnsi="Garamond"/>
          <w:spacing w:val="-4"/>
          <w:szCs w:val="24"/>
          <w:lang w:val="sq-AL"/>
        </w:rPr>
        <w:t xml:space="preserve">seritë </w:t>
      </w:r>
      <w:r w:rsidR="00B9612D" w:rsidRPr="000551D3">
        <w:rPr>
          <w:rFonts w:ascii="Garamond" w:hAnsi="Garamond"/>
          <w:spacing w:val="-4"/>
          <w:szCs w:val="24"/>
          <w:lang w:val="sq-AL"/>
        </w:rPr>
        <w:t xml:space="preserve">A nr. 14, dhe </w:t>
      </w:r>
      <w:r w:rsidR="00B9612D" w:rsidRPr="000551D3">
        <w:rPr>
          <w:rFonts w:ascii="Garamond" w:hAnsi="Garamond"/>
          <w:i/>
          <w:spacing w:val="-4"/>
          <w:szCs w:val="24"/>
          <w:lang w:val="sq-AL"/>
        </w:rPr>
        <w:t>Salah kundër Holandës</w:t>
      </w:r>
      <w:r w:rsidR="00B9612D" w:rsidRPr="000551D3">
        <w:rPr>
          <w:rFonts w:ascii="Garamond" w:hAnsi="Garamond"/>
          <w:spacing w:val="-4"/>
          <w:szCs w:val="24"/>
          <w:lang w:val="sq-AL"/>
        </w:rPr>
        <w:t>, nr. 8196/02, §§ 67, GJEDNJ 2006</w:t>
      </w:r>
      <w:r w:rsidR="00B9612D" w:rsidRPr="000551D3">
        <w:rPr>
          <w:rFonts w:ascii="Garamond" w:hAnsi="Garamond"/>
          <w:spacing w:val="-4"/>
          <w:szCs w:val="24"/>
          <w:lang w:val="sq-AL"/>
        </w:rPr>
        <w:noBreakHyphen/>
        <w:t>IX (ekstrakte)).</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195</w:t>
      </w:r>
      <w:r w:rsidR="00B9612D" w:rsidRPr="000551D3">
        <w:rPr>
          <w:rFonts w:ascii="Garamond" w:hAnsi="Garamond"/>
          <w:spacing w:val="-4"/>
          <w:szCs w:val="24"/>
          <w:lang w:val="sq-AL"/>
        </w:rPr>
        <w:t xml:space="preserve">. Ka lindur një situatë e pazakontë dhe për këtë arsye kërkuesit kanë paraqitur kërkesa për kompensim të drejtë përpara Gjykatës sipas </w:t>
      </w:r>
      <w:r w:rsidR="001073BE" w:rsidRPr="000551D3">
        <w:rPr>
          <w:rFonts w:ascii="Garamond" w:hAnsi="Garamond"/>
          <w:spacing w:val="-4"/>
          <w:szCs w:val="24"/>
          <w:lang w:val="sq-AL"/>
        </w:rPr>
        <w:t>n</w:t>
      </w:r>
      <w:r w:rsidR="00B9612D" w:rsidRPr="000551D3">
        <w:rPr>
          <w:rFonts w:ascii="Garamond" w:hAnsi="Garamond"/>
          <w:spacing w:val="-4"/>
          <w:szCs w:val="24"/>
          <w:lang w:val="sq-AL"/>
        </w:rPr>
        <w:t xml:space="preserve">enit 41 të Konventës, edhe pse kërkesat me të njëjtin efekt janë pezull përpara gjykatave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Gjykata ka deklaruar në një rast të mëparshëm se ajo nuk mund të lejojë procedime përpara saj dhe procedime në një gjykatë </w:t>
      </w:r>
      <w:r w:rsidR="003C06FD" w:rsidRPr="000551D3">
        <w:rPr>
          <w:rFonts w:ascii="Garamond" w:hAnsi="Garamond"/>
          <w:spacing w:val="-4"/>
          <w:szCs w:val="24"/>
          <w:lang w:val="sq-AL"/>
        </w:rPr>
        <w:t>vendës</w:t>
      </w:r>
      <w:r w:rsidR="00B9612D" w:rsidRPr="000551D3">
        <w:rPr>
          <w:rFonts w:ascii="Garamond" w:hAnsi="Garamond"/>
          <w:spacing w:val="-4"/>
          <w:szCs w:val="24"/>
          <w:lang w:val="sq-AL"/>
        </w:rPr>
        <w:t>e</w:t>
      </w:r>
      <w:r w:rsidR="00394694" w:rsidRPr="000551D3">
        <w:rPr>
          <w:rFonts w:ascii="Garamond" w:hAnsi="Garamond"/>
          <w:spacing w:val="-4"/>
          <w:szCs w:val="24"/>
          <w:lang w:val="sq-AL"/>
        </w:rPr>
        <w:t>,</w:t>
      </w:r>
      <w:r w:rsidR="00B9612D" w:rsidRPr="000551D3">
        <w:rPr>
          <w:rFonts w:ascii="Garamond" w:hAnsi="Garamond"/>
          <w:spacing w:val="-4"/>
          <w:szCs w:val="24"/>
          <w:lang w:val="sq-AL"/>
        </w:rPr>
        <w:t xml:space="preserve"> të cilat kanë si synim ekzaktësisht të njëjtin rezultat, që të ndiqen në mënyrë aktive paralelisht. Normalisht, do të kishte fare pak ndryshim nëse procedime të tilla paralele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janë ende pezull në kohën kur kërkesa paraqitet në Gjykatë, rast në të cilin kërkesa do të jetë e papranueshme sipas </w:t>
      </w:r>
      <w:r w:rsidR="001073BE" w:rsidRPr="000551D3">
        <w:rPr>
          <w:rFonts w:ascii="Garamond" w:hAnsi="Garamond"/>
          <w:spacing w:val="-4"/>
          <w:szCs w:val="24"/>
          <w:lang w:val="sq-AL"/>
        </w:rPr>
        <w:t>n</w:t>
      </w:r>
      <w:r w:rsidR="00B9612D" w:rsidRPr="000551D3">
        <w:rPr>
          <w:rFonts w:ascii="Garamond" w:hAnsi="Garamond"/>
          <w:spacing w:val="-4"/>
          <w:szCs w:val="24"/>
          <w:lang w:val="sq-AL"/>
        </w:rPr>
        <w:t>enit 35</w:t>
      </w:r>
      <w:r w:rsidR="008B2E1D" w:rsidRPr="000551D3">
        <w:rPr>
          <w:rFonts w:ascii="Garamond" w:hAnsi="Garamond"/>
          <w:spacing w:val="-4"/>
          <w:szCs w:val="24"/>
          <w:lang w:val="sq-AL"/>
        </w:rPr>
        <w:t>§</w:t>
      </w:r>
      <w:r w:rsidR="00B9612D" w:rsidRPr="000551D3">
        <w:rPr>
          <w:rFonts w:ascii="Garamond" w:hAnsi="Garamond"/>
          <w:spacing w:val="-4"/>
          <w:szCs w:val="24"/>
          <w:lang w:val="sq-AL"/>
        </w:rPr>
        <w:t xml:space="preserve">1 të Konventës, ose nëse kërkesa është paraqitur në Gjykatë (shih </w:t>
      </w:r>
      <w:r w:rsidR="00B9612D" w:rsidRPr="000551D3">
        <w:rPr>
          <w:rFonts w:ascii="Garamond" w:hAnsi="Garamond"/>
          <w:i/>
          <w:spacing w:val="-4"/>
          <w:szCs w:val="24"/>
          <w:lang w:val="sq-AL"/>
        </w:rPr>
        <w:t xml:space="preserve">Salah, </w:t>
      </w:r>
      <w:r w:rsidR="00B9612D" w:rsidRPr="000551D3">
        <w:rPr>
          <w:rFonts w:ascii="Garamond" w:hAnsi="Garamond"/>
          <w:spacing w:val="-4"/>
          <w:szCs w:val="24"/>
          <w:lang w:val="sq-AL"/>
        </w:rPr>
        <w:t>cituar më sipër</w:t>
      </w:r>
      <w:r w:rsidR="008541A0" w:rsidRPr="000551D3">
        <w:rPr>
          <w:rFonts w:ascii="Garamond" w:hAnsi="Garamond"/>
          <w:spacing w:val="-4"/>
          <w:szCs w:val="24"/>
          <w:lang w:val="sq-AL"/>
        </w:rPr>
        <w:t>, §</w:t>
      </w:r>
      <w:r w:rsidR="00B9612D" w:rsidRPr="000551D3">
        <w:rPr>
          <w:rFonts w:ascii="Garamond" w:hAnsi="Garamond"/>
          <w:spacing w:val="-4"/>
          <w:szCs w:val="24"/>
          <w:lang w:val="sq-AL"/>
        </w:rPr>
        <w:t>§65</w:t>
      </w:r>
      <w:r w:rsidR="005B203A" w:rsidRPr="000551D3">
        <w:rPr>
          <w:rFonts w:ascii="Garamond" w:hAnsi="Garamond"/>
          <w:spacing w:val="-4"/>
          <w:szCs w:val="24"/>
          <w:lang w:val="sq-AL"/>
        </w:rPr>
        <w:t>–</w:t>
      </w:r>
      <w:r w:rsidR="00B9612D" w:rsidRPr="000551D3">
        <w:rPr>
          <w:rFonts w:ascii="Garamond" w:hAnsi="Garamond"/>
          <w:spacing w:val="-4"/>
          <w:szCs w:val="24"/>
          <w:lang w:val="sq-AL"/>
        </w:rPr>
        <w:t>66).</w:t>
      </w:r>
    </w:p>
    <w:p w:rsidR="000551D3" w:rsidRDefault="00B9612D" w:rsidP="00922378">
      <w:pPr>
        <w:pStyle w:val="JuPara"/>
        <w:widowControl w:val="0"/>
        <w:rPr>
          <w:rFonts w:ascii="Garamond" w:hAnsi="Garamond"/>
          <w:spacing w:val="-4"/>
          <w:szCs w:val="24"/>
          <w:lang w:val="sq-AL"/>
        </w:rPr>
      </w:pPr>
      <w:r w:rsidRPr="000551D3">
        <w:rPr>
          <w:rFonts w:ascii="Garamond" w:hAnsi="Garamond"/>
          <w:spacing w:val="-4"/>
          <w:szCs w:val="24"/>
          <w:lang w:val="sq-AL"/>
        </w:rPr>
        <w:t xml:space="preserve">196. Çështja në fjalë nuk përkon me standardin e zakonshëm. Gjykata ka konstatuar se procedimet e disponueshme për ankuesit nuk përbëjnë mjete efikase të brendshme. Nën këto rrethana, Gjykata nuk mund ta konsiderojë veten të ndaluar nga procedimet e brendshme të mbetura pezull në mënyrë që ajo të shqyrtojë kërkesat e ankuesve: një interpretim i tillë i </w:t>
      </w:r>
      <w:r w:rsidR="001073BE" w:rsidRPr="000551D3">
        <w:rPr>
          <w:rFonts w:ascii="Garamond" w:hAnsi="Garamond"/>
          <w:spacing w:val="-4"/>
          <w:szCs w:val="24"/>
          <w:lang w:val="sq-AL"/>
        </w:rPr>
        <w:t>n</w:t>
      </w:r>
      <w:r w:rsidRPr="000551D3">
        <w:rPr>
          <w:rFonts w:ascii="Garamond" w:hAnsi="Garamond"/>
          <w:spacing w:val="-4"/>
          <w:szCs w:val="24"/>
          <w:lang w:val="sq-AL"/>
        </w:rPr>
        <w:t xml:space="preserve">enit 41 të Konventës do ta bënte këtë dispozitë joefikase në një çështje të tillë si kjo aktualja (shih, </w:t>
      </w:r>
      <w:r w:rsidRPr="000551D3">
        <w:rPr>
          <w:rFonts w:ascii="Garamond" w:hAnsi="Garamond"/>
          <w:i/>
          <w:spacing w:val="-4"/>
          <w:szCs w:val="24"/>
          <w:lang w:val="sq-AL"/>
        </w:rPr>
        <w:t>mutatis mutandis</w:t>
      </w:r>
      <w:r w:rsidRPr="000551D3">
        <w:rPr>
          <w:rFonts w:ascii="Garamond" w:hAnsi="Garamond"/>
          <w:spacing w:val="-4"/>
          <w:szCs w:val="24"/>
          <w:lang w:val="sq-AL"/>
        </w:rPr>
        <w:t xml:space="preserve">, </w:t>
      </w:r>
      <w:r w:rsidRPr="000551D3">
        <w:rPr>
          <w:rFonts w:ascii="Garamond" w:hAnsi="Garamond"/>
          <w:i/>
          <w:spacing w:val="-4"/>
          <w:szCs w:val="24"/>
          <w:lang w:val="sq-AL"/>
        </w:rPr>
        <w:t>Mikheyev kundër Rusisë</w:t>
      </w:r>
      <w:r w:rsidRPr="000551D3">
        <w:rPr>
          <w:rFonts w:ascii="Garamond" w:hAnsi="Garamond"/>
          <w:spacing w:val="-4"/>
          <w:szCs w:val="24"/>
          <w:lang w:val="sq-AL"/>
        </w:rPr>
        <w:t>, nr. 77617/01</w:t>
      </w:r>
      <w:r w:rsidR="008541A0" w:rsidRPr="000551D3">
        <w:rPr>
          <w:rFonts w:ascii="Garamond" w:hAnsi="Garamond"/>
          <w:spacing w:val="-4"/>
          <w:szCs w:val="24"/>
          <w:lang w:val="sq-AL"/>
        </w:rPr>
        <w:t>, §</w:t>
      </w:r>
      <w:r w:rsidRPr="000551D3">
        <w:rPr>
          <w:rFonts w:ascii="Garamond" w:hAnsi="Garamond"/>
          <w:spacing w:val="-4"/>
          <w:szCs w:val="24"/>
          <w:lang w:val="sq-AL"/>
        </w:rPr>
        <w:t xml:space="preserve">155, 26 janar 2006, dhe </w:t>
      </w:r>
      <w:r w:rsidRPr="000551D3">
        <w:rPr>
          <w:rFonts w:ascii="Garamond" w:hAnsi="Garamond"/>
          <w:i/>
          <w:spacing w:val="-4"/>
          <w:szCs w:val="24"/>
          <w:lang w:val="sq-AL"/>
        </w:rPr>
        <w:t xml:space="preserve">Frendo Randon dhe të Tjerët, </w:t>
      </w:r>
      <w:r w:rsidRPr="000551D3">
        <w:rPr>
          <w:rFonts w:ascii="Garamond" w:hAnsi="Garamond"/>
          <w:spacing w:val="-4"/>
          <w:szCs w:val="24"/>
          <w:lang w:val="sq-AL"/>
        </w:rPr>
        <w:t>cituar më sipër</w:t>
      </w:r>
      <w:r w:rsidR="008541A0" w:rsidRPr="000551D3">
        <w:rPr>
          <w:rFonts w:ascii="Garamond" w:hAnsi="Garamond"/>
          <w:spacing w:val="-4"/>
          <w:szCs w:val="24"/>
          <w:lang w:val="sq-AL"/>
        </w:rPr>
        <w:t>, §</w:t>
      </w:r>
      <w:r w:rsidRPr="000551D3">
        <w:rPr>
          <w:rFonts w:ascii="Garamond" w:hAnsi="Garamond"/>
          <w:spacing w:val="-4"/>
          <w:szCs w:val="24"/>
          <w:lang w:val="sq-AL"/>
        </w:rPr>
        <w:t>77).</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197</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Në vijim, Gjykata shprehet se duke akorduar shuma për dëmin në këtë fazë, nuk ka rrezik që ankuesit të marrin këto pagesa dy herë, përderisa juridiksionet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do t’i vinin re shumat e akorduara kur të vendosnin për çështjen (shih, </w:t>
      </w:r>
      <w:r w:rsidR="00B9612D" w:rsidRPr="000551D3">
        <w:rPr>
          <w:rFonts w:ascii="Garamond" w:hAnsi="Garamond"/>
          <w:i/>
          <w:spacing w:val="-4"/>
          <w:szCs w:val="24"/>
          <w:lang w:val="sq-AL"/>
        </w:rPr>
        <w:t>mutatis mutandis,</w:t>
      </w:r>
      <w:r w:rsidR="00F211C3" w:rsidRPr="000551D3">
        <w:rPr>
          <w:rFonts w:ascii="Garamond" w:hAnsi="Garamond"/>
          <w:i/>
          <w:spacing w:val="-4"/>
          <w:szCs w:val="24"/>
          <w:lang w:val="sq-AL"/>
        </w:rPr>
        <w:t xml:space="preserve"> </w:t>
      </w:r>
      <w:r w:rsidR="00B9612D" w:rsidRPr="000551D3">
        <w:rPr>
          <w:rFonts w:ascii="Garamond" w:hAnsi="Garamond"/>
          <w:i/>
          <w:spacing w:val="-4"/>
          <w:szCs w:val="24"/>
          <w:lang w:val="sq-AL"/>
        </w:rPr>
        <w:t>Serghides dhe Christoforou kundër Qipros</w:t>
      </w:r>
      <w:r w:rsidR="00B9612D" w:rsidRPr="000551D3">
        <w:rPr>
          <w:rFonts w:ascii="Garamond" w:hAnsi="Garamond"/>
          <w:spacing w:val="-4"/>
          <w:szCs w:val="24"/>
          <w:lang w:val="sq-AL"/>
        </w:rPr>
        <w:t xml:space="preserve"> (kompensim i drejtë), nr. 44730/98</w:t>
      </w:r>
      <w:r w:rsidR="008541A0" w:rsidRPr="000551D3">
        <w:rPr>
          <w:rFonts w:ascii="Garamond" w:hAnsi="Garamond"/>
          <w:spacing w:val="-4"/>
          <w:szCs w:val="24"/>
          <w:lang w:val="sq-AL"/>
        </w:rPr>
        <w:t>, §</w:t>
      </w:r>
      <w:r w:rsidR="00B9612D" w:rsidRPr="000551D3">
        <w:rPr>
          <w:rFonts w:ascii="Garamond" w:hAnsi="Garamond"/>
          <w:spacing w:val="-4"/>
          <w:szCs w:val="24"/>
          <w:lang w:val="sq-AL"/>
        </w:rPr>
        <w:t xml:space="preserve">29, 12 qershor 2003; </w:t>
      </w:r>
      <w:r w:rsidR="00B9612D" w:rsidRPr="000551D3">
        <w:rPr>
          <w:rFonts w:ascii="Garamond" w:hAnsi="Garamond"/>
          <w:i/>
          <w:spacing w:val="-4"/>
          <w:szCs w:val="24"/>
          <w:lang w:val="sq-AL"/>
        </w:rPr>
        <w:t>Serrilli kundër Italisë</w:t>
      </w:r>
      <w:r w:rsidR="00B9612D" w:rsidRPr="000551D3">
        <w:rPr>
          <w:rFonts w:ascii="Garamond" w:hAnsi="Garamond"/>
          <w:spacing w:val="-4"/>
          <w:szCs w:val="24"/>
          <w:lang w:val="sq-AL"/>
        </w:rPr>
        <w:t xml:space="preserve"> (kompensim i drejtë), nr.</w:t>
      </w:r>
      <w:r w:rsidR="009B65F2" w:rsidRPr="000551D3">
        <w:rPr>
          <w:rFonts w:ascii="Garamond" w:hAnsi="Garamond"/>
          <w:spacing w:val="-4"/>
          <w:szCs w:val="24"/>
          <w:lang w:val="sq-AL"/>
        </w:rPr>
        <w:t xml:space="preserve"> </w:t>
      </w:r>
      <w:r w:rsidR="00B9612D" w:rsidRPr="000551D3">
        <w:rPr>
          <w:rFonts w:ascii="Garamond" w:hAnsi="Garamond"/>
          <w:spacing w:val="-4"/>
          <w:szCs w:val="24"/>
          <w:lang w:val="sq-AL"/>
        </w:rPr>
        <w:t>77822/01</w:t>
      </w:r>
      <w:r w:rsidR="008541A0" w:rsidRPr="000551D3">
        <w:rPr>
          <w:rFonts w:ascii="Garamond" w:hAnsi="Garamond"/>
          <w:spacing w:val="-4"/>
          <w:szCs w:val="24"/>
          <w:lang w:val="sq-AL"/>
        </w:rPr>
        <w:t>, §</w:t>
      </w:r>
      <w:r w:rsidR="00B9612D" w:rsidRPr="000551D3">
        <w:rPr>
          <w:rFonts w:ascii="Garamond" w:hAnsi="Garamond"/>
          <w:spacing w:val="-4"/>
          <w:szCs w:val="24"/>
          <w:lang w:val="sq-AL"/>
        </w:rPr>
        <w:t xml:space="preserve">17, 17 korrik 2008, dhe </w:t>
      </w:r>
      <w:r w:rsidR="00B9612D" w:rsidRPr="000551D3">
        <w:rPr>
          <w:rFonts w:ascii="Garamond" w:hAnsi="Garamond"/>
          <w:i/>
          <w:spacing w:val="-4"/>
          <w:szCs w:val="24"/>
          <w:lang w:val="sq-AL"/>
        </w:rPr>
        <w:t>Silva Barreira Júnior kundër Portugalisë</w:t>
      </w:r>
      <w:r w:rsidR="00B9612D" w:rsidRPr="000551D3">
        <w:rPr>
          <w:rFonts w:ascii="Garamond" w:hAnsi="Garamond"/>
          <w:spacing w:val="-4"/>
          <w:szCs w:val="24"/>
          <w:lang w:val="sq-AL"/>
        </w:rPr>
        <w:t>, nr. 38317/06 dhe 38319/06</w:t>
      </w:r>
      <w:r w:rsidR="008541A0" w:rsidRPr="000551D3">
        <w:rPr>
          <w:rFonts w:ascii="Garamond" w:hAnsi="Garamond"/>
          <w:snapToGrid w:val="0"/>
          <w:spacing w:val="-4"/>
          <w:szCs w:val="24"/>
          <w:lang w:val="sq-AL"/>
        </w:rPr>
        <w:t>, §</w:t>
      </w:r>
      <w:r w:rsidR="00B9612D" w:rsidRPr="000551D3">
        <w:rPr>
          <w:rFonts w:ascii="Garamond" w:hAnsi="Garamond"/>
          <w:snapToGrid w:val="0"/>
          <w:spacing w:val="-4"/>
          <w:szCs w:val="24"/>
          <w:lang w:val="sq-AL"/>
        </w:rPr>
        <w:t>40, 11 janar 2011</w:t>
      </w:r>
      <w:r w:rsidR="00B9612D" w:rsidRPr="000551D3">
        <w:rPr>
          <w:rFonts w:ascii="Garamond" w:hAnsi="Garamond"/>
          <w:spacing w:val="-4"/>
          <w:szCs w:val="24"/>
          <w:lang w:val="sq-AL"/>
        </w:rPr>
        <w:t>).</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198</w:t>
      </w:r>
      <w:r w:rsidR="00577774" w:rsidRPr="000551D3">
        <w:rPr>
          <w:rFonts w:ascii="Garamond" w:hAnsi="Garamond"/>
          <w:spacing w:val="-4"/>
          <w:szCs w:val="24"/>
          <w:lang w:val="sq-AL"/>
        </w:rPr>
        <w:t>. Duke u kthyer te</w:t>
      </w:r>
      <w:r w:rsidR="00B9612D" w:rsidRPr="000551D3">
        <w:rPr>
          <w:rFonts w:ascii="Garamond" w:hAnsi="Garamond"/>
          <w:spacing w:val="-4"/>
          <w:szCs w:val="24"/>
          <w:lang w:val="sq-AL"/>
        </w:rPr>
        <w:t xml:space="preserve"> kërkesat e ankuesve për dëm monetar, duke marra në konsideratë faktin se </w:t>
      </w:r>
      <w:r w:rsidR="00B9612D" w:rsidRPr="000551D3">
        <w:rPr>
          <w:rFonts w:ascii="Garamond" w:hAnsi="Garamond"/>
          <w:spacing w:val="-4"/>
          <w:szCs w:val="24"/>
          <w:lang w:val="sq-AL"/>
        </w:rPr>
        <w:lastRenderedPageBreak/>
        <w:t>procedimet e filluara në Gjykatën e Lartë nuk e kanë ndryshuar ende situatën e kërkuesve, dhe se Gjykata e Apelit në vendimin e saj të datës 23 shtator 2014, e bazoi përllogaritjen e saj të d</w:t>
      </w:r>
      <w:r w:rsidR="00577774" w:rsidRPr="000551D3">
        <w:rPr>
          <w:rFonts w:ascii="Garamond" w:hAnsi="Garamond"/>
          <w:spacing w:val="-4"/>
          <w:szCs w:val="24"/>
          <w:lang w:val="sq-AL"/>
        </w:rPr>
        <w:t>ë</w:t>
      </w:r>
      <w:r w:rsidR="00B9612D" w:rsidRPr="000551D3">
        <w:rPr>
          <w:rFonts w:ascii="Garamond" w:hAnsi="Garamond"/>
          <w:spacing w:val="-4"/>
          <w:szCs w:val="24"/>
          <w:lang w:val="sq-AL"/>
        </w:rPr>
        <w:t>mit monetar mbi raportin e ekspertëve, i cili morri në konsideratë zhvillimin e pronës, vlerën e tregut të hapur, një analizë të vlerave të shitjeve dhe të qirave për prona të ngjashme dhe një krahasim të çmimeve të shitjeve</w:t>
      </w:r>
      <w:r w:rsidR="00577774" w:rsidRPr="000551D3">
        <w:rPr>
          <w:rFonts w:ascii="Garamond" w:hAnsi="Garamond"/>
          <w:spacing w:val="-4"/>
          <w:szCs w:val="24"/>
          <w:lang w:val="sq-AL"/>
        </w:rPr>
        <w:t xml:space="preserve"> me prona të ngjashme në të </w:t>
      </w:r>
      <w:r w:rsidR="00B9612D" w:rsidRPr="000551D3">
        <w:rPr>
          <w:rFonts w:ascii="Garamond" w:hAnsi="Garamond"/>
          <w:spacing w:val="-4"/>
          <w:szCs w:val="24"/>
          <w:lang w:val="sq-AL"/>
        </w:rPr>
        <w:t>njëjtën fushë, Gjykata arrin në përfundimin se kërkuesve iu duhet akorduar shuma e kompensimit sipas vendimit të Gjykatës së Apelit, më konkretisht EUR 1,155 për metër katror</w:t>
      </w:r>
      <w:r w:rsidR="009D5C2B" w:rsidRPr="000551D3">
        <w:rPr>
          <w:rFonts w:ascii="Garamond" w:hAnsi="Garamond"/>
          <w:spacing w:val="-4"/>
          <w:szCs w:val="24"/>
          <w:lang w:val="sq-AL"/>
        </w:rPr>
        <w:t>ë</w:t>
      </w:r>
      <w:r w:rsidR="00B9612D" w:rsidRPr="000551D3">
        <w:rPr>
          <w:rFonts w:ascii="Garamond" w:hAnsi="Garamond"/>
          <w:spacing w:val="-4"/>
          <w:szCs w:val="24"/>
          <w:lang w:val="sq-AL"/>
        </w:rPr>
        <w:t xml:space="preserve"> për apartamentet dhe EUR 2,000 për metër katror për mjediset e biznesit (shih </w:t>
      </w:r>
      <w:r w:rsidR="00B9612D" w:rsidRPr="000551D3">
        <w:rPr>
          <w:rFonts w:ascii="Garamond" w:hAnsi="Garamond"/>
          <w:i/>
          <w:spacing w:val="-4"/>
          <w:szCs w:val="24"/>
          <w:lang w:val="sq-AL"/>
        </w:rPr>
        <w:t>Guiso Gallisay</w:t>
      </w:r>
      <w:r w:rsidR="00B9612D" w:rsidRPr="000551D3">
        <w:rPr>
          <w:rFonts w:ascii="Garamond" w:hAnsi="Garamond"/>
          <w:spacing w:val="-4"/>
          <w:szCs w:val="24"/>
          <w:lang w:val="sq-AL"/>
        </w:rPr>
        <w:t>, cituar më sipër,</w:t>
      </w:r>
      <w:r w:rsidR="009B65F2" w:rsidRPr="000551D3">
        <w:rPr>
          <w:rFonts w:ascii="Garamond" w:hAnsi="Garamond"/>
          <w:spacing w:val="-4"/>
          <w:szCs w:val="24"/>
          <w:lang w:val="sq-AL"/>
        </w:rPr>
        <w:t xml:space="preserve"> </w:t>
      </w:r>
      <w:r w:rsidR="008B2E1D" w:rsidRPr="000551D3">
        <w:rPr>
          <w:rFonts w:ascii="Garamond" w:hAnsi="Garamond"/>
          <w:spacing w:val="-4"/>
          <w:szCs w:val="24"/>
          <w:lang w:val="sq-AL"/>
        </w:rPr>
        <w:t>§</w:t>
      </w:r>
      <w:r w:rsidR="00B9612D" w:rsidRPr="000551D3">
        <w:rPr>
          <w:rFonts w:ascii="Garamond" w:hAnsi="Garamond"/>
          <w:spacing w:val="-4"/>
          <w:szCs w:val="24"/>
          <w:lang w:val="sq-AL"/>
        </w:rPr>
        <w:t>105, dhe paragrafët 38 dhe 41 më sipër). Më tej</w:t>
      </w:r>
      <w:r w:rsidR="00D759E1" w:rsidRPr="000551D3">
        <w:rPr>
          <w:rFonts w:ascii="Garamond" w:hAnsi="Garamond"/>
          <w:spacing w:val="-4"/>
          <w:szCs w:val="24"/>
          <w:lang w:val="sq-AL"/>
        </w:rPr>
        <w:t>,</w:t>
      </w:r>
      <w:r w:rsidR="00B9612D" w:rsidRPr="000551D3">
        <w:rPr>
          <w:rFonts w:ascii="Garamond" w:hAnsi="Garamond"/>
          <w:spacing w:val="-4"/>
          <w:szCs w:val="24"/>
          <w:lang w:val="sq-AL"/>
        </w:rPr>
        <w:t xml:space="preserve"> Gjykata vëren se interesi duhet të paguhet mbi këtë shumë që të kompensohet, të pa</w:t>
      </w:r>
      <w:r w:rsidR="005B203A" w:rsidRPr="000551D3">
        <w:rPr>
          <w:rFonts w:ascii="Garamond" w:hAnsi="Garamond"/>
          <w:spacing w:val="-4"/>
          <w:szCs w:val="24"/>
          <w:lang w:val="sq-AL"/>
        </w:rPr>
        <w:t>ktën pjesërisht, periudha katër</w:t>
      </w:r>
      <w:r w:rsidR="00B9612D" w:rsidRPr="000551D3">
        <w:rPr>
          <w:rFonts w:ascii="Garamond" w:hAnsi="Garamond"/>
          <w:spacing w:val="-4"/>
          <w:szCs w:val="24"/>
          <w:lang w:val="sq-AL"/>
        </w:rPr>
        <w:t>vjeçare gjatë së cilës kërkuesve iu privua toka. Sipas mendim</w:t>
      </w:r>
      <w:r w:rsidR="00D759E1" w:rsidRPr="000551D3">
        <w:rPr>
          <w:rFonts w:ascii="Garamond" w:hAnsi="Garamond"/>
          <w:spacing w:val="-4"/>
          <w:szCs w:val="24"/>
          <w:lang w:val="sq-AL"/>
        </w:rPr>
        <w:t xml:space="preserve">it të Gjykatës, interesi duhet </w:t>
      </w:r>
      <w:r w:rsidR="00B9612D" w:rsidRPr="000551D3">
        <w:rPr>
          <w:rFonts w:ascii="Garamond" w:hAnsi="Garamond"/>
          <w:spacing w:val="-4"/>
          <w:szCs w:val="24"/>
          <w:lang w:val="sq-AL"/>
        </w:rPr>
        <w:t>t</w:t>
      </w:r>
      <w:r w:rsidR="00D759E1" w:rsidRPr="000551D3">
        <w:rPr>
          <w:rFonts w:ascii="Garamond" w:hAnsi="Garamond"/>
          <w:spacing w:val="-4"/>
          <w:szCs w:val="24"/>
          <w:lang w:val="sq-AL"/>
        </w:rPr>
        <w:t>ë</w:t>
      </w:r>
      <w:r w:rsidR="00B9612D" w:rsidRPr="000551D3">
        <w:rPr>
          <w:rFonts w:ascii="Garamond" w:hAnsi="Garamond"/>
          <w:spacing w:val="-4"/>
          <w:szCs w:val="24"/>
          <w:lang w:val="sq-AL"/>
        </w:rPr>
        <w:t xml:space="preserve"> marr</w:t>
      </w:r>
      <w:r w:rsidR="00D759E1" w:rsidRPr="000551D3">
        <w:rPr>
          <w:rFonts w:ascii="Garamond" w:hAnsi="Garamond"/>
          <w:spacing w:val="-4"/>
          <w:szCs w:val="24"/>
          <w:lang w:val="sq-AL"/>
        </w:rPr>
        <w:t>ë</w:t>
      </w:r>
      <w:r w:rsidR="00B9612D" w:rsidRPr="000551D3">
        <w:rPr>
          <w:rFonts w:ascii="Garamond" w:hAnsi="Garamond"/>
          <w:spacing w:val="-4"/>
          <w:szCs w:val="24"/>
          <w:lang w:val="sq-AL"/>
        </w:rPr>
        <w:t xml:space="preserve"> formën e interesit të thjeshtë statusor bazuar normat e interesit të Bankës Qendrore </w:t>
      </w:r>
      <w:r w:rsidR="009B65F2" w:rsidRPr="000551D3">
        <w:rPr>
          <w:rFonts w:ascii="Garamond" w:hAnsi="Garamond"/>
          <w:spacing w:val="-4"/>
          <w:szCs w:val="24"/>
          <w:lang w:val="sq-AL"/>
        </w:rPr>
        <w:t>Evropiane</w:t>
      </w:r>
      <w:r w:rsidR="00B9612D" w:rsidRPr="000551D3">
        <w:rPr>
          <w:rFonts w:ascii="Garamond" w:hAnsi="Garamond"/>
          <w:spacing w:val="-4"/>
          <w:szCs w:val="24"/>
          <w:lang w:val="sq-AL"/>
        </w:rPr>
        <w:t>. Për sa më sipër, Gjykata i</w:t>
      </w:r>
      <w:r w:rsidR="005E7954" w:rsidRPr="000551D3">
        <w:rPr>
          <w:rFonts w:ascii="Garamond" w:hAnsi="Garamond"/>
          <w:spacing w:val="-4"/>
          <w:szCs w:val="24"/>
          <w:lang w:val="sq-AL"/>
        </w:rPr>
        <w:t>u</w:t>
      </w:r>
      <w:r w:rsidR="00B9612D" w:rsidRPr="000551D3">
        <w:rPr>
          <w:rFonts w:ascii="Garamond" w:hAnsi="Garamond"/>
          <w:spacing w:val="-4"/>
          <w:szCs w:val="24"/>
          <w:lang w:val="sq-AL"/>
        </w:rPr>
        <w:t xml:space="preserve"> akordon kërkuesve së bashku, EUR 13,098,600. Kompensimi duhet të paguhet në të njëjtën mënyrë, sipas parashikimit në vendimin e datës 23 shtator 2014, që do të thotë në bazë të përmasës së secilës pronë të kërkuesit dhe në një shumë të vetme në total (shih paragrafin 41 më sipër).</w:t>
      </w:r>
      <w:r w:rsidR="00E91B0C" w:rsidRPr="000551D3">
        <w:rPr>
          <w:rFonts w:ascii="Garamond" w:hAnsi="Garamond"/>
          <w:spacing w:val="-4"/>
          <w:szCs w:val="24"/>
          <w:lang w:val="sq-AL"/>
        </w:rPr>
        <w:t xml:space="preserve"> </w:t>
      </w:r>
    </w:p>
    <w:p w:rsidR="00B9612D" w:rsidRPr="000551D3" w:rsidRDefault="00B9612D" w:rsidP="00B9612D">
      <w:pPr>
        <w:pStyle w:val="JuPara"/>
        <w:widowControl w:val="0"/>
        <w:rPr>
          <w:rFonts w:ascii="Garamond" w:hAnsi="Garamond"/>
          <w:spacing w:val="-4"/>
          <w:szCs w:val="24"/>
          <w:lang w:val="sq-AL"/>
        </w:rPr>
      </w:pPr>
      <w:r w:rsidRPr="000551D3">
        <w:rPr>
          <w:rFonts w:ascii="Garamond" w:hAnsi="Garamond"/>
          <w:spacing w:val="-4"/>
          <w:szCs w:val="24"/>
          <w:lang w:val="sq-AL"/>
        </w:rPr>
        <w:t xml:space="preserve">199. Gjykata vendos </w:t>
      </w:r>
      <w:r w:rsidR="005E7954" w:rsidRPr="000551D3">
        <w:rPr>
          <w:rFonts w:ascii="Garamond" w:hAnsi="Garamond"/>
          <w:spacing w:val="-4"/>
          <w:szCs w:val="24"/>
          <w:lang w:val="sq-AL"/>
        </w:rPr>
        <w:t>s</w:t>
      </w:r>
      <w:r w:rsidRPr="000551D3">
        <w:rPr>
          <w:rFonts w:ascii="Garamond" w:hAnsi="Garamond"/>
          <w:spacing w:val="-4"/>
          <w:szCs w:val="24"/>
          <w:lang w:val="sq-AL"/>
        </w:rPr>
        <w:t>e ankesa e kërkuesve për humbjen e mundësive duhet të kundërshtohet. Kërkuesit nuk e përpunuan këtë kërkesë dhe nuk specifikuan se çfarë lloj mundësish</w:t>
      </w:r>
      <w:r w:rsidR="00B15CDC" w:rsidRPr="000551D3">
        <w:rPr>
          <w:rFonts w:ascii="Garamond" w:hAnsi="Garamond"/>
          <w:spacing w:val="-4"/>
          <w:szCs w:val="24"/>
          <w:lang w:val="sq-AL"/>
        </w:rPr>
        <w:t>ë</w:t>
      </w:r>
      <w:r w:rsidRPr="000551D3">
        <w:rPr>
          <w:rFonts w:ascii="Garamond" w:hAnsi="Garamond"/>
          <w:spacing w:val="-4"/>
          <w:szCs w:val="24"/>
          <w:lang w:val="sq-AL"/>
        </w:rPr>
        <w:t xml:space="preserve"> pretendonin të kishin humbur. </w:t>
      </w:r>
    </w:p>
    <w:p w:rsidR="00B9612D" w:rsidRPr="000551D3" w:rsidRDefault="00B9612D" w:rsidP="00B9612D">
      <w:pPr>
        <w:pStyle w:val="JuPara"/>
        <w:widowControl w:val="0"/>
        <w:rPr>
          <w:rFonts w:ascii="Garamond" w:hAnsi="Garamond"/>
          <w:spacing w:val="-4"/>
          <w:szCs w:val="24"/>
          <w:lang w:val="sq-AL"/>
        </w:rPr>
      </w:pPr>
      <w:r w:rsidRPr="000551D3">
        <w:rPr>
          <w:rFonts w:ascii="Garamond" w:hAnsi="Garamond"/>
          <w:spacing w:val="-4"/>
          <w:szCs w:val="24"/>
          <w:lang w:val="sq-AL"/>
        </w:rPr>
        <w:t>200. Në lidhje me pagesën e kompensimit, për humbjen e pasurive të luajtshme, Gjykata vëren se kërkuesit paraqitën fotografi të apartamenteve të tyre të mobiluar</w:t>
      </w:r>
      <w:r w:rsidR="00116E35" w:rsidRPr="000551D3">
        <w:rPr>
          <w:rFonts w:ascii="Garamond" w:hAnsi="Garamond"/>
          <w:spacing w:val="-4"/>
          <w:szCs w:val="24"/>
          <w:lang w:val="sq-AL"/>
        </w:rPr>
        <w:t>a</w:t>
      </w:r>
      <w:r w:rsidRPr="000551D3">
        <w:rPr>
          <w:rFonts w:ascii="Garamond" w:hAnsi="Garamond"/>
          <w:spacing w:val="-4"/>
          <w:szCs w:val="24"/>
          <w:lang w:val="sq-AL"/>
        </w:rPr>
        <w:t>, pa specifikuar se kujt i përkiste prona e luajtshme. Megjithatë, Gjykata vëren se është e padiskutueshme se disa prej apartamenteve ishin të mobiluar</w:t>
      </w:r>
      <w:r w:rsidR="00116E35" w:rsidRPr="000551D3">
        <w:rPr>
          <w:rFonts w:ascii="Garamond" w:hAnsi="Garamond"/>
          <w:spacing w:val="-4"/>
          <w:szCs w:val="24"/>
          <w:lang w:val="sq-AL"/>
        </w:rPr>
        <w:t>a</w:t>
      </w:r>
      <w:r w:rsidRPr="000551D3">
        <w:rPr>
          <w:rFonts w:ascii="Garamond" w:hAnsi="Garamond"/>
          <w:spacing w:val="-4"/>
          <w:szCs w:val="24"/>
          <w:lang w:val="sq-AL"/>
        </w:rPr>
        <w:t xml:space="preserve">. Për më tepër, ditën kur kërkuesve iu tha të hiqnin pasuritë e tyre të luajtshme, autoritetet kishin vijuar me shembjen e godinës (shih paragrafin 51 më sipër). Gjithashtu, Gjykata vëren se kërkuesit mësuan për shpronësimin vetëm më 3 dhjetor 2013, ndërkohë që shembja filloi në ditën në vijim. Nën këto rrethana, duke pasur parasysh kohën e shkurtër në të cilën ishin realizuar procedimet, Gjykata arrin në përfundimin se kishte qenë e pamundur për kërkuesit të paraqisnin përpara Gjykatës të dhëna të detajuara të dokumentuara. Për të gjitha argumentet e mësipërme, Gjykata e konsideron më të përshtatshme të ketë parasysh këtë fakt teksa shqyrton kërkesën e ankuesve për dëm jomonetar. </w:t>
      </w:r>
    </w:p>
    <w:p w:rsidR="00B9612D" w:rsidRPr="000551D3" w:rsidRDefault="00B9612D" w:rsidP="00B9612D">
      <w:pPr>
        <w:pStyle w:val="JuPara"/>
        <w:widowControl w:val="0"/>
        <w:rPr>
          <w:rFonts w:ascii="Garamond" w:hAnsi="Garamond"/>
          <w:spacing w:val="-4"/>
          <w:szCs w:val="24"/>
          <w:lang w:val="sq-AL"/>
        </w:rPr>
      </w:pPr>
      <w:r w:rsidRPr="000551D3">
        <w:rPr>
          <w:rFonts w:ascii="Garamond" w:hAnsi="Garamond"/>
          <w:spacing w:val="-4"/>
          <w:szCs w:val="24"/>
          <w:lang w:val="sq-AL"/>
        </w:rPr>
        <w:t>201. Në lidhje me kërkesat e ankuesve të parë dhe të dytë për huan e marrë në bankën e tyre, Gjykata nuk dallon ndonjë lidhje rastësore midis shkeljes së konstatuar dhe dëmit monetar të pretenduar; për këtë arsye e rrëzon kërkesën.</w:t>
      </w:r>
      <w:r w:rsidR="00E91B0C" w:rsidRPr="000551D3">
        <w:rPr>
          <w:rFonts w:ascii="Garamond" w:hAnsi="Garamond"/>
          <w:spacing w:val="-4"/>
          <w:szCs w:val="24"/>
          <w:lang w:val="sq-AL"/>
        </w:rPr>
        <w:t xml:space="preserve"> </w:t>
      </w:r>
    </w:p>
    <w:p w:rsidR="00B9612D" w:rsidRPr="000551D3" w:rsidRDefault="00B9612D" w:rsidP="00B9612D">
      <w:pPr>
        <w:pStyle w:val="ECHRHeading3"/>
        <w:keepNext w:val="0"/>
        <w:keepLines w:val="0"/>
        <w:widowControl w:val="0"/>
        <w:spacing w:before="0" w:after="0"/>
        <w:ind w:left="0" w:firstLine="284"/>
        <w:rPr>
          <w:rFonts w:ascii="Garamond" w:hAnsi="Garamond"/>
          <w:spacing w:val="-4"/>
          <w:szCs w:val="24"/>
          <w:lang w:val="sq-AL"/>
        </w:rPr>
      </w:pPr>
      <w:bookmarkStart w:id="69" w:name="_Toc520459369"/>
      <w:r w:rsidRPr="000551D3">
        <w:rPr>
          <w:rFonts w:ascii="Garamond" w:hAnsi="Garamond"/>
          <w:spacing w:val="-4"/>
          <w:szCs w:val="24"/>
          <w:lang w:val="sq-AL"/>
        </w:rPr>
        <w:t>2.</w:t>
      </w:r>
      <w:r w:rsidR="00E91B0C" w:rsidRPr="000551D3">
        <w:rPr>
          <w:rFonts w:ascii="Garamond" w:hAnsi="Garamond"/>
          <w:spacing w:val="-4"/>
          <w:szCs w:val="24"/>
          <w:lang w:val="sq-AL"/>
        </w:rPr>
        <w:t xml:space="preserve"> </w:t>
      </w:r>
      <w:r w:rsidR="00A3281A" w:rsidRPr="000551D3">
        <w:rPr>
          <w:rFonts w:ascii="Garamond" w:hAnsi="Garamond"/>
          <w:spacing w:val="-4"/>
          <w:szCs w:val="24"/>
          <w:lang w:val="sq-AL"/>
        </w:rPr>
        <w:t>Dëmi jo</w:t>
      </w:r>
      <w:r w:rsidRPr="000551D3">
        <w:rPr>
          <w:rFonts w:ascii="Garamond" w:hAnsi="Garamond"/>
          <w:spacing w:val="-4"/>
          <w:szCs w:val="24"/>
          <w:lang w:val="sq-AL"/>
        </w:rPr>
        <w:t>monetar</w:t>
      </w:r>
      <w:bookmarkEnd w:id="69"/>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202</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Gjithashtu, ankuesit kërkuan EUR 100,000 secili për dëmin jomonetar, duke pretenduar se veprimet e autoriteteve </w:t>
      </w:r>
      <w:r w:rsidR="00116E35" w:rsidRPr="000551D3">
        <w:rPr>
          <w:rFonts w:ascii="Garamond" w:hAnsi="Garamond"/>
          <w:spacing w:val="-4"/>
          <w:szCs w:val="24"/>
          <w:lang w:val="sq-AL"/>
        </w:rPr>
        <w:t>u</w:t>
      </w:r>
      <w:r w:rsidR="00B9612D" w:rsidRPr="000551D3">
        <w:rPr>
          <w:rFonts w:ascii="Garamond" w:hAnsi="Garamond"/>
          <w:spacing w:val="-4"/>
          <w:szCs w:val="24"/>
          <w:lang w:val="sq-AL"/>
        </w:rPr>
        <w:t xml:space="preserve"> kishin shkaktuar atyre vuajtje morale serioze. Ata parashtruan se një sërë faktorësh duhej të merreshin në konsideratë, të tillë si</w:t>
      </w:r>
      <w:r w:rsidR="00116E35" w:rsidRPr="000551D3">
        <w:rPr>
          <w:rFonts w:ascii="Garamond" w:hAnsi="Garamond"/>
          <w:spacing w:val="-4"/>
          <w:szCs w:val="24"/>
          <w:lang w:val="sq-AL"/>
        </w:rPr>
        <w:t>:</w:t>
      </w:r>
      <w:r w:rsidR="00B9612D" w:rsidRPr="000551D3">
        <w:rPr>
          <w:rFonts w:ascii="Garamond" w:hAnsi="Garamond"/>
          <w:spacing w:val="-4"/>
          <w:szCs w:val="24"/>
          <w:lang w:val="sq-AL"/>
        </w:rPr>
        <w:t xml:space="preserve"> irritomi dhe ankthi</w:t>
      </w:r>
      <w:r w:rsidR="00AB4AFD" w:rsidRPr="000551D3">
        <w:rPr>
          <w:rFonts w:ascii="Garamond" w:hAnsi="Garamond"/>
          <w:spacing w:val="-4"/>
          <w:szCs w:val="24"/>
          <w:lang w:val="sq-AL"/>
        </w:rPr>
        <w:t>,</w:t>
      </w:r>
      <w:r w:rsidR="00B9612D" w:rsidRPr="000551D3">
        <w:rPr>
          <w:rFonts w:ascii="Garamond" w:hAnsi="Garamond"/>
          <w:spacing w:val="-4"/>
          <w:szCs w:val="24"/>
          <w:lang w:val="sq-AL"/>
        </w:rPr>
        <w:t xml:space="preserve"> që buronin nga fakti i të qenit dëshmitarë të pafuqishëm në abuzimet e kryera nga autoritetet shqiptare dhe nga pamundësia për të parandaluar shembjen e paligjshme të pronave të tyre, si edhe gjendja e tejzgjatur e ankthit të shkaktuar nga mosdijenia nëse do të mund të merrnin ndonjëherë ndonjë kompensim. Gjithashtu, ata e kthyen vëmendjen te kërkuesit e parë dhe të dytë, të cilët kishin qenë investitorët në Rezidencën Jon dhe kishin qenë të detyruara ta mbyllnin kompaninë e tyre në fund të vitit 2015.</w:t>
      </w:r>
      <w:r w:rsidR="00E91B0C" w:rsidRPr="000551D3">
        <w:rPr>
          <w:rFonts w:ascii="Garamond" w:hAnsi="Garamond"/>
          <w:spacing w:val="-4"/>
          <w:szCs w:val="24"/>
          <w:lang w:val="sq-AL"/>
        </w:rPr>
        <w:t xml:space="preserve"> </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203</w:t>
      </w:r>
      <w:r w:rsidR="00B9612D" w:rsidRPr="000551D3">
        <w:rPr>
          <w:rFonts w:ascii="Garamond" w:hAnsi="Garamond"/>
          <w:spacing w:val="-4"/>
          <w:szCs w:val="24"/>
          <w:lang w:val="sq-AL"/>
        </w:rPr>
        <w:t xml:space="preserve">. Qeveria </w:t>
      </w:r>
      <w:r w:rsidR="00EB6F22" w:rsidRPr="000551D3">
        <w:rPr>
          <w:rFonts w:ascii="Garamond" w:hAnsi="Garamond"/>
          <w:spacing w:val="-4"/>
          <w:szCs w:val="24"/>
          <w:lang w:val="sq-AL"/>
        </w:rPr>
        <w:t>u</w:t>
      </w:r>
      <w:r w:rsidR="00B9612D" w:rsidRPr="000551D3">
        <w:rPr>
          <w:rFonts w:ascii="Garamond" w:hAnsi="Garamond"/>
          <w:spacing w:val="-4"/>
          <w:szCs w:val="24"/>
          <w:lang w:val="sq-AL"/>
        </w:rPr>
        <w:t xml:space="preserve"> parashtroi argumentet e tyre si të pabazuara në fakte dhe të dhëna. Kërkuesit nuk paraqitën ndonjë të dhënë, qoftë të drejtpërdrejtë ose jo të drejtpërdrejtë për të provuar se kishin vuajtur dëme ndaj biznesit ose shëndetit mendor. Kërkuesit po ashtu nuk kishin mundur të shfrytëzonin mjetet e brendshme dhe kishin abuzuar me të drejtën e tyre për t’u ankuar. </w:t>
      </w:r>
    </w:p>
    <w:p w:rsidR="00B9612D" w:rsidRPr="000551D3" w:rsidRDefault="00B9612D" w:rsidP="00B9612D">
      <w:pPr>
        <w:pStyle w:val="JuPara"/>
        <w:widowControl w:val="0"/>
        <w:rPr>
          <w:rFonts w:ascii="Garamond" w:hAnsi="Garamond"/>
          <w:spacing w:val="-4"/>
          <w:szCs w:val="24"/>
          <w:lang w:val="sq-AL"/>
        </w:rPr>
      </w:pPr>
      <w:r w:rsidRPr="000551D3">
        <w:rPr>
          <w:rFonts w:ascii="Garamond" w:hAnsi="Garamond"/>
          <w:spacing w:val="-4"/>
          <w:szCs w:val="24"/>
          <w:lang w:val="sq-AL"/>
        </w:rPr>
        <w:t>204. Gjykata rrëzon</w:t>
      </w:r>
      <w:r w:rsidR="00E91B0C" w:rsidRPr="000551D3">
        <w:rPr>
          <w:rFonts w:ascii="Garamond" w:hAnsi="Garamond"/>
          <w:spacing w:val="-4"/>
          <w:szCs w:val="24"/>
          <w:lang w:val="sq-AL"/>
        </w:rPr>
        <w:t xml:space="preserve"> </w:t>
      </w:r>
      <w:r w:rsidRPr="000551D3">
        <w:rPr>
          <w:rFonts w:ascii="Garamond" w:hAnsi="Garamond"/>
          <w:spacing w:val="-4"/>
          <w:szCs w:val="24"/>
          <w:lang w:val="sq-AL"/>
        </w:rPr>
        <w:t xml:space="preserve">kundërshtimin e </w:t>
      </w:r>
      <w:r w:rsidR="0018461E" w:rsidRPr="000551D3">
        <w:rPr>
          <w:rFonts w:ascii="Garamond" w:hAnsi="Garamond"/>
          <w:spacing w:val="-4"/>
          <w:szCs w:val="24"/>
          <w:lang w:val="sq-AL"/>
        </w:rPr>
        <w:t xml:space="preserve">qeverisë </w:t>
      </w:r>
      <w:r w:rsidRPr="000551D3">
        <w:rPr>
          <w:rFonts w:ascii="Garamond" w:hAnsi="Garamond"/>
          <w:spacing w:val="-4"/>
          <w:szCs w:val="24"/>
          <w:lang w:val="sq-AL"/>
        </w:rPr>
        <w:t>për mosshfrytëzimin e mjeteve të brendshme (shih paragrafin 194 më sipër). Edhe pse Gjykata nuk i ka pranuar kërkesat në tërësi, ajo pranon se kërkuesit kanë vuajtur dëm jomonetar, i cili nuk mund të kompensohet vetëm me gjetjet e shkeljeve. Sipas kësaj arsyeje, duke bërë përllogaritjet e saj mbi bazën e barazisë, Gjykata i akordon secilit prej kërkuesve nr. 3</w:t>
      </w:r>
      <w:r w:rsidR="005B203A" w:rsidRPr="000551D3">
        <w:rPr>
          <w:rFonts w:ascii="Garamond" w:hAnsi="Garamond"/>
          <w:spacing w:val="-4"/>
          <w:szCs w:val="24"/>
          <w:lang w:val="sq-AL"/>
        </w:rPr>
        <w:t>–</w:t>
      </w:r>
      <w:r w:rsidRPr="000551D3">
        <w:rPr>
          <w:rFonts w:ascii="Garamond" w:hAnsi="Garamond"/>
          <w:spacing w:val="-4"/>
          <w:szCs w:val="24"/>
          <w:lang w:val="sq-AL"/>
        </w:rPr>
        <w:t xml:space="preserve">19, në shtojcë EUR 13,000 për dëmin jomonetar, për vuajtjen dhe ankthin e përjetuar si rezultat i shkeljeve sipas </w:t>
      </w:r>
      <w:r w:rsidR="001073BE" w:rsidRPr="000551D3">
        <w:rPr>
          <w:rFonts w:ascii="Garamond" w:hAnsi="Garamond"/>
          <w:spacing w:val="-4"/>
          <w:szCs w:val="24"/>
          <w:lang w:val="sq-AL"/>
        </w:rPr>
        <w:t>n</w:t>
      </w:r>
      <w:r w:rsidRPr="000551D3">
        <w:rPr>
          <w:rFonts w:ascii="Garamond" w:hAnsi="Garamond"/>
          <w:spacing w:val="-4"/>
          <w:szCs w:val="24"/>
          <w:lang w:val="sq-AL"/>
        </w:rPr>
        <w:t>enit 6</w:t>
      </w:r>
      <w:r w:rsidR="008B2E1D" w:rsidRPr="000551D3">
        <w:rPr>
          <w:rFonts w:ascii="Garamond" w:hAnsi="Garamond"/>
          <w:spacing w:val="-4"/>
          <w:szCs w:val="24"/>
          <w:lang w:val="sq-AL"/>
        </w:rPr>
        <w:t>§</w:t>
      </w:r>
      <w:r w:rsidRPr="000551D3">
        <w:rPr>
          <w:rFonts w:ascii="Garamond" w:hAnsi="Garamond"/>
          <w:spacing w:val="-4"/>
          <w:szCs w:val="24"/>
          <w:lang w:val="sq-AL"/>
        </w:rPr>
        <w:t xml:space="preserve">1, </w:t>
      </w:r>
      <w:r w:rsidR="001073BE" w:rsidRPr="000551D3">
        <w:rPr>
          <w:rFonts w:ascii="Garamond" w:hAnsi="Garamond"/>
          <w:spacing w:val="-4"/>
          <w:szCs w:val="24"/>
          <w:lang w:val="sq-AL"/>
        </w:rPr>
        <w:t>n</w:t>
      </w:r>
      <w:r w:rsidRPr="000551D3">
        <w:rPr>
          <w:rFonts w:ascii="Garamond" w:hAnsi="Garamond"/>
          <w:spacing w:val="-4"/>
          <w:szCs w:val="24"/>
          <w:lang w:val="sq-AL"/>
        </w:rPr>
        <w:t xml:space="preserve">enit 8 dhe </w:t>
      </w:r>
      <w:r w:rsidR="001073BE" w:rsidRPr="000551D3">
        <w:rPr>
          <w:rFonts w:ascii="Garamond" w:hAnsi="Garamond"/>
          <w:spacing w:val="-4"/>
          <w:szCs w:val="24"/>
          <w:lang w:val="sq-AL"/>
        </w:rPr>
        <w:t>n</w:t>
      </w:r>
      <w:r w:rsidRPr="000551D3">
        <w:rPr>
          <w:rFonts w:ascii="Garamond" w:hAnsi="Garamond"/>
          <w:spacing w:val="-4"/>
          <w:szCs w:val="24"/>
          <w:lang w:val="sq-AL"/>
        </w:rPr>
        <w:t xml:space="preserve">enit 1 të </w:t>
      </w:r>
      <w:r w:rsidR="001073BE" w:rsidRPr="000551D3">
        <w:rPr>
          <w:rFonts w:ascii="Garamond" w:hAnsi="Garamond"/>
          <w:spacing w:val="-4"/>
          <w:szCs w:val="24"/>
          <w:lang w:val="sq-AL"/>
        </w:rPr>
        <w:t>protokollit nr</w:t>
      </w:r>
      <w:r w:rsidRPr="000551D3">
        <w:rPr>
          <w:rFonts w:ascii="Garamond" w:hAnsi="Garamond"/>
          <w:spacing w:val="-4"/>
          <w:szCs w:val="24"/>
          <w:lang w:val="sq-AL"/>
        </w:rPr>
        <w:t>. 1 të Konventës.</w:t>
      </w:r>
      <w:r w:rsidR="00982FA0">
        <w:rPr>
          <w:rFonts w:ascii="Garamond" w:hAnsi="Garamond"/>
          <w:spacing w:val="-4"/>
          <w:szCs w:val="24"/>
          <w:lang w:val="sq-AL"/>
        </w:rPr>
        <w:t xml:space="preserve"> </w:t>
      </w:r>
      <w:r w:rsidRPr="000551D3">
        <w:rPr>
          <w:rFonts w:ascii="Garamond" w:hAnsi="Garamond"/>
          <w:spacing w:val="-4"/>
          <w:szCs w:val="24"/>
          <w:lang w:val="sq-AL"/>
        </w:rPr>
        <w:t xml:space="preserve">Gjithashtu, duke bërë përllogaritjet në bazë barazie, Gjykata i akordon secilit prej ankuesve të parë dhe të dytë, EUR 7,800 për dëm jomonetar për vuajtjen dhe ankthin e kaluar si rezultat i shkeljeve sipas </w:t>
      </w:r>
      <w:r w:rsidR="001073BE" w:rsidRPr="000551D3">
        <w:rPr>
          <w:rFonts w:ascii="Garamond" w:hAnsi="Garamond"/>
          <w:spacing w:val="-4"/>
          <w:szCs w:val="24"/>
          <w:lang w:val="sq-AL"/>
        </w:rPr>
        <w:t>n</w:t>
      </w:r>
      <w:r w:rsidRPr="000551D3">
        <w:rPr>
          <w:rFonts w:ascii="Garamond" w:hAnsi="Garamond"/>
          <w:spacing w:val="-4"/>
          <w:szCs w:val="24"/>
          <w:lang w:val="sq-AL"/>
        </w:rPr>
        <w:t>enit 6</w:t>
      </w:r>
      <w:r w:rsidR="008B2E1D" w:rsidRPr="000551D3">
        <w:rPr>
          <w:rFonts w:ascii="Garamond" w:hAnsi="Garamond"/>
          <w:spacing w:val="-4"/>
          <w:szCs w:val="24"/>
          <w:lang w:val="sq-AL"/>
        </w:rPr>
        <w:t>§</w:t>
      </w:r>
      <w:r w:rsidRPr="000551D3">
        <w:rPr>
          <w:rFonts w:ascii="Garamond" w:hAnsi="Garamond"/>
          <w:spacing w:val="-4"/>
          <w:szCs w:val="24"/>
          <w:lang w:val="sq-AL"/>
        </w:rPr>
        <w:t xml:space="preserve">1 dhe </w:t>
      </w:r>
      <w:r w:rsidR="001073BE" w:rsidRPr="000551D3">
        <w:rPr>
          <w:rFonts w:ascii="Garamond" w:hAnsi="Garamond"/>
          <w:spacing w:val="-4"/>
          <w:szCs w:val="24"/>
          <w:lang w:val="sq-AL"/>
        </w:rPr>
        <w:t>n</w:t>
      </w:r>
      <w:r w:rsidRPr="000551D3">
        <w:rPr>
          <w:rFonts w:ascii="Garamond" w:hAnsi="Garamond"/>
          <w:spacing w:val="-4"/>
          <w:szCs w:val="24"/>
          <w:lang w:val="sq-AL"/>
        </w:rPr>
        <w:t xml:space="preserve">enit 1 të </w:t>
      </w:r>
      <w:r w:rsidR="001073BE" w:rsidRPr="000551D3">
        <w:rPr>
          <w:rFonts w:ascii="Garamond" w:hAnsi="Garamond"/>
          <w:spacing w:val="-4"/>
          <w:szCs w:val="24"/>
          <w:lang w:val="sq-AL"/>
        </w:rPr>
        <w:t>protokollit</w:t>
      </w:r>
      <w:r w:rsidRPr="000551D3">
        <w:rPr>
          <w:rFonts w:ascii="Garamond" w:hAnsi="Garamond"/>
          <w:spacing w:val="-4"/>
          <w:szCs w:val="24"/>
          <w:lang w:val="sq-AL"/>
        </w:rPr>
        <w:t xml:space="preserve"> </w:t>
      </w:r>
      <w:r w:rsidR="00A3281A" w:rsidRPr="000551D3">
        <w:rPr>
          <w:rFonts w:ascii="Garamond" w:hAnsi="Garamond"/>
          <w:spacing w:val="-4"/>
          <w:szCs w:val="24"/>
          <w:lang w:val="sq-AL"/>
        </w:rPr>
        <w:t>nr</w:t>
      </w:r>
      <w:r w:rsidRPr="000551D3">
        <w:rPr>
          <w:rFonts w:ascii="Garamond" w:hAnsi="Garamond"/>
          <w:spacing w:val="-4"/>
          <w:szCs w:val="24"/>
          <w:lang w:val="sq-AL"/>
        </w:rPr>
        <w:t>. 1 të Konventës.</w:t>
      </w:r>
    </w:p>
    <w:p w:rsidR="00B9612D" w:rsidRPr="000551D3" w:rsidRDefault="00B9612D" w:rsidP="00B9612D">
      <w:pPr>
        <w:pStyle w:val="ECHRHeading2"/>
        <w:keepNext w:val="0"/>
        <w:keepLines w:val="0"/>
        <w:widowControl w:val="0"/>
        <w:spacing w:before="0" w:after="0"/>
        <w:ind w:left="0" w:firstLine="284"/>
        <w:rPr>
          <w:rFonts w:ascii="Garamond" w:hAnsi="Garamond"/>
          <w:spacing w:val="-4"/>
          <w:szCs w:val="24"/>
          <w:lang w:val="sq-AL"/>
        </w:rPr>
      </w:pPr>
      <w:bookmarkStart w:id="70" w:name="_Toc520459370"/>
      <w:r w:rsidRPr="000551D3">
        <w:rPr>
          <w:rFonts w:ascii="Garamond" w:hAnsi="Garamond"/>
          <w:spacing w:val="-4"/>
          <w:szCs w:val="24"/>
          <w:lang w:val="sq-AL"/>
        </w:rPr>
        <w:t>B.</w:t>
      </w:r>
      <w:r w:rsidR="00E91B0C" w:rsidRPr="000551D3">
        <w:rPr>
          <w:rFonts w:ascii="Garamond" w:hAnsi="Garamond"/>
          <w:spacing w:val="-4"/>
          <w:szCs w:val="24"/>
          <w:lang w:val="sq-AL"/>
        </w:rPr>
        <w:t xml:space="preserve"> </w:t>
      </w:r>
      <w:r w:rsidRPr="000551D3">
        <w:rPr>
          <w:rFonts w:ascii="Garamond" w:hAnsi="Garamond"/>
          <w:spacing w:val="-4"/>
          <w:szCs w:val="24"/>
          <w:lang w:val="sq-AL"/>
        </w:rPr>
        <w:t>Kostot dhe shpenzimet</w:t>
      </w:r>
      <w:bookmarkEnd w:id="70"/>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205</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Kërkuesit parashtruan kërkesat e mëposhtme për kostot dhe shpenzimet: </w:t>
      </w:r>
    </w:p>
    <w:p w:rsidR="00B9612D" w:rsidRPr="000551D3" w:rsidRDefault="00EB6F22" w:rsidP="00EB6F22">
      <w:pPr>
        <w:pStyle w:val="JuPara"/>
        <w:widowControl w:val="0"/>
        <w:suppressAutoHyphens w:val="0"/>
        <w:rPr>
          <w:rFonts w:ascii="Garamond" w:hAnsi="Garamond"/>
          <w:spacing w:val="-4"/>
          <w:szCs w:val="24"/>
          <w:lang w:val="sq-AL"/>
        </w:rPr>
      </w:pPr>
      <w:r w:rsidRPr="000551D3">
        <w:rPr>
          <w:rFonts w:ascii="Garamond" w:hAnsi="Garamond"/>
          <w:spacing w:val="-4"/>
          <w:szCs w:val="24"/>
          <w:lang w:val="sq-AL"/>
        </w:rPr>
        <w:t xml:space="preserve">i. </w:t>
      </w:r>
      <w:r w:rsidR="00B9612D" w:rsidRPr="000551D3">
        <w:rPr>
          <w:rFonts w:ascii="Garamond" w:hAnsi="Garamond"/>
          <w:spacing w:val="-4"/>
          <w:szCs w:val="24"/>
          <w:lang w:val="sq-AL"/>
        </w:rPr>
        <w:t xml:space="preserve">11,409,852.52 lekë për tarifat e gjykatës për fillimin e procedimeve gjyqësore të brendshme për kërkuesin e parë, i cili në emër të të gjithë kërkuesve pagoi tarifat e gjykatës; </w:t>
      </w:r>
    </w:p>
    <w:p w:rsidR="00B9612D" w:rsidRPr="000551D3" w:rsidRDefault="00EB6F22" w:rsidP="00EB6F22">
      <w:pPr>
        <w:pStyle w:val="JuPara"/>
        <w:widowControl w:val="0"/>
        <w:suppressAutoHyphens w:val="0"/>
        <w:rPr>
          <w:rFonts w:ascii="Garamond" w:hAnsi="Garamond"/>
          <w:spacing w:val="-4"/>
          <w:szCs w:val="24"/>
          <w:lang w:val="sq-AL"/>
        </w:rPr>
      </w:pPr>
      <w:r w:rsidRPr="000551D3">
        <w:rPr>
          <w:rFonts w:ascii="Garamond" w:hAnsi="Garamond"/>
          <w:spacing w:val="-4"/>
          <w:szCs w:val="24"/>
          <w:lang w:val="sq-AL"/>
        </w:rPr>
        <w:lastRenderedPageBreak/>
        <w:t xml:space="preserve">ii. </w:t>
      </w:r>
      <w:r w:rsidR="00B9612D" w:rsidRPr="000551D3">
        <w:rPr>
          <w:rFonts w:ascii="Garamond" w:hAnsi="Garamond"/>
          <w:spacing w:val="-4"/>
          <w:szCs w:val="24"/>
          <w:lang w:val="sq-AL"/>
        </w:rPr>
        <w:t xml:space="preserve">9,600 euro për kërkuesit M. Hanxhari, T. Pojani, G. Calliku, M. Mecaj, E. Durolli, B. Rakipaj, P. Rakipaj, A. Deromemaj (1,200 euro secili), për kostot dhe shpenzimet e bëra në nivel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 (pagesa bërë avokatit të tyre në procedime përpara gjykatave </w:t>
      </w:r>
      <w:r w:rsidR="003C06FD" w:rsidRPr="000551D3">
        <w:rPr>
          <w:rFonts w:ascii="Garamond" w:hAnsi="Garamond"/>
          <w:spacing w:val="-4"/>
          <w:szCs w:val="24"/>
          <w:lang w:val="sq-AL"/>
        </w:rPr>
        <w:t>vendës</w:t>
      </w:r>
      <w:r w:rsidR="00B9612D" w:rsidRPr="000551D3">
        <w:rPr>
          <w:rFonts w:ascii="Garamond" w:hAnsi="Garamond"/>
          <w:spacing w:val="-4"/>
          <w:szCs w:val="24"/>
          <w:lang w:val="sq-AL"/>
        </w:rPr>
        <w:t>e);</w:t>
      </w:r>
    </w:p>
    <w:p w:rsidR="00B9612D" w:rsidRPr="000551D3" w:rsidRDefault="00183C3F" w:rsidP="00EB6F22">
      <w:pPr>
        <w:pStyle w:val="JuPara"/>
        <w:widowControl w:val="0"/>
        <w:suppressAutoHyphens w:val="0"/>
        <w:rPr>
          <w:rFonts w:ascii="Garamond" w:hAnsi="Garamond"/>
          <w:spacing w:val="-4"/>
          <w:szCs w:val="24"/>
          <w:lang w:val="sq-AL"/>
        </w:rPr>
      </w:pPr>
      <w:r>
        <w:rPr>
          <w:rFonts w:ascii="Garamond" w:hAnsi="Garamond"/>
          <w:spacing w:val="-4"/>
          <w:szCs w:val="24"/>
          <w:lang w:val="sq-AL"/>
        </w:rPr>
        <w:t>i</w:t>
      </w:r>
      <w:r w:rsidR="00EB6F22" w:rsidRPr="000551D3">
        <w:rPr>
          <w:rFonts w:ascii="Garamond" w:hAnsi="Garamond"/>
          <w:spacing w:val="-4"/>
          <w:szCs w:val="24"/>
          <w:lang w:val="sq-AL"/>
        </w:rPr>
        <w:t xml:space="preserve">ii. </w:t>
      </w:r>
      <w:r w:rsidR="00D91B3C" w:rsidRPr="000551D3">
        <w:rPr>
          <w:rFonts w:ascii="Garamond" w:hAnsi="Garamond"/>
          <w:spacing w:val="-4"/>
          <w:szCs w:val="24"/>
          <w:lang w:val="sq-AL"/>
        </w:rPr>
        <w:t xml:space="preserve">Për </w:t>
      </w:r>
      <w:r w:rsidR="00B9612D" w:rsidRPr="000551D3">
        <w:rPr>
          <w:rFonts w:ascii="Garamond" w:hAnsi="Garamond"/>
          <w:spacing w:val="-4"/>
          <w:szCs w:val="24"/>
          <w:lang w:val="sq-AL"/>
        </w:rPr>
        <w:t>kostot dhe shpenzimet e shkaktuara gjatë procedimeve përpara Gjykatës. Më 3 maj 2017, kërkuesit parashtruan kërkesa shtesë për kostot dhe shpenzimet e shkaktuara në Gjykatë, si më poshtë: 2,582.63</w:t>
      </w:r>
      <w:r w:rsidR="009B65F2" w:rsidRPr="000551D3">
        <w:rPr>
          <w:rFonts w:ascii="Garamond" w:hAnsi="Garamond"/>
          <w:spacing w:val="-4"/>
          <w:szCs w:val="24"/>
          <w:lang w:val="sq-AL"/>
        </w:rPr>
        <w:t xml:space="preserve"> </w:t>
      </w:r>
      <w:r w:rsidR="00B9612D" w:rsidRPr="000551D3">
        <w:rPr>
          <w:rFonts w:ascii="Garamond" w:hAnsi="Garamond"/>
          <w:spacing w:val="-4"/>
          <w:szCs w:val="24"/>
          <w:lang w:val="sq-AL"/>
        </w:rPr>
        <w:t>euro për shpenzimet e avokatit për pjesëmarrjen e tyre në seancën e datës 23 maj 2017 dhe 1,500 euro për përgatitjen e raportit shtesë të ekspertit, të paraqitur më 3 maj 2017.</w:t>
      </w:r>
      <w:r w:rsidR="00E91B0C" w:rsidRPr="000551D3">
        <w:rPr>
          <w:rFonts w:ascii="Garamond" w:hAnsi="Garamond"/>
          <w:spacing w:val="-4"/>
          <w:szCs w:val="24"/>
          <w:lang w:val="sq-AL"/>
        </w:rPr>
        <w:t xml:space="preserve"> </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206</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Qeveria parashtroi që kostot ligjore të procedimeve të brendshme të paguheshin nga pala e humbur në këto procedime, </w:t>
      </w:r>
      <w:r w:rsidR="0039110E" w:rsidRPr="000551D3">
        <w:rPr>
          <w:rFonts w:ascii="Garamond" w:hAnsi="Garamond"/>
          <w:spacing w:val="-4"/>
          <w:szCs w:val="24"/>
          <w:lang w:val="sq-AL"/>
        </w:rPr>
        <w:t xml:space="preserve">shteti </w:t>
      </w:r>
      <w:r w:rsidR="00B9612D" w:rsidRPr="000551D3">
        <w:rPr>
          <w:rFonts w:ascii="Garamond" w:hAnsi="Garamond"/>
          <w:spacing w:val="-4"/>
          <w:szCs w:val="24"/>
          <w:lang w:val="sq-AL"/>
        </w:rPr>
        <w:t xml:space="preserve">shqiptar. Duke qenë se procedimet e brendshme ishin ende pezull, pavarësisht kërkesave të pabazuara dhe abuzive, kërkesat ishin të nxituara përderisa procedimet në Gjykatën e Lartë ishin ende të papërfunduara. Në lidhje me kostot dhe shpenzimet e bëra në Gjykatë, këto ishin të ekzagjeruara, spekulative dhe jo domosdoshmërisht të bëra. Qeveria parashtroi se kërkuesit nuk kishin paraqitur fatura të detajuara, siç parashikohet nga autoritetet e taksave në përputhje me ligjin e brendshëm. </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207</w:t>
      </w:r>
      <w:r w:rsidR="00B9612D" w:rsidRPr="000551D3">
        <w:rPr>
          <w:rFonts w:ascii="Garamond" w:hAnsi="Garamond"/>
          <w:spacing w:val="-4"/>
          <w:szCs w:val="24"/>
          <w:lang w:val="sq-AL"/>
        </w:rPr>
        <w:t>. Sipas praktikës gjyqësor</w:t>
      </w:r>
      <w:r w:rsidR="001B5005" w:rsidRPr="000551D3">
        <w:rPr>
          <w:rFonts w:ascii="Garamond" w:hAnsi="Garamond"/>
          <w:spacing w:val="-4"/>
          <w:szCs w:val="24"/>
          <w:lang w:val="sq-AL"/>
        </w:rPr>
        <w:t>e</w:t>
      </w:r>
      <w:r w:rsidR="00B9612D" w:rsidRPr="000551D3">
        <w:rPr>
          <w:rFonts w:ascii="Garamond" w:hAnsi="Garamond"/>
          <w:spacing w:val="-4"/>
          <w:szCs w:val="24"/>
          <w:lang w:val="sq-AL"/>
        </w:rPr>
        <w:t xml:space="preserve"> të Gjykatës, një kërkues ka të drejtën të rimbursohet për kostot dhe shpenzimet për aq sa është provuar se këto kan</w:t>
      </w:r>
      <w:r w:rsidR="001B5005" w:rsidRPr="000551D3">
        <w:rPr>
          <w:rFonts w:ascii="Garamond" w:hAnsi="Garamond"/>
          <w:spacing w:val="-4"/>
          <w:szCs w:val="24"/>
          <w:lang w:val="sq-AL"/>
        </w:rPr>
        <w:t>ë</w:t>
      </w:r>
      <w:r w:rsidR="00B9612D" w:rsidRPr="000551D3">
        <w:rPr>
          <w:rFonts w:ascii="Garamond" w:hAnsi="Garamond"/>
          <w:spacing w:val="-4"/>
          <w:szCs w:val="24"/>
          <w:lang w:val="sq-AL"/>
        </w:rPr>
        <w:t xml:space="preserve"> ndodhur faktikisht dhe bazuar në nevojë dhe janë të arsyeshme sipas kuantit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(shih, për shembull, </w:t>
      </w:r>
      <w:r w:rsidR="00B9612D" w:rsidRPr="000551D3">
        <w:rPr>
          <w:rFonts w:ascii="Garamond" w:hAnsi="Garamond"/>
          <w:i/>
          <w:spacing w:val="-4"/>
          <w:szCs w:val="24"/>
          <w:lang w:val="sq-AL"/>
        </w:rPr>
        <w:t>Gjyli</w:t>
      </w:r>
      <w:r w:rsidR="00B9612D" w:rsidRPr="000551D3">
        <w:rPr>
          <w:rFonts w:ascii="Garamond" w:hAnsi="Garamond"/>
          <w:spacing w:val="-4"/>
          <w:szCs w:val="24"/>
          <w:lang w:val="sq-AL"/>
        </w:rPr>
        <w:t>, cituar më sipër</w:t>
      </w:r>
      <w:r w:rsidR="008541A0" w:rsidRPr="000551D3">
        <w:rPr>
          <w:rFonts w:ascii="Garamond" w:hAnsi="Garamond"/>
          <w:spacing w:val="-4"/>
          <w:szCs w:val="24"/>
          <w:lang w:val="sq-AL"/>
        </w:rPr>
        <w:t>, §</w:t>
      </w:r>
      <w:r w:rsidR="00B9612D" w:rsidRPr="000551D3">
        <w:rPr>
          <w:rFonts w:ascii="Garamond" w:hAnsi="Garamond"/>
          <w:spacing w:val="-4"/>
          <w:szCs w:val="24"/>
          <w:lang w:val="sq-AL"/>
        </w:rPr>
        <w:t xml:space="preserve">72). Në këtë pikë, </w:t>
      </w:r>
      <w:r w:rsidR="001B5005" w:rsidRPr="000551D3">
        <w:rPr>
          <w:rFonts w:ascii="Garamond" w:hAnsi="Garamond"/>
          <w:spacing w:val="-4"/>
          <w:szCs w:val="24"/>
          <w:lang w:val="sq-AL"/>
        </w:rPr>
        <w:t xml:space="preserve">rregulla </w:t>
      </w:r>
      <w:r w:rsidR="00B9612D" w:rsidRPr="000551D3">
        <w:rPr>
          <w:rFonts w:ascii="Garamond" w:hAnsi="Garamond"/>
          <w:spacing w:val="-4"/>
          <w:szCs w:val="24"/>
          <w:lang w:val="sq-AL"/>
        </w:rPr>
        <w:t xml:space="preserve">60 §§ 2 dhe 3 i Rregullores së Gjykatës pohon se kërkuesit duhet të bashkëngjisin me kërkesat e tyre për kompensim të drejtë “çdo dokument respektiv mbështetës”, në mungesë të së cilës Gjykata “mund të kundërshtojë pretendimet në tërësi ose pjesërisht”. </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208</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Gjykata vëren se gjykata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w:t>
      </w:r>
      <w:r w:rsidR="001B5005" w:rsidRPr="000551D3">
        <w:rPr>
          <w:rFonts w:ascii="Garamond" w:hAnsi="Garamond"/>
          <w:spacing w:val="-4"/>
          <w:szCs w:val="24"/>
          <w:lang w:val="sq-AL"/>
        </w:rPr>
        <w:t>u</w:t>
      </w:r>
      <w:r w:rsidR="00B9612D" w:rsidRPr="000551D3">
        <w:rPr>
          <w:rFonts w:ascii="Garamond" w:hAnsi="Garamond"/>
          <w:spacing w:val="-4"/>
          <w:szCs w:val="24"/>
          <w:lang w:val="sq-AL"/>
        </w:rPr>
        <w:t xml:space="preserve"> akorduan të gjithë kërkuesve kosto dhe shpenzime në lidhje me tarifat gjyqësore për nisjen e procedimeve gjyqësore të brendshme dhe përfaqësimin e tyre në gjykatat e brendshme (shih paragrafët 39 dhe 41 më sipër). Gjithsesi, në lidhje me tarifat gjyqësore për fillimin e procedimeve gjyqësore të brendshme, Gjykata akordon për kërkuesit EUR 84,500. Në lidhje me kostot, Gjykata e mendon të arsyeshme të akordojë</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EUR 9,600 për kërkuesit M. Hanxhari, T. Pojani, G. Calliku, M. Mecaj, E. Durolli, B. Rakipaj, P. Rakipaj, A. Deromemaj, së bashku. Më pas, </w:t>
      </w:r>
      <w:r w:rsidR="001B5005" w:rsidRPr="000551D3">
        <w:rPr>
          <w:rFonts w:ascii="Garamond" w:hAnsi="Garamond"/>
          <w:spacing w:val="-4"/>
          <w:szCs w:val="24"/>
          <w:lang w:val="sq-AL"/>
        </w:rPr>
        <w:t>u</w:t>
      </w:r>
      <w:r w:rsidR="00B9612D" w:rsidRPr="000551D3">
        <w:rPr>
          <w:rFonts w:ascii="Garamond" w:hAnsi="Garamond"/>
          <w:spacing w:val="-4"/>
          <w:szCs w:val="24"/>
          <w:lang w:val="sq-AL"/>
        </w:rPr>
        <w:t xml:space="preserve"> takon gjy</w:t>
      </w:r>
      <w:r w:rsidR="001B5005" w:rsidRPr="000551D3">
        <w:rPr>
          <w:rFonts w:ascii="Garamond" w:hAnsi="Garamond"/>
          <w:spacing w:val="-4"/>
          <w:szCs w:val="24"/>
          <w:lang w:val="sq-AL"/>
        </w:rPr>
        <w:t>katave shqiptare, në rast se at</w:t>
      </w:r>
      <w:r w:rsidR="00B9612D" w:rsidRPr="000551D3">
        <w:rPr>
          <w:rFonts w:ascii="Garamond" w:hAnsi="Garamond"/>
          <w:spacing w:val="-4"/>
          <w:szCs w:val="24"/>
          <w:lang w:val="sq-AL"/>
        </w:rPr>
        <w:t xml:space="preserve">o e gjykojnë si të përshtatshme, për të marrë në konsideratë akordimet e Gjykatës (shih </w:t>
      </w:r>
      <w:r w:rsidR="00B9612D" w:rsidRPr="000551D3">
        <w:rPr>
          <w:rFonts w:ascii="Garamond" w:hAnsi="Garamond"/>
          <w:i/>
          <w:spacing w:val="-4"/>
          <w:szCs w:val="24"/>
          <w:lang w:val="sq-AL"/>
        </w:rPr>
        <w:t>mutatis mutandis</w:t>
      </w:r>
      <w:r w:rsidR="00B9612D" w:rsidRPr="000551D3">
        <w:rPr>
          <w:rFonts w:ascii="Garamond" w:hAnsi="Garamond"/>
          <w:spacing w:val="-4"/>
          <w:szCs w:val="24"/>
          <w:lang w:val="sq-AL"/>
        </w:rPr>
        <w:t xml:space="preserve">, </w:t>
      </w:r>
      <w:r w:rsidR="00B9612D" w:rsidRPr="000551D3">
        <w:rPr>
          <w:rFonts w:ascii="Garamond" w:hAnsi="Garamond"/>
          <w:i/>
          <w:spacing w:val="-4"/>
          <w:szCs w:val="24"/>
          <w:lang w:val="sq-AL"/>
        </w:rPr>
        <w:t>Silva Barreira Júnior</w:t>
      </w:r>
      <w:r w:rsidR="00B9612D" w:rsidRPr="000551D3">
        <w:rPr>
          <w:rFonts w:ascii="Garamond" w:hAnsi="Garamond"/>
          <w:spacing w:val="-4"/>
          <w:szCs w:val="24"/>
          <w:lang w:val="sq-AL"/>
        </w:rPr>
        <w:t>,</w:t>
      </w:r>
      <w:r w:rsidR="001B5005" w:rsidRPr="000551D3">
        <w:rPr>
          <w:rFonts w:ascii="Garamond" w:hAnsi="Garamond"/>
          <w:spacing w:val="-4"/>
          <w:szCs w:val="24"/>
          <w:lang w:val="sq-AL"/>
        </w:rPr>
        <w:t xml:space="preserve"> </w:t>
      </w:r>
      <w:r w:rsidR="00B9612D" w:rsidRPr="000551D3">
        <w:rPr>
          <w:rFonts w:ascii="Garamond" w:hAnsi="Garamond"/>
          <w:spacing w:val="-4"/>
          <w:szCs w:val="24"/>
          <w:lang w:val="sq-AL"/>
        </w:rPr>
        <w:t>cituar më sipër</w:t>
      </w:r>
      <w:r w:rsidR="00B9612D" w:rsidRPr="000551D3">
        <w:rPr>
          <w:rFonts w:ascii="Garamond" w:hAnsi="Garamond"/>
          <w:snapToGrid w:val="0"/>
          <w:spacing w:val="-4"/>
          <w:szCs w:val="24"/>
          <w:lang w:val="sq-AL"/>
        </w:rPr>
        <w:t>,</w:t>
      </w:r>
      <w:r w:rsidR="009B65F2" w:rsidRPr="000551D3">
        <w:rPr>
          <w:rFonts w:ascii="Garamond" w:hAnsi="Garamond"/>
          <w:snapToGrid w:val="0"/>
          <w:spacing w:val="-4"/>
          <w:szCs w:val="24"/>
          <w:lang w:val="sq-AL"/>
        </w:rPr>
        <w:t xml:space="preserve"> </w:t>
      </w:r>
      <w:r w:rsidR="008B2E1D" w:rsidRPr="000551D3">
        <w:rPr>
          <w:rFonts w:ascii="Garamond" w:hAnsi="Garamond"/>
          <w:snapToGrid w:val="0"/>
          <w:spacing w:val="-4"/>
          <w:szCs w:val="24"/>
          <w:lang w:val="sq-AL"/>
        </w:rPr>
        <w:t>§</w:t>
      </w:r>
      <w:r w:rsidR="00B9612D" w:rsidRPr="000551D3">
        <w:rPr>
          <w:rFonts w:ascii="Garamond" w:hAnsi="Garamond"/>
          <w:snapToGrid w:val="0"/>
          <w:spacing w:val="-4"/>
          <w:szCs w:val="24"/>
          <w:lang w:val="sq-AL"/>
        </w:rPr>
        <w:t>40</w:t>
      </w:r>
      <w:r w:rsidR="00B9612D" w:rsidRPr="000551D3">
        <w:rPr>
          <w:rFonts w:ascii="Garamond" w:hAnsi="Garamond"/>
          <w:spacing w:val="-4"/>
          <w:szCs w:val="24"/>
          <w:lang w:val="sq-AL"/>
        </w:rPr>
        <w:t>).</w:t>
      </w:r>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209</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Në lidhje me kostot dhe shpenzimet e realizuara përpara Gjykatës, Gjykata nuk mund të pranojë sugjerimin e </w:t>
      </w:r>
      <w:r w:rsidR="0018461E" w:rsidRPr="000551D3">
        <w:rPr>
          <w:rFonts w:ascii="Garamond" w:hAnsi="Garamond"/>
          <w:spacing w:val="-4"/>
          <w:szCs w:val="24"/>
          <w:lang w:val="sq-AL"/>
        </w:rPr>
        <w:t>q</w:t>
      </w:r>
      <w:r w:rsidR="00B9612D" w:rsidRPr="000551D3">
        <w:rPr>
          <w:rFonts w:ascii="Garamond" w:hAnsi="Garamond"/>
          <w:spacing w:val="-4"/>
          <w:szCs w:val="24"/>
          <w:lang w:val="sq-AL"/>
        </w:rPr>
        <w:t xml:space="preserve">everisë që të kërkohen faturat e miratuara zyrtarisht nga autoritetet e taksave: nuk ekziston një detyrim i tillë sipas Konventës, nuk i takon kësaj Gjykate që të rregullojë marrëdhënien midis një taksapaguesi dhe </w:t>
      </w:r>
      <w:r w:rsidR="006A739A" w:rsidRPr="000551D3">
        <w:rPr>
          <w:rFonts w:ascii="Garamond" w:hAnsi="Garamond"/>
          <w:spacing w:val="-4"/>
          <w:szCs w:val="24"/>
          <w:lang w:val="sq-AL"/>
        </w:rPr>
        <w:t xml:space="preserve">shtetit </w:t>
      </w:r>
      <w:r w:rsidR="00B9612D" w:rsidRPr="000551D3">
        <w:rPr>
          <w:rFonts w:ascii="Garamond" w:hAnsi="Garamond"/>
          <w:spacing w:val="-4"/>
          <w:szCs w:val="24"/>
          <w:lang w:val="sq-AL"/>
        </w:rPr>
        <w:t xml:space="preserve">(shih </w:t>
      </w:r>
      <w:r w:rsidR="00B9612D" w:rsidRPr="000551D3">
        <w:rPr>
          <w:rFonts w:ascii="Garamond" w:hAnsi="Garamond"/>
          <w:i/>
          <w:spacing w:val="-4"/>
          <w:szCs w:val="24"/>
          <w:lang w:val="sq-AL"/>
        </w:rPr>
        <w:t>Delijorgji kundër Shqipërisë</w:t>
      </w:r>
      <w:r w:rsidR="00B9612D" w:rsidRPr="000551D3">
        <w:rPr>
          <w:rFonts w:ascii="Garamond" w:hAnsi="Garamond"/>
          <w:spacing w:val="-4"/>
          <w:szCs w:val="24"/>
          <w:lang w:val="sq-AL"/>
        </w:rPr>
        <w:t>, nr. 6858/11</w:t>
      </w:r>
      <w:r w:rsidR="008541A0" w:rsidRPr="000551D3">
        <w:rPr>
          <w:rFonts w:ascii="Garamond" w:hAnsi="Garamond"/>
          <w:snapToGrid w:val="0"/>
          <w:spacing w:val="-4"/>
          <w:szCs w:val="24"/>
          <w:lang w:val="sq-AL"/>
        </w:rPr>
        <w:t>, §</w:t>
      </w:r>
      <w:r w:rsidR="00B9612D" w:rsidRPr="000551D3">
        <w:rPr>
          <w:rFonts w:ascii="Garamond" w:hAnsi="Garamond"/>
          <w:snapToGrid w:val="0"/>
          <w:spacing w:val="-4"/>
          <w:szCs w:val="24"/>
          <w:lang w:val="sq-AL"/>
        </w:rPr>
        <w:t xml:space="preserve">100, 28 </w:t>
      </w:r>
      <w:r w:rsidR="00B9612D" w:rsidRPr="000551D3">
        <w:rPr>
          <w:rFonts w:ascii="Garamond" w:hAnsi="Garamond"/>
          <w:spacing w:val="-4"/>
          <w:szCs w:val="24"/>
          <w:lang w:val="sq-AL"/>
        </w:rPr>
        <w:t>prill</w:t>
      </w:r>
      <w:r w:rsidR="00B9612D" w:rsidRPr="000551D3">
        <w:rPr>
          <w:rFonts w:ascii="Garamond" w:hAnsi="Garamond"/>
          <w:snapToGrid w:val="0"/>
          <w:spacing w:val="-4"/>
          <w:szCs w:val="24"/>
          <w:lang w:val="sq-AL"/>
        </w:rPr>
        <w:t xml:space="preserve"> 2015)</w:t>
      </w:r>
      <w:r w:rsidR="00B9612D" w:rsidRPr="000551D3">
        <w:rPr>
          <w:rFonts w:ascii="Garamond" w:hAnsi="Garamond"/>
          <w:spacing w:val="-4"/>
          <w:szCs w:val="24"/>
          <w:lang w:val="sq-AL"/>
        </w:rPr>
        <w:t>.</w:t>
      </w:r>
    </w:p>
    <w:p w:rsidR="00B9612D" w:rsidRPr="000551D3" w:rsidRDefault="00B9612D" w:rsidP="00B9612D">
      <w:pPr>
        <w:pStyle w:val="JuPara"/>
        <w:widowControl w:val="0"/>
        <w:rPr>
          <w:rFonts w:ascii="Garamond" w:hAnsi="Garamond"/>
          <w:spacing w:val="-4"/>
          <w:szCs w:val="24"/>
          <w:lang w:val="sq-AL"/>
        </w:rPr>
      </w:pPr>
      <w:r w:rsidRPr="000551D3">
        <w:rPr>
          <w:rFonts w:ascii="Garamond" w:hAnsi="Garamond"/>
          <w:spacing w:val="-4"/>
          <w:szCs w:val="24"/>
          <w:lang w:val="sq-AL"/>
        </w:rPr>
        <w:t>Gjykata nuk ka asnjë arsye të dyshojë se kërkuesit kanë pasur shpenzime përpara Gjykatës përderisa ajo ka një faturë e cila përmban në mënyrë të detajuar numrin e orëve të faturuara dhe normën korrespondu</w:t>
      </w:r>
      <w:r w:rsidR="009B65F2" w:rsidRPr="000551D3">
        <w:rPr>
          <w:rFonts w:ascii="Garamond" w:hAnsi="Garamond"/>
          <w:spacing w:val="-4"/>
          <w:szCs w:val="24"/>
          <w:lang w:val="sq-AL"/>
        </w:rPr>
        <w:t>e</w:t>
      </w:r>
      <w:r w:rsidRPr="000551D3">
        <w:rPr>
          <w:rFonts w:ascii="Garamond" w:hAnsi="Garamond"/>
          <w:spacing w:val="-4"/>
          <w:szCs w:val="24"/>
          <w:lang w:val="sq-AL"/>
        </w:rPr>
        <w:t xml:space="preserve">se për orë. Megjithatë, Gjykata mendon se shpenzimet e bëra gjatë procedimeve të Konventës nuk ishin të arsyeshme sipas </w:t>
      </w:r>
      <w:r w:rsidRPr="000551D3">
        <w:rPr>
          <w:rFonts w:ascii="Garamond" w:hAnsi="Garamond"/>
          <w:i/>
          <w:spacing w:val="-4"/>
          <w:szCs w:val="24"/>
          <w:lang w:val="sq-AL"/>
        </w:rPr>
        <w:t>kuantit</w:t>
      </w:r>
      <w:r w:rsidRPr="000551D3">
        <w:rPr>
          <w:rFonts w:ascii="Garamond" w:hAnsi="Garamond"/>
          <w:spacing w:val="-4"/>
          <w:szCs w:val="24"/>
          <w:lang w:val="sq-AL"/>
        </w:rPr>
        <w:t xml:space="preserve">. Duke bërë përllogaritjet e saj bazuar në informacionet në dosjen e çështjes, Gjykata e konsideron si të arsyeshme të akordojë 18,000 euro për kostot dhe shpenzimet ligjore përpara Gjykatës sipas të gjithë zërave (shih </w:t>
      </w:r>
      <w:r w:rsidRPr="000551D3">
        <w:rPr>
          <w:rFonts w:ascii="Garamond" w:hAnsi="Garamond"/>
          <w:i/>
          <w:spacing w:val="-4"/>
          <w:szCs w:val="24"/>
          <w:lang w:val="sq-AL"/>
        </w:rPr>
        <w:t xml:space="preserve">Mullai dhe të Tjerët kundër Shqipërisë </w:t>
      </w:r>
      <w:r w:rsidRPr="000551D3">
        <w:rPr>
          <w:rFonts w:ascii="Garamond" w:hAnsi="Garamond"/>
          <w:spacing w:val="-4"/>
          <w:szCs w:val="24"/>
          <w:lang w:val="sq-AL"/>
        </w:rPr>
        <w:t>(kompensim i drejtë</w:t>
      </w:r>
      <w:r w:rsidR="00BD5A33" w:rsidRPr="000551D3">
        <w:rPr>
          <w:rFonts w:ascii="Garamond" w:hAnsi="Garamond"/>
          <w:spacing w:val="-4"/>
          <w:szCs w:val="24"/>
          <w:lang w:val="sq-AL"/>
        </w:rPr>
        <w:t>:</w:t>
      </w:r>
      <w:r w:rsidRPr="000551D3">
        <w:rPr>
          <w:rFonts w:ascii="Garamond" w:hAnsi="Garamond"/>
          <w:spacing w:val="-4"/>
          <w:szCs w:val="24"/>
          <w:lang w:val="sq-AL"/>
        </w:rPr>
        <w:t xml:space="preserve"> po pushohet), nr. 9074/07</w:t>
      </w:r>
      <w:r w:rsidR="008541A0" w:rsidRPr="000551D3">
        <w:rPr>
          <w:rFonts w:ascii="Garamond" w:hAnsi="Garamond"/>
          <w:spacing w:val="-4"/>
          <w:szCs w:val="24"/>
          <w:lang w:val="sq-AL"/>
        </w:rPr>
        <w:t>, §</w:t>
      </w:r>
      <w:r w:rsidRPr="000551D3">
        <w:rPr>
          <w:rFonts w:ascii="Garamond" w:hAnsi="Garamond"/>
          <w:spacing w:val="-4"/>
          <w:szCs w:val="24"/>
          <w:lang w:val="sq-AL"/>
        </w:rPr>
        <w:t>18, 18 tetor 2011).</w:t>
      </w:r>
    </w:p>
    <w:p w:rsidR="00B9612D" w:rsidRPr="000551D3" w:rsidRDefault="00B9612D" w:rsidP="00B9612D">
      <w:pPr>
        <w:pStyle w:val="ECHRHeading2"/>
        <w:keepNext w:val="0"/>
        <w:keepLines w:val="0"/>
        <w:widowControl w:val="0"/>
        <w:spacing w:before="0" w:after="0"/>
        <w:ind w:left="0" w:firstLine="284"/>
        <w:rPr>
          <w:rFonts w:ascii="Garamond" w:hAnsi="Garamond"/>
          <w:spacing w:val="-4"/>
          <w:szCs w:val="24"/>
          <w:lang w:val="sq-AL"/>
        </w:rPr>
      </w:pPr>
      <w:bookmarkStart w:id="71" w:name="_Toc520459371"/>
      <w:r w:rsidRPr="000551D3">
        <w:rPr>
          <w:rFonts w:ascii="Garamond" w:hAnsi="Garamond"/>
          <w:spacing w:val="-4"/>
          <w:szCs w:val="24"/>
          <w:lang w:val="sq-AL"/>
        </w:rPr>
        <w:t>C.</w:t>
      </w:r>
      <w:r w:rsidR="00E91B0C" w:rsidRPr="000551D3">
        <w:rPr>
          <w:rFonts w:ascii="Garamond" w:hAnsi="Garamond"/>
          <w:spacing w:val="-4"/>
          <w:szCs w:val="24"/>
          <w:lang w:val="sq-AL"/>
        </w:rPr>
        <w:t xml:space="preserve"> </w:t>
      </w:r>
      <w:r w:rsidRPr="000551D3">
        <w:rPr>
          <w:rFonts w:ascii="Garamond" w:hAnsi="Garamond"/>
          <w:spacing w:val="-4"/>
          <w:szCs w:val="24"/>
          <w:lang w:val="sq-AL"/>
        </w:rPr>
        <w:t>Interesi i vonuar</w:t>
      </w:r>
      <w:bookmarkEnd w:id="71"/>
    </w:p>
    <w:p w:rsidR="00B9612D" w:rsidRPr="000551D3" w:rsidRDefault="009827DE" w:rsidP="00B9612D">
      <w:pPr>
        <w:pStyle w:val="JuPara"/>
        <w:widowControl w:val="0"/>
        <w:rPr>
          <w:rFonts w:ascii="Garamond" w:hAnsi="Garamond"/>
          <w:spacing w:val="-4"/>
          <w:szCs w:val="24"/>
          <w:lang w:val="sq-AL"/>
        </w:rPr>
      </w:pPr>
      <w:r>
        <w:rPr>
          <w:rFonts w:ascii="Garamond" w:hAnsi="Garamond"/>
          <w:spacing w:val="-4"/>
          <w:szCs w:val="24"/>
          <w:lang w:val="sq-AL"/>
        </w:rPr>
        <w:t>210</w:t>
      </w:r>
      <w:r w:rsidR="00B9612D" w:rsidRPr="000551D3">
        <w:rPr>
          <w:rFonts w:ascii="Garamond" w:hAnsi="Garamond"/>
          <w:spacing w:val="-4"/>
          <w:szCs w:val="24"/>
          <w:lang w:val="sq-AL"/>
        </w:rPr>
        <w: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Gjykata e konsideron si të arsyeshme që norma e interesit të vonuar të bazohet në normën margjinale të huas të Bankës Qendrore </w:t>
      </w:r>
      <w:r w:rsidR="009B65F2" w:rsidRPr="000551D3">
        <w:rPr>
          <w:rFonts w:ascii="Garamond" w:hAnsi="Garamond"/>
          <w:spacing w:val="-4"/>
          <w:szCs w:val="24"/>
          <w:lang w:val="sq-AL"/>
        </w:rPr>
        <w:t>Evropiane</w:t>
      </w:r>
      <w:r w:rsidR="00B9612D" w:rsidRPr="000551D3">
        <w:rPr>
          <w:rFonts w:ascii="Garamond" w:hAnsi="Garamond"/>
          <w:spacing w:val="-4"/>
          <w:szCs w:val="24"/>
          <w:lang w:val="sq-AL"/>
        </w:rPr>
        <w:t>, së cilës i duhen shtuar pikë tre për</w:t>
      </w:r>
      <w:r w:rsidR="009B65F2"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qind. </w:t>
      </w:r>
    </w:p>
    <w:p w:rsidR="00F61185" w:rsidRPr="000551D3" w:rsidRDefault="00F61185" w:rsidP="00B9612D">
      <w:pPr>
        <w:pStyle w:val="JuPara"/>
        <w:widowControl w:val="0"/>
        <w:rPr>
          <w:rFonts w:ascii="Garamond" w:hAnsi="Garamond"/>
          <w:spacing w:val="-4"/>
          <w:sz w:val="14"/>
          <w:szCs w:val="24"/>
          <w:lang w:val="sq-AL"/>
        </w:rPr>
      </w:pPr>
    </w:p>
    <w:p w:rsidR="00B9612D" w:rsidRPr="000551D3" w:rsidRDefault="00B9612D" w:rsidP="00F61185">
      <w:pPr>
        <w:pStyle w:val="ECHRTitle1"/>
        <w:keepNext w:val="0"/>
        <w:keepLines w:val="0"/>
        <w:widowControl w:val="0"/>
        <w:spacing w:before="0" w:after="0"/>
        <w:ind w:firstLine="284"/>
        <w:jc w:val="center"/>
        <w:rPr>
          <w:rFonts w:ascii="Garamond" w:hAnsi="Garamond"/>
          <w:spacing w:val="-4"/>
          <w:sz w:val="24"/>
          <w:szCs w:val="24"/>
          <w:lang w:val="sq-AL"/>
        </w:rPr>
      </w:pPr>
      <w:bookmarkStart w:id="72" w:name="_Toc520459372"/>
      <w:bookmarkStart w:id="73" w:name="_Toc498016369"/>
      <w:bookmarkStart w:id="74" w:name="_Toc498016780"/>
      <w:r w:rsidRPr="000551D3">
        <w:rPr>
          <w:rFonts w:ascii="Garamond" w:hAnsi="Garamond"/>
          <w:spacing w:val="-4"/>
          <w:sz w:val="24"/>
          <w:szCs w:val="24"/>
          <w:lang w:val="sq-AL"/>
        </w:rPr>
        <w:t>PËR KËTO ARSYE, GJYKATA, NË MËNYRË UNANIME</w:t>
      </w:r>
      <w:bookmarkEnd w:id="72"/>
      <w:bookmarkEnd w:id="73"/>
      <w:bookmarkEnd w:id="74"/>
      <w:r w:rsidR="00E4573F" w:rsidRPr="000551D3">
        <w:rPr>
          <w:rFonts w:ascii="Garamond" w:hAnsi="Garamond"/>
          <w:spacing w:val="-4"/>
          <w:sz w:val="24"/>
          <w:szCs w:val="24"/>
          <w:lang w:val="sq-AL"/>
        </w:rPr>
        <w:t>:</w:t>
      </w:r>
    </w:p>
    <w:p w:rsidR="00F61185" w:rsidRPr="000551D3" w:rsidRDefault="00F61185" w:rsidP="00F61185">
      <w:pPr>
        <w:pStyle w:val="JuPara"/>
        <w:rPr>
          <w:spacing w:val="-4"/>
          <w:sz w:val="12"/>
          <w:lang w:val="sq-AL" w:eastAsia="en-US"/>
        </w:rPr>
      </w:pP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Vendos </w:t>
      </w:r>
      <w:r w:rsidR="00B9612D" w:rsidRPr="000551D3">
        <w:rPr>
          <w:rFonts w:ascii="Garamond" w:hAnsi="Garamond"/>
          <w:spacing w:val="-4"/>
          <w:szCs w:val="24"/>
          <w:lang w:val="sq-AL"/>
        </w:rPr>
        <w:t xml:space="preserve">të bashkojë meritat e ankesave sipas </w:t>
      </w:r>
      <w:r w:rsidRPr="000551D3">
        <w:rPr>
          <w:rFonts w:ascii="Garamond" w:hAnsi="Garamond"/>
          <w:spacing w:val="-4"/>
          <w:szCs w:val="24"/>
          <w:lang w:val="sq-AL"/>
        </w:rPr>
        <w:t xml:space="preserve">nenit </w:t>
      </w:r>
      <w:r w:rsidR="00B9612D" w:rsidRPr="000551D3">
        <w:rPr>
          <w:rFonts w:ascii="Garamond" w:hAnsi="Garamond"/>
          <w:spacing w:val="-4"/>
          <w:szCs w:val="24"/>
          <w:lang w:val="sq-AL"/>
        </w:rPr>
        <w:t xml:space="preserve">13, së bashku me </w:t>
      </w:r>
      <w:r w:rsidRPr="000551D3">
        <w:rPr>
          <w:rFonts w:ascii="Garamond" w:hAnsi="Garamond"/>
          <w:spacing w:val="-4"/>
          <w:szCs w:val="24"/>
          <w:lang w:val="sq-AL"/>
        </w:rPr>
        <w:t xml:space="preserve">nenet </w:t>
      </w:r>
      <w:r w:rsidR="00B9612D" w:rsidRPr="000551D3">
        <w:rPr>
          <w:rFonts w:ascii="Garamond" w:hAnsi="Garamond"/>
          <w:spacing w:val="-4"/>
          <w:szCs w:val="24"/>
          <w:lang w:val="sq-AL"/>
        </w:rPr>
        <w:t xml:space="preserve">6 dhe </w:t>
      </w:r>
      <w:r w:rsidRPr="000551D3">
        <w:rPr>
          <w:rFonts w:ascii="Garamond" w:hAnsi="Garamond"/>
          <w:spacing w:val="-4"/>
          <w:szCs w:val="24"/>
          <w:lang w:val="sq-AL"/>
        </w:rPr>
        <w:t xml:space="preserve">nenin </w:t>
      </w:r>
      <w:r w:rsidR="00B9612D" w:rsidRPr="000551D3">
        <w:rPr>
          <w:rFonts w:ascii="Garamond" w:hAnsi="Garamond"/>
          <w:spacing w:val="-4"/>
          <w:szCs w:val="24"/>
          <w:lang w:val="sq-AL"/>
        </w:rPr>
        <w:t xml:space="preserve">1 të </w:t>
      </w:r>
      <w:r w:rsidRPr="000551D3">
        <w:rPr>
          <w:rFonts w:ascii="Garamond" w:hAnsi="Garamond"/>
          <w:spacing w:val="-4"/>
          <w:szCs w:val="24"/>
          <w:lang w:val="sq-AL"/>
        </w:rPr>
        <w:t>protokollit nr</w:t>
      </w:r>
      <w:r w:rsidR="00B9612D" w:rsidRPr="000551D3">
        <w:rPr>
          <w:rFonts w:ascii="Garamond" w:hAnsi="Garamond"/>
          <w:spacing w:val="-4"/>
          <w:szCs w:val="24"/>
          <w:lang w:val="sq-AL"/>
        </w:rPr>
        <w:t xml:space="preserve">. 1 të Konventës për të gjithë kërkuesit dhe së bashku me </w:t>
      </w:r>
      <w:r w:rsidRPr="000551D3">
        <w:rPr>
          <w:rFonts w:ascii="Garamond" w:hAnsi="Garamond"/>
          <w:spacing w:val="-4"/>
          <w:szCs w:val="24"/>
          <w:lang w:val="sq-AL"/>
        </w:rPr>
        <w:t xml:space="preserve">nenin </w:t>
      </w:r>
      <w:r w:rsidR="00B9612D" w:rsidRPr="000551D3">
        <w:rPr>
          <w:rFonts w:ascii="Garamond" w:hAnsi="Garamond"/>
          <w:spacing w:val="-4"/>
          <w:szCs w:val="24"/>
          <w:lang w:val="sq-AL"/>
        </w:rPr>
        <w:t>8 të konventës për kërkuesit nr. 3</w:t>
      </w:r>
      <w:r w:rsidRPr="000551D3">
        <w:rPr>
          <w:rFonts w:ascii="Garamond" w:hAnsi="Garamond"/>
          <w:spacing w:val="-4"/>
          <w:szCs w:val="24"/>
          <w:lang w:val="sq-AL"/>
        </w:rPr>
        <w:t>–</w:t>
      </w:r>
      <w:r w:rsidR="00B9612D" w:rsidRPr="000551D3">
        <w:rPr>
          <w:rFonts w:ascii="Garamond" w:hAnsi="Garamond"/>
          <w:spacing w:val="-4"/>
          <w:szCs w:val="24"/>
          <w:lang w:val="sq-AL"/>
        </w:rPr>
        <w:t xml:space="preserve">19 të listuar në shtojcë, kundërshtimet e </w:t>
      </w:r>
      <w:r w:rsidRPr="000551D3">
        <w:rPr>
          <w:rFonts w:ascii="Garamond" w:hAnsi="Garamond"/>
          <w:spacing w:val="-4"/>
          <w:szCs w:val="24"/>
          <w:lang w:val="sq-AL"/>
        </w:rPr>
        <w:t xml:space="preserve">qeverisë </w:t>
      </w:r>
      <w:r w:rsidR="00B9612D" w:rsidRPr="000551D3">
        <w:rPr>
          <w:rFonts w:ascii="Garamond" w:hAnsi="Garamond"/>
          <w:spacing w:val="-4"/>
          <w:szCs w:val="24"/>
          <w:lang w:val="sq-AL"/>
        </w:rPr>
        <w:t xml:space="preserve">për mosshfrytëzim të mjeteve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dhe pushimin e tyre;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Deklaron </w:t>
      </w:r>
      <w:r w:rsidR="00B9612D" w:rsidRPr="000551D3">
        <w:rPr>
          <w:rFonts w:ascii="Garamond" w:hAnsi="Garamond"/>
          <w:spacing w:val="-4"/>
          <w:szCs w:val="24"/>
          <w:lang w:val="sq-AL"/>
        </w:rPr>
        <w:t xml:space="preserve">të pranueshëm ankesat në lidhje me </w:t>
      </w:r>
      <w:r w:rsidR="00233BC7" w:rsidRPr="000551D3">
        <w:rPr>
          <w:rFonts w:ascii="Garamond" w:hAnsi="Garamond"/>
          <w:spacing w:val="-4"/>
          <w:szCs w:val="24"/>
          <w:lang w:val="sq-AL"/>
        </w:rPr>
        <w:t>n</w:t>
      </w:r>
      <w:r w:rsidR="00B9612D" w:rsidRPr="000551D3">
        <w:rPr>
          <w:rFonts w:ascii="Garamond" w:hAnsi="Garamond"/>
          <w:spacing w:val="-4"/>
          <w:szCs w:val="24"/>
          <w:lang w:val="sq-AL"/>
        </w:rPr>
        <w:t>enet</w:t>
      </w:r>
      <w:r w:rsidR="00E91B0C" w:rsidRPr="000551D3">
        <w:rPr>
          <w:rFonts w:ascii="Garamond" w:hAnsi="Garamond"/>
          <w:spacing w:val="-4"/>
          <w:szCs w:val="24"/>
          <w:lang w:val="sq-AL"/>
        </w:rPr>
        <w:t xml:space="preserve"> </w:t>
      </w:r>
      <w:r w:rsidR="00B9612D" w:rsidRPr="000551D3">
        <w:rPr>
          <w:rFonts w:ascii="Garamond" w:hAnsi="Garamond"/>
          <w:spacing w:val="-4"/>
          <w:szCs w:val="24"/>
          <w:lang w:val="sq-AL"/>
        </w:rPr>
        <w:t>6</w:t>
      </w:r>
      <w:r w:rsidR="008B2E1D" w:rsidRPr="000551D3">
        <w:rPr>
          <w:rFonts w:ascii="Garamond" w:hAnsi="Garamond"/>
          <w:spacing w:val="-4"/>
          <w:szCs w:val="24"/>
          <w:lang w:val="sq-AL"/>
        </w:rPr>
        <w:t>§</w:t>
      </w:r>
      <w:r w:rsidR="00B9612D" w:rsidRPr="000551D3">
        <w:rPr>
          <w:rFonts w:ascii="Garamond" w:hAnsi="Garamond"/>
          <w:spacing w:val="-4"/>
          <w:szCs w:val="24"/>
          <w:lang w:val="sq-AL"/>
        </w:rPr>
        <w:t xml:space="preserve">1 dhe </w:t>
      </w:r>
      <w:r w:rsidR="00233BC7" w:rsidRPr="000551D3">
        <w:rPr>
          <w:rFonts w:ascii="Garamond" w:hAnsi="Garamond"/>
          <w:spacing w:val="-4"/>
          <w:szCs w:val="24"/>
          <w:lang w:val="sq-AL"/>
        </w:rPr>
        <w:t>n</w:t>
      </w:r>
      <w:r w:rsidR="00B9612D" w:rsidRPr="000551D3">
        <w:rPr>
          <w:rFonts w:ascii="Garamond" w:hAnsi="Garamond"/>
          <w:spacing w:val="-4"/>
          <w:szCs w:val="24"/>
          <w:lang w:val="sq-AL"/>
        </w:rPr>
        <w:t xml:space="preserve">enin 1 të </w:t>
      </w:r>
      <w:r w:rsidR="00233BC7" w:rsidRPr="000551D3">
        <w:rPr>
          <w:rFonts w:ascii="Garamond" w:hAnsi="Garamond"/>
          <w:spacing w:val="-4"/>
          <w:szCs w:val="24"/>
          <w:lang w:val="sq-AL"/>
        </w:rPr>
        <w:t>p</w:t>
      </w:r>
      <w:r w:rsidR="00B9612D" w:rsidRPr="000551D3">
        <w:rPr>
          <w:rFonts w:ascii="Garamond" w:hAnsi="Garamond"/>
          <w:spacing w:val="-4"/>
          <w:szCs w:val="24"/>
          <w:lang w:val="sq-AL"/>
        </w:rPr>
        <w:t xml:space="preserve">rotokollit nr. 1 të Konventës për të gjithë kërkuesit, dhe ankesat në lidhje me </w:t>
      </w:r>
      <w:r w:rsidR="00233BC7" w:rsidRPr="000551D3">
        <w:rPr>
          <w:rFonts w:ascii="Garamond" w:hAnsi="Garamond"/>
          <w:spacing w:val="-4"/>
          <w:szCs w:val="24"/>
          <w:lang w:val="sq-AL"/>
        </w:rPr>
        <w:t>n</w:t>
      </w:r>
      <w:r w:rsidR="00B9612D" w:rsidRPr="000551D3">
        <w:rPr>
          <w:rFonts w:ascii="Garamond" w:hAnsi="Garamond"/>
          <w:spacing w:val="-4"/>
          <w:szCs w:val="24"/>
          <w:lang w:val="sq-AL"/>
        </w:rPr>
        <w:t>enin 8 të Konventës në lidhje me ankuesit 3</w:t>
      </w:r>
      <w:r w:rsidR="005B203A" w:rsidRPr="000551D3">
        <w:rPr>
          <w:rFonts w:ascii="Garamond" w:hAnsi="Garamond"/>
          <w:spacing w:val="-4"/>
          <w:szCs w:val="24"/>
          <w:lang w:val="sq-AL"/>
        </w:rPr>
        <w:t>–</w:t>
      </w:r>
      <w:r w:rsidR="00B9612D" w:rsidRPr="000551D3">
        <w:rPr>
          <w:rFonts w:ascii="Garamond" w:hAnsi="Garamond"/>
          <w:spacing w:val="-4"/>
          <w:szCs w:val="24"/>
          <w:lang w:val="sq-AL"/>
        </w:rPr>
        <w:t>19 në listën e shtojcës</w:t>
      </w:r>
      <w:r w:rsidR="00896E0E" w:rsidRPr="000551D3">
        <w:rPr>
          <w:rFonts w:ascii="Garamond" w:hAnsi="Garamond"/>
          <w:spacing w:val="-4"/>
          <w:szCs w:val="24"/>
          <w:lang w:val="sq-AL"/>
        </w:rPr>
        <w:t>,</w:t>
      </w:r>
      <w:r w:rsidR="00B9612D" w:rsidRPr="000551D3">
        <w:rPr>
          <w:rFonts w:ascii="Garamond" w:hAnsi="Garamond"/>
          <w:spacing w:val="-4"/>
          <w:szCs w:val="24"/>
          <w:lang w:val="sq-AL"/>
        </w:rPr>
        <w:t xml:space="preserve"> si edhe mungesën e mjetit efikas të lidhur me to;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Deklaron </w:t>
      </w:r>
      <w:r w:rsidR="00B9612D" w:rsidRPr="000551D3">
        <w:rPr>
          <w:rFonts w:ascii="Garamond" w:hAnsi="Garamond"/>
          <w:spacing w:val="-4"/>
          <w:szCs w:val="24"/>
          <w:lang w:val="sq-AL"/>
        </w:rPr>
        <w:t xml:space="preserve">pjesën e mbetur të kërkesës të papranueshme;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n</w:t>
      </w:r>
      <w:r w:rsidR="00B9612D" w:rsidRPr="000551D3">
        <w:rPr>
          <w:rFonts w:ascii="Garamond" w:hAnsi="Garamond"/>
          <w:spacing w:val="-4"/>
          <w:szCs w:val="24"/>
          <w:lang w:val="sq-AL"/>
        </w:rPr>
        <w:t>eni 13 s</w:t>
      </w:r>
      <w:r w:rsidR="00233BC7" w:rsidRPr="000551D3">
        <w:rPr>
          <w:rFonts w:ascii="Garamond" w:hAnsi="Garamond"/>
          <w:spacing w:val="-4"/>
          <w:szCs w:val="24"/>
          <w:lang w:val="sq-AL"/>
        </w:rPr>
        <w:t>ë</w:t>
      </w:r>
      <w:r w:rsidR="00B9612D" w:rsidRPr="000551D3">
        <w:rPr>
          <w:rFonts w:ascii="Garamond" w:hAnsi="Garamond"/>
          <w:spacing w:val="-4"/>
          <w:szCs w:val="24"/>
          <w:lang w:val="sq-AL"/>
        </w:rPr>
        <w:t xml:space="preserve"> bashku me </w:t>
      </w:r>
      <w:r w:rsidR="00233BC7" w:rsidRPr="000551D3">
        <w:rPr>
          <w:rFonts w:ascii="Garamond" w:hAnsi="Garamond"/>
          <w:spacing w:val="-4"/>
          <w:szCs w:val="24"/>
          <w:lang w:val="sq-AL"/>
        </w:rPr>
        <w:t>n</w:t>
      </w:r>
      <w:r w:rsidR="00B9612D" w:rsidRPr="000551D3">
        <w:rPr>
          <w:rFonts w:ascii="Garamond" w:hAnsi="Garamond"/>
          <w:spacing w:val="-4"/>
          <w:szCs w:val="24"/>
          <w:lang w:val="sq-AL"/>
        </w:rPr>
        <w:t>enin 6</w:t>
      </w:r>
      <w:r w:rsidR="008B2E1D" w:rsidRPr="000551D3">
        <w:rPr>
          <w:rFonts w:ascii="Garamond" w:hAnsi="Garamond"/>
          <w:spacing w:val="-4"/>
          <w:szCs w:val="24"/>
          <w:lang w:val="sq-AL"/>
        </w:rPr>
        <w:t>§</w:t>
      </w:r>
      <w:r w:rsidR="00B9612D" w:rsidRPr="000551D3">
        <w:rPr>
          <w:rFonts w:ascii="Garamond" w:hAnsi="Garamond"/>
          <w:spacing w:val="-4"/>
          <w:szCs w:val="24"/>
          <w:lang w:val="sq-AL"/>
        </w:rPr>
        <w:t>1 të Konventës;</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n</w:t>
      </w:r>
      <w:r w:rsidR="00B9612D" w:rsidRPr="000551D3">
        <w:rPr>
          <w:rFonts w:ascii="Garamond" w:hAnsi="Garamond"/>
          <w:spacing w:val="-4"/>
          <w:szCs w:val="24"/>
          <w:lang w:val="sq-AL"/>
        </w:rPr>
        <w:t>eni 6</w:t>
      </w:r>
      <w:r w:rsidR="008B2E1D" w:rsidRPr="000551D3">
        <w:rPr>
          <w:rFonts w:ascii="Garamond" w:hAnsi="Garamond"/>
          <w:spacing w:val="-4"/>
          <w:szCs w:val="24"/>
          <w:lang w:val="sq-AL"/>
        </w:rPr>
        <w:t>§</w:t>
      </w:r>
      <w:r w:rsidR="00B9612D" w:rsidRPr="000551D3">
        <w:rPr>
          <w:rFonts w:ascii="Garamond" w:hAnsi="Garamond"/>
          <w:spacing w:val="-4"/>
          <w:szCs w:val="24"/>
          <w:lang w:val="sq-AL"/>
        </w:rPr>
        <w:t>1 i Konventës;</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n</w:t>
      </w:r>
      <w:r w:rsidR="00B9612D" w:rsidRPr="000551D3">
        <w:rPr>
          <w:rFonts w:ascii="Garamond" w:hAnsi="Garamond"/>
          <w:spacing w:val="-4"/>
          <w:szCs w:val="24"/>
          <w:lang w:val="sq-AL"/>
        </w:rPr>
        <w:t>eni 8 i Konventës, për kërkuesit nr. 3</w:t>
      </w:r>
      <w:r w:rsidR="005B203A" w:rsidRPr="000551D3">
        <w:rPr>
          <w:rFonts w:ascii="Garamond" w:hAnsi="Garamond"/>
          <w:spacing w:val="-4"/>
          <w:szCs w:val="24"/>
          <w:lang w:val="sq-AL"/>
        </w:rPr>
        <w:t>–</w:t>
      </w:r>
      <w:r w:rsidR="00B9612D" w:rsidRPr="000551D3">
        <w:rPr>
          <w:rFonts w:ascii="Garamond" w:hAnsi="Garamond"/>
          <w:spacing w:val="-4"/>
          <w:szCs w:val="24"/>
          <w:lang w:val="sq-AL"/>
        </w:rPr>
        <w:t xml:space="preserve">19 sipas listës në shtojcë, në lidhje me konfiskimin e godinës;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n</w:t>
      </w:r>
      <w:r w:rsidR="00B9612D" w:rsidRPr="000551D3">
        <w:rPr>
          <w:rFonts w:ascii="Garamond" w:hAnsi="Garamond"/>
          <w:spacing w:val="-4"/>
          <w:szCs w:val="24"/>
          <w:lang w:val="sq-AL"/>
        </w:rPr>
        <w:t xml:space="preserve">eni 13 së bashku me </w:t>
      </w:r>
      <w:r w:rsidRPr="000551D3">
        <w:rPr>
          <w:rFonts w:ascii="Garamond" w:hAnsi="Garamond"/>
          <w:spacing w:val="-4"/>
          <w:szCs w:val="24"/>
          <w:lang w:val="sq-AL"/>
        </w:rPr>
        <w:t xml:space="preserve">nenin </w:t>
      </w:r>
      <w:r w:rsidR="00B9612D" w:rsidRPr="000551D3">
        <w:rPr>
          <w:rFonts w:ascii="Garamond" w:hAnsi="Garamond"/>
          <w:spacing w:val="-4"/>
          <w:szCs w:val="24"/>
          <w:lang w:val="sq-AL"/>
        </w:rPr>
        <w:t>8 të Konventës në lidhje me kërkuesit 3</w:t>
      </w:r>
      <w:r w:rsidR="005B203A" w:rsidRPr="000551D3">
        <w:rPr>
          <w:rFonts w:ascii="Garamond" w:hAnsi="Garamond"/>
          <w:spacing w:val="-4"/>
          <w:szCs w:val="24"/>
          <w:lang w:val="sq-AL"/>
        </w:rPr>
        <w:t>–</w:t>
      </w:r>
      <w:r w:rsidR="00B9612D" w:rsidRPr="000551D3">
        <w:rPr>
          <w:rFonts w:ascii="Garamond" w:hAnsi="Garamond"/>
          <w:spacing w:val="-4"/>
          <w:szCs w:val="24"/>
          <w:lang w:val="sq-AL"/>
        </w:rPr>
        <w:t xml:space="preserve">19 sipas </w:t>
      </w:r>
      <w:r w:rsidR="00B9612D" w:rsidRPr="000551D3">
        <w:rPr>
          <w:rFonts w:ascii="Garamond" w:hAnsi="Garamond"/>
          <w:spacing w:val="-4"/>
          <w:szCs w:val="24"/>
          <w:lang w:val="sq-AL"/>
        </w:rPr>
        <w:lastRenderedPageBreak/>
        <w:t xml:space="preserve">listës në shtojcë, për sa i përket konfiskimit të godinës;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nuk është e nevojshme të shqyrtohet ankesa sipas </w:t>
      </w:r>
      <w:r w:rsidRPr="000551D3">
        <w:rPr>
          <w:rFonts w:ascii="Garamond" w:hAnsi="Garamond"/>
          <w:spacing w:val="-4"/>
          <w:szCs w:val="24"/>
          <w:lang w:val="sq-AL"/>
        </w:rPr>
        <w:t xml:space="preserve">nenit </w:t>
      </w:r>
      <w:r w:rsidR="00B9612D" w:rsidRPr="000551D3">
        <w:rPr>
          <w:rFonts w:ascii="Garamond" w:hAnsi="Garamond"/>
          <w:spacing w:val="-4"/>
          <w:szCs w:val="24"/>
          <w:lang w:val="sq-AL"/>
        </w:rPr>
        <w:t xml:space="preserve">8 mëveçantë dhe së bashku me </w:t>
      </w:r>
      <w:r w:rsidR="001073BE" w:rsidRPr="000551D3">
        <w:rPr>
          <w:rFonts w:ascii="Garamond" w:hAnsi="Garamond"/>
          <w:spacing w:val="-4"/>
          <w:szCs w:val="24"/>
          <w:lang w:val="sq-AL"/>
        </w:rPr>
        <w:t>n</w:t>
      </w:r>
      <w:r w:rsidR="00B9612D" w:rsidRPr="000551D3">
        <w:rPr>
          <w:rFonts w:ascii="Garamond" w:hAnsi="Garamond"/>
          <w:spacing w:val="-4"/>
          <w:szCs w:val="24"/>
          <w:lang w:val="sq-AL"/>
        </w:rPr>
        <w:t xml:space="preserve">enin 13 të Konventës në lidhje me shpronësimin dhe shembjen e godinës;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Gjykon</w:t>
      </w:r>
      <w:r w:rsidR="00E91B0C" w:rsidRPr="000551D3">
        <w:rPr>
          <w:rFonts w:ascii="Garamond" w:hAnsi="Garamond"/>
          <w:i/>
          <w:spacing w:val="-4"/>
          <w:szCs w:val="24"/>
          <w:lang w:val="sq-AL"/>
        </w:rPr>
        <w:t xml:space="preserve">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n</w:t>
      </w:r>
      <w:r w:rsidR="00B9612D" w:rsidRPr="000551D3">
        <w:rPr>
          <w:rFonts w:ascii="Garamond" w:hAnsi="Garamond"/>
          <w:spacing w:val="-4"/>
          <w:szCs w:val="24"/>
          <w:lang w:val="sq-AL"/>
        </w:rPr>
        <w:t xml:space="preserve">eni 1 i </w:t>
      </w:r>
      <w:r w:rsidRPr="000551D3">
        <w:rPr>
          <w:rFonts w:ascii="Garamond" w:hAnsi="Garamond"/>
          <w:spacing w:val="-4"/>
          <w:szCs w:val="24"/>
          <w:lang w:val="sq-AL"/>
        </w:rPr>
        <w:t>prot</w:t>
      </w:r>
      <w:r w:rsidR="00B9612D" w:rsidRPr="000551D3">
        <w:rPr>
          <w:rFonts w:ascii="Garamond" w:hAnsi="Garamond"/>
          <w:spacing w:val="-4"/>
          <w:szCs w:val="24"/>
          <w:lang w:val="sq-AL"/>
        </w:rPr>
        <w:t xml:space="preserve">okollit </w:t>
      </w:r>
      <w:r w:rsidRPr="000551D3">
        <w:rPr>
          <w:rFonts w:ascii="Garamond" w:hAnsi="Garamond"/>
          <w:spacing w:val="-4"/>
          <w:szCs w:val="24"/>
          <w:lang w:val="sq-AL"/>
        </w:rPr>
        <w:t>nr</w:t>
      </w:r>
      <w:r w:rsidR="00B9612D" w:rsidRPr="000551D3">
        <w:rPr>
          <w:rFonts w:ascii="Garamond" w:hAnsi="Garamond"/>
          <w:spacing w:val="-4"/>
          <w:szCs w:val="24"/>
          <w:lang w:val="sq-AL"/>
        </w:rPr>
        <w:t>.</w:t>
      </w:r>
      <w:r w:rsidRPr="000551D3">
        <w:rPr>
          <w:rFonts w:ascii="Garamond" w:hAnsi="Garamond"/>
          <w:spacing w:val="-4"/>
          <w:szCs w:val="24"/>
          <w:lang w:val="sq-AL"/>
        </w:rPr>
        <w:t xml:space="preserve"> </w:t>
      </w:r>
      <w:r w:rsidR="00B9612D" w:rsidRPr="000551D3">
        <w:rPr>
          <w:rFonts w:ascii="Garamond" w:hAnsi="Garamond"/>
          <w:spacing w:val="-4"/>
          <w:szCs w:val="24"/>
          <w:lang w:val="sq-AL"/>
        </w:rPr>
        <w:t xml:space="preserve">1 të Konventës në lidhje me konfiskimin e godinës; </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 xml:space="preserve">neni </w:t>
      </w:r>
      <w:r w:rsidR="00B9612D" w:rsidRPr="000551D3">
        <w:rPr>
          <w:rFonts w:ascii="Garamond" w:hAnsi="Garamond"/>
          <w:spacing w:val="-4"/>
          <w:szCs w:val="24"/>
          <w:lang w:val="sq-AL"/>
        </w:rPr>
        <w:t xml:space="preserve">13 së bashku me </w:t>
      </w:r>
      <w:r w:rsidRPr="000551D3">
        <w:rPr>
          <w:rFonts w:ascii="Garamond" w:hAnsi="Garamond"/>
          <w:spacing w:val="-4"/>
          <w:szCs w:val="24"/>
          <w:lang w:val="sq-AL"/>
        </w:rPr>
        <w:t xml:space="preserve">nenin </w:t>
      </w:r>
      <w:r w:rsidR="00B9612D" w:rsidRPr="000551D3">
        <w:rPr>
          <w:rFonts w:ascii="Garamond" w:hAnsi="Garamond"/>
          <w:spacing w:val="-4"/>
          <w:szCs w:val="24"/>
          <w:lang w:val="sq-AL"/>
        </w:rPr>
        <w:t xml:space="preserve">1 të </w:t>
      </w:r>
      <w:r w:rsidR="00AA7CA3" w:rsidRPr="000551D3">
        <w:rPr>
          <w:rFonts w:ascii="Garamond" w:hAnsi="Garamond"/>
          <w:spacing w:val="-4"/>
          <w:szCs w:val="24"/>
          <w:lang w:val="sq-AL"/>
        </w:rPr>
        <w:t>p</w:t>
      </w:r>
      <w:r w:rsidR="00B9612D" w:rsidRPr="000551D3">
        <w:rPr>
          <w:rFonts w:ascii="Garamond" w:hAnsi="Garamond"/>
          <w:spacing w:val="-4"/>
          <w:szCs w:val="24"/>
          <w:lang w:val="sq-AL"/>
        </w:rPr>
        <w:t xml:space="preserve">rotokollit </w:t>
      </w:r>
      <w:r w:rsidRPr="000551D3">
        <w:rPr>
          <w:rFonts w:ascii="Garamond" w:hAnsi="Garamond"/>
          <w:spacing w:val="-4"/>
          <w:szCs w:val="24"/>
          <w:lang w:val="sq-AL"/>
        </w:rPr>
        <w:t>nr</w:t>
      </w:r>
      <w:r w:rsidR="00B9612D" w:rsidRPr="000551D3">
        <w:rPr>
          <w:rFonts w:ascii="Garamond" w:hAnsi="Garamond"/>
          <w:spacing w:val="-4"/>
          <w:szCs w:val="24"/>
          <w:lang w:val="sq-AL"/>
        </w:rPr>
        <w:t>. 1 të Konventës</w:t>
      </w:r>
      <w:r w:rsidR="00896E0E" w:rsidRPr="000551D3">
        <w:rPr>
          <w:rFonts w:ascii="Garamond" w:hAnsi="Garamond"/>
          <w:spacing w:val="-4"/>
          <w:szCs w:val="24"/>
          <w:lang w:val="sq-AL"/>
        </w:rPr>
        <w:t>,</w:t>
      </w:r>
      <w:r w:rsidR="00B9612D" w:rsidRPr="000551D3">
        <w:rPr>
          <w:rFonts w:ascii="Garamond" w:hAnsi="Garamond"/>
          <w:spacing w:val="-4"/>
          <w:szCs w:val="24"/>
          <w:lang w:val="sq-AL"/>
        </w:rPr>
        <w:t xml:space="preserve"> në lidhje me konfiskimin e godinës; </w:t>
      </w:r>
    </w:p>
    <w:p w:rsidR="0013340B" w:rsidRPr="00922378" w:rsidRDefault="009B65F2" w:rsidP="00922378">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 xml:space="preserve">neni </w:t>
      </w:r>
      <w:r w:rsidR="00B9612D" w:rsidRPr="000551D3">
        <w:rPr>
          <w:rFonts w:ascii="Garamond" w:hAnsi="Garamond"/>
          <w:spacing w:val="-4"/>
          <w:szCs w:val="24"/>
          <w:lang w:val="sq-AL"/>
        </w:rPr>
        <w:t>13 së bashku m</w:t>
      </w:r>
      <w:r w:rsidR="00EF228D" w:rsidRPr="000551D3">
        <w:rPr>
          <w:rFonts w:ascii="Garamond" w:hAnsi="Garamond"/>
          <w:spacing w:val="-4"/>
          <w:szCs w:val="24"/>
          <w:lang w:val="sq-AL"/>
        </w:rPr>
        <w:t>e</w:t>
      </w:r>
      <w:r w:rsidR="00B9612D" w:rsidRPr="000551D3">
        <w:rPr>
          <w:rFonts w:ascii="Garamond" w:hAnsi="Garamond"/>
          <w:spacing w:val="-4"/>
          <w:szCs w:val="24"/>
          <w:lang w:val="sq-AL"/>
        </w:rPr>
        <w:t xml:space="preserve"> </w:t>
      </w:r>
      <w:r w:rsidRPr="000551D3">
        <w:rPr>
          <w:rFonts w:ascii="Garamond" w:hAnsi="Garamond"/>
          <w:spacing w:val="-4"/>
          <w:szCs w:val="24"/>
          <w:lang w:val="sq-AL"/>
        </w:rPr>
        <w:t xml:space="preserve">nenin </w:t>
      </w:r>
      <w:r w:rsidR="00B9612D" w:rsidRPr="000551D3">
        <w:rPr>
          <w:rFonts w:ascii="Garamond" w:hAnsi="Garamond"/>
          <w:spacing w:val="-4"/>
          <w:szCs w:val="24"/>
          <w:lang w:val="sq-AL"/>
        </w:rPr>
        <w:t xml:space="preserve">1 të </w:t>
      </w:r>
      <w:r w:rsidR="00AA7CA3" w:rsidRPr="000551D3">
        <w:rPr>
          <w:rFonts w:ascii="Garamond" w:hAnsi="Garamond"/>
          <w:spacing w:val="-4"/>
          <w:szCs w:val="24"/>
          <w:lang w:val="sq-AL"/>
        </w:rPr>
        <w:t>p</w:t>
      </w:r>
      <w:r w:rsidR="00B9612D" w:rsidRPr="000551D3">
        <w:rPr>
          <w:rFonts w:ascii="Garamond" w:hAnsi="Garamond"/>
          <w:spacing w:val="-4"/>
          <w:szCs w:val="24"/>
          <w:lang w:val="sq-AL"/>
        </w:rPr>
        <w:t xml:space="preserve">rotokollit </w:t>
      </w:r>
      <w:r w:rsidRPr="000551D3">
        <w:rPr>
          <w:rFonts w:ascii="Garamond" w:hAnsi="Garamond"/>
          <w:spacing w:val="-4"/>
          <w:szCs w:val="24"/>
          <w:lang w:val="sq-AL"/>
        </w:rPr>
        <w:t>nr</w:t>
      </w:r>
      <w:r w:rsidR="00B9612D" w:rsidRPr="000551D3">
        <w:rPr>
          <w:rFonts w:ascii="Garamond" w:hAnsi="Garamond"/>
          <w:spacing w:val="-4"/>
          <w:szCs w:val="24"/>
          <w:lang w:val="sq-AL"/>
        </w:rPr>
        <w:t>. 1 të Konventës</w:t>
      </w:r>
      <w:r w:rsidR="00896E0E" w:rsidRPr="000551D3">
        <w:rPr>
          <w:rFonts w:ascii="Garamond" w:hAnsi="Garamond"/>
          <w:spacing w:val="-4"/>
          <w:szCs w:val="24"/>
          <w:lang w:val="sq-AL"/>
        </w:rPr>
        <w:t>,</w:t>
      </w:r>
      <w:r w:rsidR="00B9612D" w:rsidRPr="000551D3">
        <w:rPr>
          <w:rFonts w:ascii="Garamond" w:hAnsi="Garamond"/>
          <w:spacing w:val="-4"/>
          <w:szCs w:val="24"/>
          <w:lang w:val="sq-AL"/>
        </w:rPr>
        <w:t xml:space="preserve"> në lidhje me shpronësimin dhe shembjen e godinës;</w:t>
      </w:r>
    </w:p>
    <w:p w:rsidR="00B9612D" w:rsidRPr="000551D3" w:rsidRDefault="009B65F2" w:rsidP="00B9612D">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 xml:space="preserve">Gjykon </w:t>
      </w:r>
      <w:r w:rsidR="00B9612D" w:rsidRPr="000551D3">
        <w:rPr>
          <w:rFonts w:ascii="Garamond" w:hAnsi="Garamond"/>
          <w:spacing w:val="-4"/>
          <w:szCs w:val="24"/>
          <w:lang w:val="sq-AL"/>
        </w:rPr>
        <w:t xml:space="preserve">se është shkelur </w:t>
      </w:r>
      <w:r w:rsidRPr="000551D3">
        <w:rPr>
          <w:rFonts w:ascii="Garamond" w:hAnsi="Garamond"/>
          <w:spacing w:val="-4"/>
          <w:szCs w:val="24"/>
          <w:lang w:val="sq-AL"/>
        </w:rPr>
        <w:t xml:space="preserve">neni </w:t>
      </w:r>
      <w:r w:rsidR="00B9612D" w:rsidRPr="000551D3">
        <w:rPr>
          <w:rFonts w:ascii="Garamond" w:hAnsi="Garamond"/>
          <w:spacing w:val="-4"/>
          <w:szCs w:val="24"/>
          <w:lang w:val="sq-AL"/>
        </w:rPr>
        <w:t xml:space="preserve">1 i </w:t>
      </w:r>
      <w:r w:rsidR="00896E0E" w:rsidRPr="000551D3">
        <w:rPr>
          <w:rFonts w:ascii="Garamond" w:hAnsi="Garamond"/>
          <w:spacing w:val="-4"/>
          <w:szCs w:val="24"/>
          <w:lang w:val="sq-AL"/>
        </w:rPr>
        <w:t xml:space="preserve">protokollit </w:t>
      </w:r>
      <w:r w:rsidRPr="000551D3">
        <w:rPr>
          <w:rFonts w:ascii="Garamond" w:hAnsi="Garamond"/>
          <w:spacing w:val="-4"/>
          <w:szCs w:val="24"/>
          <w:lang w:val="sq-AL"/>
        </w:rPr>
        <w:t>nr</w:t>
      </w:r>
      <w:r w:rsidR="00B9612D" w:rsidRPr="000551D3">
        <w:rPr>
          <w:rFonts w:ascii="Garamond" w:hAnsi="Garamond"/>
          <w:spacing w:val="-4"/>
          <w:szCs w:val="24"/>
          <w:lang w:val="sq-AL"/>
        </w:rPr>
        <w:t>. 1 të Konventës</w:t>
      </w:r>
      <w:r w:rsidR="00896E0E" w:rsidRPr="000551D3">
        <w:rPr>
          <w:rFonts w:ascii="Garamond" w:hAnsi="Garamond"/>
          <w:spacing w:val="-4"/>
          <w:szCs w:val="24"/>
          <w:lang w:val="sq-AL"/>
        </w:rPr>
        <w:t>,</w:t>
      </w:r>
      <w:r w:rsidR="00B9612D" w:rsidRPr="000551D3">
        <w:rPr>
          <w:rFonts w:ascii="Garamond" w:hAnsi="Garamond"/>
          <w:spacing w:val="-4"/>
          <w:szCs w:val="24"/>
          <w:lang w:val="sq-AL"/>
        </w:rPr>
        <w:t xml:space="preserve"> në lidhje me shpronësimin dhe shembjen e godinës; </w:t>
      </w:r>
    </w:p>
    <w:p w:rsidR="009B65F2" w:rsidRPr="000551D3" w:rsidRDefault="009B65F2" w:rsidP="009B65F2">
      <w:pPr>
        <w:pStyle w:val="JuList"/>
        <w:widowControl w:val="0"/>
        <w:numPr>
          <w:ilvl w:val="0"/>
          <w:numId w:val="385"/>
        </w:numPr>
        <w:ind w:left="0" w:firstLine="284"/>
        <w:rPr>
          <w:rFonts w:ascii="Garamond" w:hAnsi="Garamond"/>
          <w:spacing w:val="-4"/>
          <w:szCs w:val="24"/>
          <w:lang w:val="sq-AL"/>
        </w:rPr>
      </w:pPr>
      <w:r w:rsidRPr="000551D3">
        <w:rPr>
          <w:rFonts w:ascii="Garamond" w:hAnsi="Garamond"/>
          <w:i/>
          <w:spacing w:val="-4"/>
          <w:szCs w:val="24"/>
          <w:lang w:val="sq-AL"/>
        </w:rPr>
        <w:t xml:space="preserve"> </w:t>
      </w:r>
      <w:r w:rsidR="00B9612D" w:rsidRPr="000551D3">
        <w:rPr>
          <w:rFonts w:ascii="Garamond" w:hAnsi="Garamond"/>
          <w:i/>
          <w:spacing w:val="-4"/>
          <w:szCs w:val="24"/>
          <w:lang w:val="sq-AL"/>
        </w:rPr>
        <w:t>Gjykon</w:t>
      </w:r>
      <w:r w:rsidR="00233BC7" w:rsidRPr="000551D3">
        <w:rPr>
          <w:rFonts w:ascii="Garamond" w:hAnsi="Garamond"/>
          <w:i/>
          <w:spacing w:val="-4"/>
          <w:szCs w:val="24"/>
          <w:lang w:val="sq-AL"/>
        </w:rPr>
        <w:t>:</w:t>
      </w:r>
      <w:r w:rsidR="00B9612D" w:rsidRPr="000551D3">
        <w:rPr>
          <w:rFonts w:ascii="Garamond" w:hAnsi="Garamond"/>
          <w:i/>
          <w:spacing w:val="-4"/>
          <w:szCs w:val="24"/>
          <w:lang w:val="sq-AL"/>
        </w:rPr>
        <w:t xml:space="preserve"> </w:t>
      </w:r>
    </w:p>
    <w:p w:rsidR="00B9612D" w:rsidRPr="000551D3" w:rsidRDefault="009B65F2" w:rsidP="009B65F2">
      <w:pPr>
        <w:pStyle w:val="JuList"/>
        <w:widowControl w:val="0"/>
        <w:ind w:left="0" w:firstLine="288"/>
        <w:rPr>
          <w:rFonts w:ascii="Garamond" w:hAnsi="Garamond"/>
          <w:spacing w:val="-4"/>
          <w:szCs w:val="24"/>
          <w:lang w:val="sq-AL"/>
        </w:rPr>
      </w:pPr>
      <w:r w:rsidRPr="000551D3">
        <w:rPr>
          <w:rFonts w:ascii="Garamond" w:hAnsi="Garamond"/>
          <w:spacing w:val="-4"/>
          <w:szCs w:val="24"/>
          <w:lang w:val="sq-AL"/>
        </w:rPr>
        <w:t xml:space="preserve">a) </w:t>
      </w:r>
      <w:r w:rsidR="00B9612D" w:rsidRPr="000551D3">
        <w:rPr>
          <w:rFonts w:ascii="Garamond" w:hAnsi="Garamond"/>
          <w:spacing w:val="-4"/>
          <w:szCs w:val="24"/>
          <w:lang w:val="sq-AL"/>
        </w:rPr>
        <w:t xml:space="preserve">Se </w:t>
      </w:r>
      <w:r w:rsidRPr="000551D3">
        <w:rPr>
          <w:rFonts w:ascii="Garamond" w:hAnsi="Garamond"/>
          <w:spacing w:val="-4"/>
          <w:szCs w:val="24"/>
          <w:lang w:val="sq-AL"/>
        </w:rPr>
        <w:t>shteti i paditur duhet t’</w:t>
      </w:r>
      <w:r w:rsidR="00B9612D" w:rsidRPr="000551D3">
        <w:rPr>
          <w:rFonts w:ascii="Garamond" w:hAnsi="Garamond"/>
          <w:spacing w:val="-4"/>
          <w:szCs w:val="24"/>
          <w:lang w:val="sq-AL"/>
        </w:rPr>
        <w:t xml:space="preserve">u paguajë kërkuesve, brenda tre muajve nga data kur vendimi bëhet i formës së prerë në përputhje me </w:t>
      </w:r>
      <w:r w:rsidRPr="000551D3">
        <w:rPr>
          <w:rFonts w:ascii="Garamond" w:hAnsi="Garamond"/>
          <w:spacing w:val="-4"/>
          <w:szCs w:val="24"/>
          <w:lang w:val="sq-AL"/>
        </w:rPr>
        <w:t xml:space="preserve">nenin </w:t>
      </w:r>
      <w:r w:rsidR="00B9612D" w:rsidRPr="000551D3">
        <w:rPr>
          <w:rFonts w:ascii="Garamond" w:hAnsi="Garamond"/>
          <w:spacing w:val="-4"/>
          <w:szCs w:val="24"/>
          <w:lang w:val="sq-AL"/>
        </w:rPr>
        <w:t>44</w:t>
      </w:r>
      <w:r w:rsidR="008B2E1D" w:rsidRPr="000551D3">
        <w:rPr>
          <w:rFonts w:ascii="Garamond" w:hAnsi="Garamond"/>
          <w:spacing w:val="-4"/>
          <w:szCs w:val="24"/>
          <w:lang w:val="sq-AL"/>
        </w:rPr>
        <w:t>§</w:t>
      </w:r>
      <w:r w:rsidR="00B9612D" w:rsidRPr="000551D3">
        <w:rPr>
          <w:rFonts w:ascii="Garamond" w:hAnsi="Garamond"/>
          <w:spacing w:val="-4"/>
          <w:szCs w:val="24"/>
          <w:lang w:val="sq-AL"/>
        </w:rPr>
        <w:t xml:space="preserve">2 të Konventës, shumat e mëposhtme, të cilat duhet të konvertohen në monedhën e </w:t>
      </w:r>
      <w:r w:rsidR="00B621CC" w:rsidRPr="000551D3">
        <w:rPr>
          <w:rFonts w:ascii="Garamond" w:hAnsi="Garamond"/>
          <w:spacing w:val="-4"/>
          <w:szCs w:val="24"/>
          <w:lang w:val="sq-AL"/>
        </w:rPr>
        <w:t xml:space="preserve">shtetit </w:t>
      </w:r>
      <w:r w:rsidR="00B9612D" w:rsidRPr="000551D3">
        <w:rPr>
          <w:rFonts w:ascii="Garamond" w:hAnsi="Garamond"/>
          <w:spacing w:val="-4"/>
          <w:szCs w:val="24"/>
          <w:lang w:val="sq-AL"/>
        </w:rPr>
        <w:t xml:space="preserve">të paditur në normën e zbatueshme në datën e shlyerjes: </w:t>
      </w:r>
    </w:p>
    <w:p w:rsidR="00B9612D" w:rsidRPr="000551D3" w:rsidRDefault="00B9612D" w:rsidP="00B9612D">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i</w:t>
      </w:r>
      <w:r w:rsidR="009B65F2" w:rsidRPr="000551D3">
        <w:rPr>
          <w:rFonts w:ascii="Garamond" w:hAnsi="Garamond"/>
          <w:spacing w:val="-4"/>
          <w:szCs w:val="24"/>
          <w:lang w:val="sq-AL"/>
        </w:rPr>
        <w:t>.</w:t>
      </w:r>
      <w:r w:rsidRPr="000551D3">
        <w:rPr>
          <w:rFonts w:ascii="Garamond" w:hAnsi="Garamond"/>
          <w:spacing w:val="-4"/>
          <w:szCs w:val="24"/>
          <w:lang w:val="sq-AL"/>
        </w:rPr>
        <w:t> 13,098,600 euro (trembëdhjetë milion</w:t>
      </w:r>
      <w:r w:rsidR="00B621CC" w:rsidRPr="000551D3">
        <w:rPr>
          <w:rFonts w:ascii="Garamond" w:hAnsi="Garamond"/>
          <w:spacing w:val="-4"/>
          <w:szCs w:val="24"/>
          <w:lang w:val="sq-AL"/>
        </w:rPr>
        <w:t>ë</w:t>
      </w:r>
      <w:r w:rsidRPr="000551D3">
        <w:rPr>
          <w:rFonts w:ascii="Garamond" w:hAnsi="Garamond"/>
          <w:spacing w:val="-4"/>
          <w:szCs w:val="24"/>
          <w:lang w:val="sq-AL"/>
        </w:rPr>
        <w:t xml:space="preserve"> e nëntëdhjetë e tetë mijë e gjashtëqind euro) për të gjithë kërkuesit, plus çdo taksë që mund të jetë e tarifueshme, në lidhje me dëmin monetar;</w:t>
      </w:r>
    </w:p>
    <w:p w:rsidR="00B9612D" w:rsidRPr="000551D3" w:rsidRDefault="00B9612D" w:rsidP="00B9612D">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ii</w:t>
      </w:r>
      <w:r w:rsidR="009B65F2" w:rsidRPr="000551D3">
        <w:rPr>
          <w:rFonts w:ascii="Garamond" w:hAnsi="Garamond"/>
          <w:spacing w:val="-4"/>
          <w:szCs w:val="24"/>
          <w:lang w:val="sq-AL"/>
        </w:rPr>
        <w:t>.</w:t>
      </w:r>
      <w:r w:rsidR="00E91B0C" w:rsidRPr="000551D3">
        <w:rPr>
          <w:rFonts w:ascii="Garamond" w:hAnsi="Garamond"/>
          <w:spacing w:val="-4"/>
          <w:szCs w:val="24"/>
          <w:lang w:val="sq-AL"/>
        </w:rPr>
        <w:t xml:space="preserve"> </w:t>
      </w:r>
      <w:r w:rsidRPr="000551D3">
        <w:rPr>
          <w:rFonts w:ascii="Garamond" w:hAnsi="Garamond"/>
          <w:spacing w:val="-4"/>
          <w:szCs w:val="24"/>
          <w:lang w:val="sq-AL"/>
        </w:rPr>
        <w:t>13,000 euro (trembëdhjetë mijë euro) për secilin prej kërkuesve me nr. 3</w:t>
      </w:r>
      <w:r w:rsidR="009B65F2" w:rsidRPr="000551D3">
        <w:rPr>
          <w:rFonts w:ascii="Garamond" w:hAnsi="Garamond"/>
          <w:spacing w:val="-4"/>
          <w:szCs w:val="24"/>
          <w:lang w:val="sq-AL"/>
        </w:rPr>
        <w:t>–</w:t>
      </w:r>
      <w:r w:rsidRPr="000551D3">
        <w:rPr>
          <w:rFonts w:ascii="Garamond" w:hAnsi="Garamond"/>
          <w:spacing w:val="-4"/>
          <w:szCs w:val="24"/>
          <w:lang w:val="sq-AL"/>
        </w:rPr>
        <w:t xml:space="preserve">19 të listuar në shtojcë, plus çdo taksë që mund të jetë e tarifueshme në lidhje me dëmin jomonetar; </w:t>
      </w:r>
    </w:p>
    <w:p w:rsidR="009B65F2" w:rsidRPr="000551D3" w:rsidRDefault="00B9612D" w:rsidP="009B65F2">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iii</w:t>
      </w:r>
      <w:r w:rsidR="009B65F2" w:rsidRPr="000551D3">
        <w:rPr>
          <w:rFonts w:ascii="Garamond" w:hAnsi="Garamond"/>
          <w:spacing w:val="-4"/>
          <w:szCs w:val="24"/>
          <w:lang w:val="sq-AL"/>
        </w:rPr>
        <w:t>.</w:t>
      </w:r>
      <w:r w:rsidR="00E91B0C" w:rsidRPr="000551D3">
        <w:rPr>
          <w:rFonts w:ascii="Garamond" w:hAnsi="Garamond"/>
          <w:spacing w:val="-4"/>
          <w:szCs w:val="24"/>
          <w:lang w:val="sq-AL"/>
        </w:rPr>
        <w:t xml:space="preserve"> </w:t>
      </w:r>
      <w:r w:rsidRPr="000551D3">
        <w:rPr>
          <w:rFonts w:ascii="Garamond" w:hAnsi="Garamond"/>
          <w:spacing w:val="-4"/>
          <w:szCs w:val="24"/>
          <w:lang w:val="sq-AL"/>
        </w:rPr>
        <w:t>7,800 euro (shtatë mijë e tetëqind euro) për kërkuesin e parë dhe të dytë m</w:t>
      </w:r>
      <w:r w:rsidR="009B65F2" w:rsidRPr="000551D3">
        <w:rPr>
          <w:rFonts w:ascii="Garamond" w:hAnsi="Garamond"/>
          <w:spacing w:val="-4"/>
          <w:szCs w:val="24"/>
          <w:lang w:val="sq-AL"/>
        </w:rPr>
        <w:t>ë</w:t>
      </w:r>
      <w:r w:rsidRPr="000551D3">
        <w:rPr>
          <w:rFonts w:ascii="Garamond" w:hAnsi="Garamond"/>
          <w:spacing w:val="-4"/>
          <w:szCs w:val="24"/>
          <w:lang w:val="sq-AL"/>
        </w:rPr>
        <w:t>veçantë, plus çdo taksë që mund të jetë e tari</w:t>
      </w:r>
      <w:r w:rsidR="009B65F2" w:rsidRPr="000551D3">
        <w:rPr>
          <w:rFonts w:ascii="Garamond" w:hAnsi="Garamond"/>
          <w:spacing w:val="-4"/>
          <w:szCs w:val="24"/>
          <w:lang w:val="sq-AL"/>
        </w:rPr>
        <w:t xml:space="preserve">fueshme, për dëmin jomonetar; </w:t>
      </w:r>
    </w:p>
    <w:p w:rsidR="009B65F2" w:rsidRPr="000551D3" w:rsidRDefault="009B65F2" w:rsidP="009B65F2">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 xml:space="preserve">iv. </w:t>
      </w:r>
      <w:r w:rsidR="00B9612D" w:rsidRPr="000551D3">
        <w:rPr>
          <w:rFonts w:ascii="Garamond" w:hAnsi="Garamond"/>
          <w:spacing w:val="-4"/>
          <w:szCs w:val="24"/>
          <w:lang w:val="sq-AL"/>
        </w:rPr>
        <w:t xml:space="preserve">84,500 euro (tetëdhjetë e katër mijë e pesëqind euro) për të gjithë kërkuesit, së bashku, plus çdo taksë që mund të jetë e taksueshme, për kostot dhe shpenzimet e shkaktuara në gjykatat </w:t>
      </w:r>
      <w:r w:rsidR="003C06FD" w:rsidRPr="000551D3">
        <w:rPr>
          <w:rFonts w:ascii="Garamond" w:hAnsi="Garamond"/>
          <w:spacing w:val="-4"/>
          <w:szCs w:val="24"/>
          <w:lang w:val="sq-AL"/>
        </w:rPr>
        <w:t>vendës</w:t>
      </w:r>
      <w:r w:rsidR="00B9612D" w:rsidRPr="000551D3">
        <w:rPr>
          <w:rFonts w:ascii="Garamond" w:hAnsi="Garamond"/>
          <w:spacing w:val="-4"/>
          <w:szCs w:val="24"/>
          <w:lang w:val="sq-AL"/>
        </w:rPr>
        <w:t xml:space="preserve">e (tarifa e taksës); </w:t>
      </w:r>
    </w:p>
    <w:p w:rsidR="00354D6A" w:rsidRPr="0013340B" w:rsidRDefault="00354D6A" w:rsidP="009B65F2">
      <w:pPr>
        <w:pStyle w:val="JuListi"/>
        <w:widowControl w:val="0"/>
        <w:ind w:left="0" w:firstLine="284"/>
        <w:rPr>
          <w:rFonts w:ascii="Garamond" w:hAnsi="Garamond"/>
          <w:spacing w:val="-4"/>
          <w:sz w:val="6"/>
          <w:szCs w:val="24"/>
          <w:lang w:val="sq-AL"/>
        </w:rPr>
      </w:pPr>
    </w:p>
    <w:p w:rsidR="009B65F2" w:rsidRPr="000551D3" w:rsidRDefault="009B65F2" w:rsidP="009B65F2">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 xml:space="preserve">v. </w:t>
      </w:r>
      <w:r w:rsidR="00B9612D" w:rsidRPr="000551D3">
        <w:rPr>
          <w:rFonts w:ascii="Garamond" w:hAnsi="Garamond"/>
          <w:spacing w:val="-4"/>
          <w:szCs w:val="24"/>
          <w:lang w:val="sq-AL"/>
        </w:rPr>
        <w:t>9,600 euro (nëntë mijë e gjashtëqind euro) për kërkuesit M.</w:t>
      </w:r>
      <w:r w:rsidRPr="000551D3">
        <w:rPr>
          <w:rFonts w:ascii="Garamond" w:hAnsi="Garamond"/>
          <w:spacing w:val="-4"/>
          <w:szCs w:val="24"/>
          <w:lang w:val="sq-AL"/>
        </w:rPr>
        <w:t xml:space="preserve"> </w:t>
      </w:r>
      <w:r w:rsidR="00B9612D" w:rsidRPr="000551D3">
        <w:rPr>
          <w:rFonts w:ascii="Garamond" w:hAnsi="Garamond"/>
          <w:spacing w:val="-4"/>
          <w:szCs w:val="24"/>
          <w:lang w:val="sq-AL"/>
        </w:rPr>
        <w:t>Hanxhari, T. Pojani, G. Calliku, M. Mecaj, E. Durolli, B. Rakipaj, P. Rakipaj, A. Deromemaj, së bashku, plus çdo taksë që mund të jetë e tarifueshme, për kostot dhe shpenzimet e shkaktuara në gjykatat e brendshme (tarifat e avokatëve);</w:t>
      </w:r>
    </w:p>
    <w:p w:rsidR="00B9612D" w:rsidRPr="000551D3" w:rsidRDefault="009B65F2" w:rsidP="009B65F2">
      <w:pPr>
        <w:pStyle w:val="JuListi"/>
        <w:widowControl w:val="0"/>
        <w:ind w:left="0" w:firstLine="284"/>
        <w:rPr>
          <w:rFonts w:ascii="Garamond" w:hAnsi="Garamond"/>
          <w:spacing w:val="-4"/>
          <w:szCs w:val="24"/>
          <w:lang w:val="sq-AL"/>
        </w:rPr>
      </w:pPr>
      <w:r w:rsidRPr="000551D3">
        <w:rPr>
          <w:rFonts w:ascii="Garamond" w:hAnsi="Garamond"/>
          <w:spacing w:val="-4"/>
          <w:szCs w:val="24"/>
          <w:lang w:val="sq-AL"/>
        </w:rPr>
        <w:t xml:space="preserve">vi. </w:t>
      </w:r>
      <w:r w:rsidR="00B9612D" w:rsidRPr="000551D3">
        <w:rPr>
          <w:rFonts w:ascii="Garamond" w:hAnsi="Garamond"/>
          <w:spacing w:val="-4"/>
          <w:szCs w:val="24"/>
          <w:lang w:val="sq-AL"/>
        </w:rPr>
        <w:t>18,000 euro (tetëmbëdhjetë mijë euro) për të gjithë kërkuesit, së bashku, plus çdo taksë që mund të jetë e tarifueshme për kërkuesit, për kostot dhe shpenzimet e shkaktuara në Gjykatë;</w:t>
      </w:r>
    </w:p>
    <w:p w:rsidR="00B9612D" w:rsidRPr="000551D3" w:rsidRDefault="00E4573F" w:rsidP="00B9612D">
      <w:pPr>
        <w:pStyle w:val="JuLista"/>
        <w:widowControl w:val="0"/>
        <w:ind w:left="0" w:firstLine="284"/>
        <w:rPr>
          <w:rFonts w:ascii="Garamond" w:hAnsi="Garamond"/>
          <w:spacing w:val="-4"/>
          <w:szCs w:val="24"/>
          <w:lang w:val="sq-AL"/>
        </w:rPr>
      </w:pPr>
      <w:r w:rsidRPr="000551D3">
        <w:rPr>
          <w:rFonts w:ascii="Garamond" w:hAnsi="Garamond"/>
          <w:spacing w:val="-4"/>
          <w:szCs w:val="24"/>
          <w:lang w:val="sq-AL"/>
        </w:rPr>
        <w:t xml:space="preserve"> </w:t>
      </w:r>
      <w:r w:rsidR="00B9612D" w:rsidRPr="000551D3">
        <w:rPr>
          <w:rFonts w:ascii="Garamond" w:hAnsi="Garamond"/>
          <w:spacing w:val="-4"/>
          <w:szCs w:val="24"/>
          <w:lang w:val="sq-AL"/>
        </w:rPr>
        <w:t>b)</w:t>
      </w:r>
      <w:r w:rsidR="00E91B0C" w:rsidRPr="000551D3">
        <w:rPr>
          <w:rFonts w:ascii="Garamond" w:hAnsi="Garamond"/>
          <w:spacing w:val="-4"/>
          <w:szCs w:val="24"/>
          <w:lang w:val="sq-AL"/>
        </w:rPr>
        <w:t xml:space="preserve"> </w:t>
      </w:r>
      <w:r w:rsidR="00233BC7" w:rsidRPr="000551D3">
        <w:rPr>
          <w:rFonts w:ascii="Garamond" w:hAnsi="Garamond"/>
          <w:spacing w:val="-4"/>
          <w:szCs w:val="24"/>
          <w:lang w:val="sq-AL"/>
        </w:rPr>
        <w:t>Se</w:t>
      </w:r>
      <w:r w:rsidR="008541A0" w:rsidRPr="000551D3">
        <w:rPr>
          <w:rFonts w:ascii="Garamond" w:hAnsi="Garamond"/>
          <w:spacing w:val="-4"/>
          <w:szCs w:val="24"/>
          <w:lang w:val="sq-AL"/>
        </w:rPr>
        <w:t>,</w:t>
      </w:r>
      <w:r w:rsidR="00233BC7" w:rsidRPr="000551D3">
        <w:rPr>
          <w:rFonts w:ascii="Garamond" w:hAnsi="Garamond"/>
          <w:spacing w:val="-4"/>
          <w:szCs w:val="24"/>
          <w:lang w:val="sq-AL"/>
        </w:rPr>
        <w:t xml:space="preserve"> </w:t>
      </w:r>
      <w:r w:rsidR="00B9612D" w:rsidRPr="000551D3">
        <w:rPr>
          <w:rFonts w:ascii="Garamond" w:hAnsi="Garamond"/>
          <w:spacing w:val="-4"/>
          <w:szCs w:val="24"/>
          <w:lang w:val="sq-AL"/>
        </w:rPr>
        <w:t>që nga përfundimi i periudhës së mësipërme tremujore deri në shlyerjen e interesit të thjeshtë do të jetë e pagueshme në shumat e mësipërme, në normën e barabartë me normën margjinale huadhënëse të Bankës Qendrore E</w:t>
      </w:r>
      <w:r w:rsidR="009B65F2" w:rsidRPr="000551D3">
        <w:rPr>
          <w:rFonts w:ascii="Garamond" w:hAnsi="Garamond"/>
          <w:spacing w:val="-4"/>
          <w:szCs w:val="24"/>
          <w:lang w:val="sq-AL"/>
        </w:rPr>
        <w:t>v</w:t>
      </w:r>
      <w:r w:rsidR="00B9612D" w:rsidRPr="000551D3">
        <w:rPr>
          <w:rFonts w:ascii="Garamond" w:hAnsi="Garamond"/>
          <w:spacing w:val="-4"/>
          <w:szCs w:val="24"/>
          <w:lang w:val="sq-AL"/>
        </w:rPr>
        <w:t>ropiane gjatë periudhës së vonesës plus pikë tre për</w:t>
      </w:r>
      <w:r w:rsidR="009B65F2" w:rsidRPr="000551D3">
        <w:rPr>
          <w:rFonts w:ascii="Garamond" w:hAnsi="Garamond"/>
          <w:spacing w:val="-4"/>
          <w:szCs w:val="24"/>
          <w:lang w:val="sq-AL"/>
        </w:rPr>
        <w:t xml:space="preserve"> </w:t>
      </w:r>
      <w:r w:rsidR="00B9612D" w:rsidRPr="000551D3">
        <w:rPr>
          <w:rFonts w:ascii="Garamond" w:hAnsi="Garamond"/>
          <w:spacing w:val="-4"/>
          <w:szCs w:val="24"/>
          <w:lang w:val="sq-AL"/>
        </w:rPr>
        <w:t>qind;</w:t>
      </w:r>
      <w:r w:rsidR="00E91B0C" w:rsidRPr="000551D3">
        <w:rPr>
          <w:rFonts w:ascii="Garamond" w:hAnsi="Garamond"/>
          <w:spacing w:val="-4"/>
          <w:szCs w:val="24"/>
          <w:lang w:val="sq-AL"/>
        </w:rPr>
        <w:t xml:space="preserve"> </w:t>
      </w:r>
    </w:p>
    <w:p w:rsidR="00B9612D" w:rsidRPr="000551D3" w:rsidRDefault="00B9612D" w:rsidP="00B9612D">
      <w:pPr>
        <w:pStyle w:val="JuList"/>
        <w:widowControl w:val="0"/>
        <w:ind w:left="0" w:firstLine="284"/>
        <w:rPr>
          <w:rFonts w:ascii="Garamond" w:hAnsi="Garamond"/>
          <w:spacing w:val="-4"/>
          <w:szCs w:val="24"/>
          <w:lang w:val="sq-AL"/>
        </w:rPr>
      </w:pPr>
      <w:r w:rsidRPr="000551D3">
        <w:rPr>
          <w:rFonts w:ascii="Garamond" w:hAnsi="Garamond"/>
          <w:spacing w:val="-4"/>
          <w:szCs w:val="24"/>
          <w:lang w:val="sq-AL"/>
        </w:rPr>
        <w:t>14.</w:t>
      </w:r>
      <w:r w:rsidR="00E91B0C" w:rsidRPr="000551D3">
        <w:rPr>
          <w:rFonts w:ascii="Garamond" w:hAnsi="Garamond"/>
          <w:spacing w:val="-4"/>
          <w:szCs w:val="24"/>
          <w:lang w:val="sq-AL"/>
        </w:rPr>
        <w:t xml:space="preserve"> </w:t>
      </w:r>
      <w:r w:rsidRPr="000551D3">
        <w:rPr>
          <w:rFonts w:ascii="Garamond" w:hAnsi="Garamond"/>
          <w:i/>
          <w:spacing w:val="-4"/>
          <w:szCs w:val="24"/>
          <w:lang w:val="sq-AL"/>
        </w:rPr>
        <w:t xml:space="preserve">Pushon </w:t>
      </w:r>
      <w:r w:rsidRPr="000551D3">
        <w:rPr>
          <w:rFonts w:ascii="Garamond" w:hAnsi="Garamond"/>
          <w:spacing w:val="-4"/>
          <w:szCs w:val="24"/>
          <w:lang w:val="sq-AL"/>
        </w:rPr>
        <w:t>pjesën e mbetur të kërkesës së ankuesve për kompensim të drejtë.</w:t>
      </w:r>
      <w:r w:rsidR="00E91B0C" w:rsidRPr="000551D3">
        <w:rPr>
          <w:rFonts w:ascii="Garamond" w:hAnsi="Garamond"/>
          <w:spacing w:val="-4"/>
          <w:szCs w:val="24"/>
          <w:lang w:val="sq-AL"/>
        </w:rPr>
        <w:t xml:space="preserve"> </w:t>
      </w:r>
    </w:p>
    <w:p w:rsidR="00B9612D" w:rsidRPr="000551D3" w:rsidRDefault="00B9612D" w:rsidP="00B9612D">
      <w:pPr>
        <w:pStyle w:val="JuParaLast"/>
        <w:keepNext w:val="0"/>
        <w:keepLines w:val="0"/>
        <w:widowControl w:val="0"/>
        <w:spacing w:before="0"/>
        <w:rPr>
          <w:rFonts w:ascii="Garamond" w:hAnsi="Garamond"/>
          <w:spacing w:val="-4"/>
          <w:szCs w:val="24"/>
          <w:lang w:val="sq-AL"/>
        </w:rPr>
      </w:pPr>
      <w:r w:rsidRPr="000551D3">
        <w:rPr>
          <w:rFonts w:ascii="Garamond" w:hAnsi="Garamond"/>
          <w:spacing w:val="-4"/>
          <w:szCs w:val="24"/>
          <w:lang w:val="sq-AL"/>
        </w:rPr>
        <w:t xml:space="preserve">Hartuar në anglisht dhe njoftuar me shkrim, më 11 janar 2018, sipas </w:t>
      </w:r>
      <w:r w:rsidR="00781175" w:rsidRPr="000551D3">
        <w:rPr>
          <w:rFonts w:ascii="Garamond" w:hAnsi="Garamond"/>
          <w:spacing w:val="-4"/>
          <w:szCs w:val="24"/>
          <w:lang w:val="sq-AL"/>
        </w:rPr>
        <w:t xml:space="preserve">rregullës </w:t>
      </w:r>
      <w:r w:rsidRPr="000551D3">
        <w:rPr>
          <w:rFonts w:ascii="Garamond" w:hAnsi="Garamond"/>
          <w:spacing w:val="-4"/>
          <w:szCs w:val="24"/>
          <w:lang w:val="sq-AL"/>
        </w:rPr>
        <w:t>77§§2 dhe 3 të Rregullores së Gjykatës.</w:t>
      </w:r>
    </w:p>
    <w:p w:rsidR="000551D3" w:rsidRPr="0013340B" w:rsidRDefault="000551D3" w:rsidP="000551D3">
      <w:pPr>
        <w:pStyle w:val="JuPara"/>
        <w:rPr>
          <w:sz w:val="6"/>
          <w:lang w:val="sq-AL"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0551D3" w:rsidTr="000551D3">
        <w:tc>
          <w:tcPr>
            <w:tcW w:w="2404" w:type="dxa"/>
          </w:tcPr>
          <w:p w:rsidR="000551D3" w:rsidRDefault="000551D3" w:rsidP="000551D3">
            <w:pPr>
              <w:pStyle w:val="JuSigned"/>
              <w:widowControl w:val="0"/>
              <w:spacing w:before="0"/>
              <w:jc w:val="center"/>
              <w:rPr>
                <w:rFonts w:ascii="Garamond" w:hAnsi="Garamond"/>
                <w:szCs w:val="24"/>
                <w:lang w:val="sq-AL"/>
              </w:rPr>
            </w:pPr>
            <w:r w:rsidRPr="000551D3">
              <w:rPr>
                <w:rFonts w:ascii="Garamond" w:hAnsi="Garamond"/>
                <w:b/>
                <w:szCs w:val="24"/>
                <w:lang w:val="sq-AL"/>
              </w:rPr>
              <w:t>Abel Campos Linos</w:t>
            </w:r>
            <w:r w:rsidRPr="000551D3">
              <w:rPr>
                <w:rFonts w:ascii="Garamond" w:hAnsi="Garamond"/>
                <w:b/>
                <w:iCs/>
                <w:szCs w:val="24"/>
                <w:lang w:val="sq-AL"/>
              </w:rPr>
              <w:t xml:space="preserve"> </w:t>
            </w:r>
            <w:r w:rsidRPr="00E91B0C">
              <w:rPr>
                <w:rFonts w:ascii="Garamond" w:hAnsi="Garamond"/>
                <w:iCs/>
                <w:szCs w:val="24"/>
                <w:lang w:val="sq-AL"/>
              </w:rPr>
              <w:t>Regjistrues</w:t>
            </w:r>
          </w:p>
        </w:tc>
        <w:tc>
          <w:tcPr>
            <w:tcW w:w="2404" w:type="dxa"/>
          </w:tcPr>
          <w:p w:rsidR="000551D3" w:rsidRDefault="000551D3" w:rsidP="000551D3">
            <w:pPr>
              <w:pStyle w:val="JuSigned"/>
              <w:widowControl w:val="0"/>
              <w:spacing w:before="0"/>
              <w:jc w:val="center"/>
              <w:rPr>
                <w:rFonts w:ascii="Garamond" w:hAnsi="Garamond"/>
                <w:szCs w:val="24"/>
                <w:lang w:val="sq-AL"/>
              </w:rPr>
            </w:pPr>
            <w:r w:rsidRPr="000551D3">
              <w:rPr>
                <w:rFonts w:ascii="Garamond" w:hAnsi="Garamond"/>
                <w:b/>
                <w:szCs w:val="24"/>
                <w:lang w:val="sq-AL"/>
              </w:rPr>
              <w:t xml:space="preserve">Alexandre Sicilianos </w:t>
            </w:r>
            <w:r w:rsidRPr="00E91B0C">
              <w:rPr>
                <w:rFonts w:ascii="Garamond" w:hAnsi="Garamond"/>
                <w:szCs w:val="24"/>
                <w:lang w:val="sq-AL"/>
              </w:rPr>
              <w:t>Kryetar</w:t>
            </w:r>
          </w:p>
        </w:tc>
      </w:tr>
    </w:tbl>
    <w:p w:rsidR="000551D3" w:rsidRDefault="000551D3" w:rsidP="00B9612D">
      <w:pPr>
        <w:pStyle w:val="JuParaLast"/>
        <w:keepNext w:val="0"/>
        <w:keepLines w:val="0"/>
        <w:widowControl w:val="0"/>
        <w:spacing w:before="0"/>
        <w:rPr>
          <w:rFonts w:ascii="Garamond" w:hAnsi="Garamond"/>
          <w:szCs w:val="24"/>
          <w:lang w:val="sq-AL"/>
        </w:rPr>
      </w:pPr>
    </w:p>
    <w:p w:rsidR="000551D3" w:rsidRDefault="000551D3"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Default="00922378" w:rsidP="000551D3">
      <w:pPr>
        <w:pStyle w:val="JuPara"/>
        <w:rPr>
          <w:lang w:val="sq-AL" w:eastAsia="en-US"/>
        </w:rPr>
      </w:pPr>
    </w:p>
    <w:p w:rsidR="00922378" w:rsidRPr="000551D3" w:rsidRDefault="00922378" w:rsidP="000551D3">
      <w:pPr>
        <w:pStyle w:val="JuPara"/>
        <w:rPr>
          <w:lang w:val="sq-AL" w:eastAsia="en-US"/>
        </w:rPr>
        <w:sectPr w:rsidR="00922378" w:rsidRPr="000551D3" w:rsidSect="00922378">
          <w:type w:val="continuous"/>
          <w:pgSz w:w="11907" w:h="16840" w:code="9"/>
          <w:pgMar w:top="720" w:right="1134" w:bottom="720" w:left="1134" w:header="851" w:footer="851" w:gutter="0"/>
          <w:pgNumType w:start="8437"/>
          <w:cols w:space="454"/>
          <w:docGrid w:linePitch="360"/>
        </w:sectPr>
      </w:pPr>
    </w:p>
    <w:p w:rsidR="00B9612D" w:rsidRDefault="00B9612D"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Pr="00E91B0C" w:rsidRDefault="00922378" w:rsidP="00922378">
      <w:pPr>
        <w:widowControl w:val="0"/>
        <w:spacing w:after="0" w:line="240" w:lineRule="auto"/>
        <w:jc w:val="center"/>
        <w:rPr>
          <w:rFonts w:ascii="Garamond" w:hAnsi="Garamond"/>
          <w:b/>
          <w:caps/>
          <w:sz w:val="24"/>
          <w:szCs w:val="24"/>
          <w:lang w:val="sq-AL"/>
        </w:rPr>
      </w:pPr>
      <w:r w:rsidRPr="00E4573F">
        <w:rPr>
          <w:rFonts w:ascii="Garamond" w:hAnsi="Garamond"/>
          <w:caps/>
          <w:sz w:val="24"/>
          <w:szCs w:val="24"/>
          <w:lang w:val="sq-AL"/>
        </w:rPr>
        <w:t>Shtojcë</w:t>
      </w: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Default="00922378" w:rsidP="00B9612D">
      <w:pPr>
        <w:widowControl w:val="0"/>
        <w:spacing w:after="0" w:line="240" w:lineRule="auto"/>
        <w:rPr>
          <w:rFonts w:ascii="Garamond" w:hAnsi="Garamond"/>
          <w:sz w:val="6"/>
          <w:szCs w:val="14"/>
          <w:lang w:val="sq-AL"/>
        </w:rPr>
      </w:pPr>
    </w:p>
    <w:p w:rsidR="00922378" w:rsidRPr="000551D3" w:rsidRDefault="00922378" w:rsidP="00B9612D">
      <w:pPr>
        <w:widowControl w:val="0"/>
        <w:spacing w:after="0" w:line="240" w:lineRule="auto"/>
        <w:rPr>
          <w:rFonts w:ascii="Garamond" w:hAnsi="Garamond"/>
          <w:sz w:val="6"/>
          <w:szCs w:val="14"/>
          <w:lang w:val="sq-AL"/>
        </w:rPr>
      </w:pPr>
    </w:p>
    <w:tbl>
      <w:tblPr>
        <w:tblW w:w="0" w:type="auto"/>
        <w:jc w:val="cente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Look w:val="05E0" w:firstRow="1" w:lastRow="1" w:firstColumn="1" w:lastColumn="1" w:noHBand="0" w:noVBand="1"/>
      </w:tblPr>
      <w:tblGrid>
        <w:gridCol w:w="670"/>
        <w:gridCol w:w="1673"/>
        <w:gridCol w:w="1239"/>
        <w:gridCol w:w="1064"/>
        <w:gridCol w:w="1262"/>
      </w:tblGrid>
      <w:tr w:rsidR="00354D6A" w:rsidRPr="00354D6A" w:rsidTr="002055BC">
        <w:trPr>
          <w:tblHeader/>
          <w:jc w:val="center"/>
        </w:trPr>
        <w:tc>
          <w:tcPr>
            <w:tcW w:w="0" w:type="auto"/>
            <w:tcBorders>
              <w:top w:val="single" w:sz="4" w:space="0" w:color="949494"/>
              <w:left w:val="single" w:sz="4" w:space="0" w:color="949494"/>
              <w:bottom w:val="single" w:sz="4" w:space="0" w:color="949494"/>
              <w:right w:val="single" w:sz="4" w:space="0" w:color="949494"/>
            </w:tcBorders>
            <w:shd w:val="clear" w:color="auto" w:fill="DFDFDF"/>
          </w:tcPr>
          <w:p w:rsidR="00922378" w:rsidRPr="00354D6A" w:rsidRDefault="00922378" w:rsidP="00922378">
            <w:pPr>
              <w:widowControl w:val="0"/>
              <w:spacing w:after="0" w:line="200" w:lineRule="atLeast"/>
              <w:ind w:firstLine="0"/>
              <w:rPr>
                <w:rFonts w:ascii="Garamond" w:hAnsi="Garamond"/>
                <w:b/>
                <w:sz w:val="20"/>
                <w:szCs w:val="20"/>
                <w:lang w:val="sq-AL" w:eastAsia="fr-FR"/>
              </w:rPr>
            </w:pPr>
          </w:p>
        </w:tc>
        <w:tc>
          <w:tcPr>
            <w:tcW w:w="0" w:type="auto"/>
            <w:tcBorders>
              <w:top w:val="single" w:sz="4" w:space="0" w:color="949494"/>
              <w:left w:val="single" w:sz="4" w:space="0" w:color="949494"/>
              <w:bottom w:val="single" w:sz="4" w:space="0" w:color="949494"/>
              <w:right w:val="single" w:sz="4" w:space="0" w:color="949494"/>
            </w:tcBorders>
            <w:shd w:val="clear" w:color="auto" w:fill="DFDFDF"/>
          </w:tcPr>
          <w:p w:rsidR="00B9612D" w:rsidRPr="00354D6A" w:rsidRDefault="00B9612D" w:rsidP="000551D3">
            <w:pPr>
              <w:widowControl w:val="0"/>
              <w:spacing w:after="0" w:line="200" w:lineRule="atLeast"/>
              <w:ind w:firstLine="0"/>
              <w:rPr>
                <w:rFonts w:ascii="Garamond" w:hAnsi="Garamond"/>
                <w:b/>
                <w:sz w:val="20"/>
                <w:szCs w:val="20"/>
                <w:lang w:val="sq-AL" w:eastAsia="fr-FR"/>
              </w:rPr>
            </w:pPr>
            <w:r w:rsidRPr="00354D6A">
              <w:rPr>
                <w:rFonts w:ascii="Garamond" w:hAnsi="Garamond"/>
                <w:b/>
                <w:sz w:val="20"/>
                <w:szCs w:val="20"/>
                <w:lang w:val="sq-AL" w:eastAsia="fr-FR"/>
              </w:rPr>
              <w:t>Emri</w:t>
            </w:r>
            <w:r w:rsidR="002055BC" w:rsidRPr="00354D6A">
              <w:rPr>
                <w:rFonts w:ascii="Garamond" w:hAnsi="Garamond"/>
                <w:b/>
                <w:sz w:val="20"/>
                <w:szCs w:val="20"/>
                <w:lang w:val="sq-AL" w:eastAsia="fr-FR"/>
              </w:rPr>
              <w:t>, mbiemri</w:t>
            </w:r>
          </w:p>
        </w:tc>
        <w:tc>
          <w:tcPr>
            <w:tcW w:w="0" w:type="auto"/>
            <w:tcBorders>
              <w:top w:val="single" w:sz="4" w:space="0" w:color="949494"/>
              <w:left w:val="single" w:sz="4" w:space="0" w:color="949494"/>
              <w:bottom w:val="single" w:sz="4" w:space="0" w:color="949494"/>
              <w:right w:val="single" w:sz="4" w:space="0" w:color="949494"/>
            </w:tcBorders>
            <w:shd w:val="clear" w:color="auto" w:fill="DFDFDF"/>
          </w:tcPr>
          <w:p w:rsidR="00B9612D" w:rsidRPr="00354D6A" w:rsidRDefault="00B9612D" w:rsidP="000551D3">
            <w:pPr>
              <w:widowControl w:val="0"/>
              <w:spacing w:after="0" w:line="200" w:lineRule="atLeast"/>
              <w:ind w:firstLine="0"/>
              <w:jc w:val="center"/>
              <w:rPr>
                <w:rFonts w:ascii="Garamond" w:hAnsi="Garamond"/>
                <w:b/>
                <w:sz w:val="20"/>
                <w:szCs w:val="20"/>
                <w:lang w:val="sq-AL" w:eastAsia="fr-FR"/>
              </w:rPr>
            </w:pPr>
            <w:r w:rsidRPr="00354D6A">
              <w:rPr>
                <w:rFonts w:ascii="Garamond" w:hAnsi="Garamond"/>
                <w:b/>
                <w:sz w:val="20"/>
                <w:szCs w:val="20"/>
                <w:lang w:val="sq-AL" w:eastAsia="fr-FR"/>
              </w:rPr>
              <w:t>Viti i lindjes</w:t>
            </w:r>
          </w:p>
        </w:tc>
        <w:tc>
          <w:tcPr>
            <w:tcW w:w="0" w:type="auto"/>
            <w:tcBorders>
              <w:top w:val="single" w:sz="4" w:space="0" w:color="949494"/>
              <w:left w:val="single" w:sz="4" w:space="0" w:color="949494"/>
              <w:bottom w:val="single" w:sz="4" w:space="0" w:color="949494"/>
              <w:right w:val="single" w:sz="4" w:space="0" w:color="949494"/>
            </w:tcBorders>
            <w:shd w:val="clear" w:color="auto" w:fill="DFDFDF"/>
          </w:tcPr>
          <w:p w:rsidR="00B9612D" w:rsidRPr="00354D6A" w:rsidRDefault="00B9612D" w:rsidP="000551D3">
            <w:pPr>
              <w:widowControl w:val="0"/>
              <w:spacing w:after="0" w:line="200" w:lineRule="atLeast"/>
              <w:ind w:firstLine="0"/>
              <w:jc w:val="center"/>
              <w:rPr>
                <w:rFonts w:ascii="Garamond" w:hAnsi="Garamond"/>
                <w:b/>
                <w:sz w:val="20"/>
                <w:szCs w:val="20"/>
                <w:lang w:val="sq-AL" w:eastAsia="fr-FR"/>
              </w:rPr>
            </w:pPr>
            <w:r w:rsidRPr="00354D6A">
              <w:rPr>
                <w:rFonts w:ascii="Garamond" w:hAnsi="Garamond"/>
                <w:b/>
                <w:sz w:val="20"/>
                <w:szCs w:val="20"/>
                <w:lang w:val="sq-AL" w:eastAsia="fr-FR"/>
              </w:rPr>
              <w:t>Kombësia</w:t>
            </w:r>
          </w:p>
        </w:tc>
        <w:tc>
          <w:tcPr>
            <w:tcW w:w="0" w:type="auto"/>
            <w:tcBorders>
              <w:top w:val="single" w:sz="4" w:space="0" w:color="949494"/>
              <w:left w:val="single" w:sz="4" w:space="0" w:color="949494"/>
              <w:bottom w:val="single" w:sz="4" w:space="0" w:color="949494"/>
              <w:right w:val="single" w:sz="4" w:space="0" w:color="949494"/>
            </w:tcBorders>
            <w:shd w:val="clear" w:color="auto" w:fill="DFDFDF"/>
          </w:tcPr>
          <w:p w:rsidR="00B9612D" w:rsidRPr="00354D6A" w:rsidRDefault="00B9612D" w:rsidP="000551D3">
            <w:pPr>
              <w:widowControl w:val="0"/>
              <w:spacing w:after="0" w:line="200" w:lineRule="atLeast"/>
              <w:ind w:firstLine="0"/>
              <w:jc w:val="center"/>
              <w:rPr>
                <w:rFonts w:ascii="Garamond" w:hAnsi="Garamond"/>
                <w:b/>
                <w:sz w:val="20"/>
                <w:szCs w:val="20"/>
                <w:lang w:val="sq-AL" w:eastAsia="fr-FR"/>
              </w:rPr>
            </w:pPr>
            <w:r w:rsidRPr="00354D6A">
              <w:rPr>
                <w:rFonts w:ascii="Garamond" w:hAnsi="Garamond"/>
                <w:b/>
                <w:sz w:val="20"/>
                <w:szCs w:val="20"/>
                <w:lang w:val="sq-AL" w:eastAsia="fr-FR"/>
              </w:rPr>
              <w:t>Vendbanimi</w:t>
            </w:r>
          </w:p>
        </w:tc>
      </w:tr>
      <w:tr w:rsidR="00354D6A" w:rsidRPr="00354D6A" w:rsidTr="000551D3">
        <w:trPr>
          <w:trHeight w:val="203"/>
          <w:jc w:val="center"/>
        </w:trPr>
        <w:tc>
          <w:tcPr>
            <w:tcW w:w="0" w:type="auto"/>
          </w:tcPr>
          <w:p w:rsidR="00B9612D" w:rsidRPr="00354D6A" w:rsidRDefault="002055BC" w:rsidP="000551D3">
            <w:pPr>
              <w:widowControl w:val="0"/>
              <w:spacing w:after="0" w:line="200" w:lineRule="atLeast"/>
              <w:ind w:left="360" w:firstLine="0"/>
              <w:contextualSpacing/>
              <w:jc w:val="right"/>
              <w:rPr>
                <w:rFonts w:ascii="Garamond" w:hAnsi="Garamond"/>
                <w:sz w:val="20"/>
                <w:szCs w:val="20"/>
                <w:lang w:val="sq-AL" w:eastAsia="fr-FR"/>
              </w:rPr>
            </w:pPr>
            <w:r w:rsidRPr="00354D6A">
              <w:rPr>
                <w:rFonts w:ascii="Garamond" w:hAnsi="Garamond"/>
                <w:sz w:val="20"/>
                <w:szCs w:val="20"/>
                <w:lang w:val="sq-AL" w:eastAsia="fr-FR"/>
              </w:rPr>
              <w:t>1</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Xhuvi </w:t>
            </w:r>
            <w:r w:rsidR="002055BC" w:rsidRPr="00354D6A">
              <w:rPr>
                <w:rFonts w:ascii="Garamond" w:hAnsi="Garamond"/>
                <w:sz w:val="20"/>
                <w:szCs w:val="20"/>
                <w:lang w:val="sq-AL" w:eastAsia="fr-FR"/>
              </w:rPr>
              <w:t>Sharxhi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1961</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0551D3">
        <w:trPr>
          <w:trHeight w:val="178"/>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2</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Xhafer </w:t>
            </w:r>
            <w:r w:rsidR="002055BC" w:rsidRPr="00354D6A">
              <w:rPr>
                <w:rFonts w:ascii="Garamond" w:hAnsi="Garamond"/>
                <w:sz w:val="20"/>
                <w:szCs w:val="20"/>
                <w:lang w:val="sq-AL" w:eastAsia="fr-FR"/>
              </w:rPr>
              <w:t>Isufi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1948</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0551D3">
        <w:trPr>
          <w:trHeight w:val="183"/>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3</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Arben </w:t>
            </w:r>
            <w:r w:rsidR="002055BC" w:rsidRPr="00354D6A">
              <w:rPr>
                <w:rFonts w:ascii="Garamond" w:hAnsi="Garamond"/>
                <w:sz w:val="20"/>
                <w:szCs w:val="20"/>
                <w:lang w:val="sq-AL" w:eastAsia="fr-FR"/>
              </w:rPr>
              <w:t>Basha</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1969</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0551D3">
        <w:trPr>
          <w:trHeight w:val="172"/>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4</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Gerti </w:t>
            </w:r>
            <w:r w:rsidR="002055BC" w:rsidRPr="00354D6A">
              <w:rPr>
                <w:rFonts w:ascii="Garamond" w:hAnsi="Garamond"/>
                <w:sz w:val="20"/>
                <w:szCs w:val="20"/>
                <w:lang w:val="sq-AL" w:eastAsia="fr-FR"/>
              </w:rPr>
              <w:t>Calliku</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1976</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0551D3">
        <w:trPr>
          <w:trHeight w:val="163"/>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5</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Valbona </w:t>
            </w:r>
            <w:r w:rsidR="002055BC" w:rsidRPr="00354D6A">
              <w:rPr>
                <w:rFonts w:ascii="Garamond" w:hAnsi="Garamond"/>
                <w:sz w:val="20"/>
                <w:szCs w:val="20"/>
                <w:lang w:val="sq-AL" w:eastAsia="fr-FR"/>
              </w:rPr>
              <w:t>Calliku</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1976</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shqiptare</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6</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Abdul </w:t>
            </w:r>
            <w:r w:rsidR="002055BC" w:rsidRPr="00354D6A">
              <w:rPr>
                <w:rFonts w:ascii="Garamond" w:hAnsi="Garamond"/>
                <w:sz w:val="20"/>
                <w:szCs w:val="20"/>
                <w:lang w:val="sq-AL" w:eastAsia="fr-FR"/>
              </w:rPr>
              <w:t>Deromemaj</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1939</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Vlor</w:t>
            </w:r>
            <w:r w:rsidR="00DC4E24" w:rsidRPr="00354D6A">
              <w:rPr>
                <w:rFonts w:ascii="Garamond" w:hAnsi="Garamond"/>
                <w:sz w:val="20"/>
                <w:szCs w:val="20"/>
                <w:lang w:val="sq-AL" w:eastAsia="fr-FR"/>
              </w:rPr>
              <w:t>ë</w:t>
            </w:r>
          </w:p>
        </w:tc>
      </w:tr>
      <w:tr w:rsidR="00354D6A" w:rsidRPr="00354D6A" w:rsidTr="000551D3">
        <w:trPr>
          <w:trHeight w:val="143"/>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7</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Eduard </w:t>
            </w:r>
            <w:r w:rsidR="002055BC" w:rsidRPr="00354D6A">
              <w:rPr>
                <w:rFonts w:ascii="Garamond" w:hAnsi="Garamond"/>
                <w:sz w:val="20"/>
                <w:szCs w:val="20"/>
                <w:lang w:val="sq-AL" w:eastAsia="fr-FR"/>
              </w:rPr>
              <w:t>Durolli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1947</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Vlor</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8</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Ilonka </w:t>
            </w:r>
            <w:r w:rsidR="002055BC" w:rsidRPr="00354D6A">
              <w:rPr>
                <w:rFonts w:ascii="Garamond" w:hAnsi="Garamond"/>
                <w:sz w:val="20"/>
                <w:szCs w:val="20"/>
                <w:lang w:val="sq-AL" w:eastAsia="fr-FR"/>
              </w:rPr>
              <w:t>Hanxhari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1955</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shqiptare</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0551D3">
        <w:trPr>
          <w:trHeight w:val="36"/>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9</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Mihallaq </w:t>
            </w:r>
            <w:r w:rsidR="002055BC" w:rsidRPr="00354D6A">
              <w:rPr>
                <w:rFonts w:ascii="Garamond" w:hAnsi="Garamond"/>
                <w:sz w:val="20"/>
                <w:szCs w:val="20"/>
                <w:lang w:val="sq-AL" w:eastAsia="fr-FR"/>
              </w:rPr>
              <w:t>Hanxhari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1955</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10</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Erinda </w:t>
            </w:r>
            <w:r w:rsidR="002055BC" w:rsidRPr="00354D6A">
              <w:rPr>
                <w:rFonts w:ascii="Garamond" w:hAnsi="Garamond"/>
                <w:sz w:val="20"/>
                <w:szCs w:val="20"/>
                <w:lang w:val="sq-AL" w:eastAsia="fr-FR"/>
              </w:rPr>
              <w:t>Ballanca</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1973</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shqiptare</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11</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Vullnet </w:t>
            </w:r>
            <w:r w:rsidR="002055BC" w:rsidRPr="00354D6A">
              <w:rPr>
                <w:rFonts w:ascii="Garamond" w:hAnsi="Garamond"/>
                <w:sz w:val="20"/>
                <w:szCs w:val="20"/>
                <w:lang w:val="sq-AL" w:eastAsia="fr-FR"/>
              </w:rPr>
              <w:t>Kacorri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1971</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Vlor</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12</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Klima </w:t>
            </w:r>
            <w:r w:rsidR="002055BC" w:rsidRPr="00354D6A">
              <w:rPr>
                <w:rFonts w:ascii="Garamond" w:hAnsi="Garamond"/>
                <w:sz w:val="20"/>
                <w:szCs w:val="20"/>
                <w:lang w:val="sq-AL" w:eastAsia="fr-FR"/>
              </w:rPr>
              <w:t>Kapidani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1956</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shqiptare</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13</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Mimoza </w:t>
            </w:r>
            <w:r w:rsidR="002055BC" w:rsidRPr="00354D6A">
              <w:rPr>
                <w:rFonts w:ascii="Garamond" w:hAnsi="Garamond"/>
                <w:sz w:val="20"/>
                <w:szCs w:val="20"/>
                <w:lang w:val="sq-AL" w:eastAsia="fr-FR"/>
              </w:rPr>
              <w:t>Mecaj</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1962</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shqiptare</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14</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Teri </w:t>
            </w:r>
            <w:r w:rsidR="002055BC" w:rsidRPr="00354D6A">
              <w:rPr>
                <w:rFonts w:ascii="Garamond" w:hAnsi="Garamond"/>
                <w:sz w:val="20"/>
                <w:szCs w:val="20"/>
                <w:lang w:val="sq-AL" w:eastAsia="fr-FR"/>
              </w:rPr>
              <w:t>Pojani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1961</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15</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Baki </w:t>
            </w:r>
            <w:r w:rsidR="002055BC" w:rsidRPr="00354D6A">
              <w:rPr>
                <w:rFonts w:ascii="Garamond" w:hAnsi="Garamond"/>
                <w:sz w:val="20"/>
                <w:szCs w:val="20"/>
                <w:lang w:val="sq-AL" w:eastAsia="fr-FR"/>
              </w:rPr>
              <w:t>Rakipaj</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1963</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Vlor</w:t>
            </w:r>
            <w:r w:rsidR="00DC4E24" w:rsidRPr="00354D6A">
              <w:rPr>
                <w:rFonts w:ascii="Garamond" w:hAnsi="Garamond"/>
                <w:sz w:val="20"/>
                <w:szCs w:val="20"/>
                <w:lang w:val="sq-AL" w:eastAsia="fr-FR"/>
              </w:rPr>
              <w:t>ë</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16</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Pano </w:t>
            </w:r>
            <w:r w:rsidR="002055BC" w:rsidRPr="00354D6A">
              <w:rPr>
                <w:rFonts w:ascii="Garamond" w:hAnsi="Garamond"/>
                <w:sz w:val="20"/>
                <w:szCs w:val="20"/>
                <w:lang w:val="sq-AL" w:eastAsia="fr-FR"/>
              </w:rPr>
              <w:t>Rakipaj</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1968</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Vlor</w:t>
            </w:r>
            <w:r w:rsidR="00DC4E24" w:rsidRPr="00354D6A">
              <w:rPr>
                <w:rFonts w:ascii="Garamond" w:hAnsi="Garamond"/>
                <w:sz w:val="20"/>
                <w:szCs w:val="20"/>
                <w:lang w:val="sq-AL" w:eastAsia="fr-FR"/>
              </w:rPr>
              <w:t>ë</w:t>
            </w:r>
          </w:p>
        </w:tc>
      </w:tr>
      <w:tr w:rsidR="00354D6A" w:rsidRPr="00354D6A" w:rsidTr="000551D3">
        <w:trPr>
          <w:trHeight w:val="70"/>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17</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Giuliano </w:t>
            </w:r>
            <w:r w:rsidR="002055BC" w:rsidRPr="00354D6A">
              <w:rPr>
                <w:rFonts w:ascii="Garamond" w:hAnsi="Garamond"/>
                <w:sz w:val="20"/>
                <w:szCs w:val="20"/>
                <w:lang w:val="sq-AL" w:eastAsia="fr-FR"/>
              </w:rPr>
              <w:t>Schenetti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1946</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italian</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Toano</w:t>
            </w:r>
          </w:p>
        </w:tc>
      </w:tr>
      <w:tr w:rsidR="00354D6A" w:rsidRPr="00354D6A" w:rsidTr="002055BC">
        <w:trPr>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18</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Etnik </w:t>
            </w:r>
            <w:r w:rsidR="002055BC" w:rsidRPr="00354D6A">
              <w:rPr>
                <w:rFonts w:ascii="Garamond" w:hAnsi="Garamond"/>
                <w:sz w:val="20"/>
                <w:szCs w:val="20"/>
                <w:lang w:val="sq-AL" w:eastAsia="fr-FR"/>
              </w:rPr>
              <w:t>Sopoti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1969</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r w:rsidR="00354D6A" w:rsidRPr="00354D6A" w:rsidTr="00145BF5">
        <w:trPr>
          <w:trHeight w:val="223"/>
          <w:jc w:val="center"/>
        </w:trPr>
        <w:tc>
          <w:tcPr>
            <w:tcW w:w="0" w:type="auto"/>
          </w:tcPr>
          <w:p w:rsidR="00B9612D" w:rsidRPr="00354D6A" w:rsidRDefault="002055BC" w:rsidP="000551D3">
            <w:pPr>
              <w:widowControl w:val="0"/>
              <w:spacing w:after="0" w:line="200" w:lineRule="atLeast"/>
              <w:ind w:firstLine="0"/>
              <w:contextualSpacing/>
              <w:jc w:val="right"/>
              <w:rPr>
                <w:rFonts w:ascii="Garamond" w:hAnsi="Garamond"/>
                <w:sz w:val="20"/>
                <w:szCs w:val="20"/>
                <w:lang w:val="sq-AL" w:eastAsia="fr-FR"/>
              </w:rPr>
            </w:pPr>
            <w:r w:rsidRPr="00354D6A">
              <w:rPr>
                <w:rFonts w:ascii="Garamond" w:hAnsi="Garamond"/>
                <w:sz w:val="20"/>
                <w:szCs w:val="20"/>
                <w:lang w:val="sq-AL" w:eastAsia="fr-FR"/>
              </w:rPr>
              <w:t>19</w:t>
            </w:r>
          </w:p>
        </w:tc>
        <w:tc>
          <w:tcPr>
            <w:tcW w:w="0" w:type="auto"/>
          </w:tcPr>
          <w:p w:rsidR="00B9612D" w:rsidRPr="00354D6A" w:rsidRDefault="00B9612D" w:rsidP="000551D3">
            <w:pPr>
              <w:widowControl w:val="0"/>
              <w:spacing w:after="0" w:line="200" w:lineRule="atLeast"/>
              <w:ind w:firstLine="0"/>
              <w:jc w:val="left"/>
              <w:rPr>
                <w:rFonts w:ascii="Garamond" w:hAnsi="Garamond"/>
                <w:sz w:val="20"/>
                <w:szCs w:val="20"/>
                <w:lang w:val="sq-AL" w:eastAsia="fr-FR"/>
              </w:rPr>
            </w:pPr>
            <w:r w:rsidRPr="00354D6A">
              <w:rPr>
                <w:rFonts w:ascii="Garamond" w:hAnsi="Garamond"/>
                <w:sz w:val="20"/>
                <w:szCs w:val="20"/>
                <w:lang w:val="sq-AL" w:eastAsia="fr-FR"/>
              </w:rPr>
              <w:t xml:space="preserve">Dorina </w:t>
            </w:r>
            <w:r w:rsidR="002055BC" w:rsidRPr="00354D6A">
              <w:rPr>
                <w:rFonts w:ascii="Garamond" w:hAnsi="Garamond"/>
                <w:sz w:val="20"/>
                <w:szCs w:val="20"/>
                <w:lang w:val="sq-AL" w:eastAsia="fr-FR"/>
              </w:rPr>
              <w:t>Ylli</w:t>
            </w:r>
          </w:p>
        </w:tc>
        <w:tc>
          <w:tcPr>
            <w:tcW w:w="0" w:type="auto"/>
          </w:tcPr>
          <w:p w:rsidR="00B9612D" w:rsidRPr="00354D6A" w:rsidRDefault="00B9612D" w:rsidP="000551D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1986</w:t>
            </w:r>
          </w:p>
        </w:tc>
        <w:tc>
          <w:tcPr>
            <w:tcW w:w="0" w:type="auto"/>
          </w:tcPr>
          <w:p w:rsidR="00B9612D" w:rsidRPr="00354D6A" w:rsidRDefault="002055BC"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shqiptar</w:t>
            </w:r>
          </w:p>
        </w:tc>
        <w:tc>
          <w:tcPr>
            <w:tcW w:w="0" w:type="auto"/>
          </w:tcPr>
          <w:p w:rsidR="00B9612D" w:rsidRPr="00354D6A" w:rsidRDefault="00B9612D" w:rsidP="00891B53">
            <w:pPr>
              <w:widowControl w:val="0"/>
              <w:spacing w:after="0" w:line="200" w:lineRule="atLeast"/>
              <w:ind w:firstLine="0"/>
              <w:jc w:val="center"/>
              <w:rPr>
                <w:rFonts w:ascii="Garamond" w:hAnsi="Garamond"/>
                <w:sz w:val="20"/>
                <w:szCs w:val="20"/>
                <w:lang w:val="sq-AL" w:eastAsia="fr-FR"/>
              </w:rPr>
            </w:pPr>
            <w:r w:rsidRPr="00354D6A">
              <w:rPr>
                <w:rFonts w:ascii="Garamond" w:hAnsi="Garamond"/>
                <w:sz w:val="20"/>
                <w:szCs w:val="20"/>
                <w:lang w:val="sq-AL" w:eastAsia="fr-FR"/>
              </w:rPr>
              <w:t>Tiran</w:t>
            </w:r>
            <w:r w:rsidR="00DC4E24" w:rsidRPr="00354D6A">
              <w:rPr>
                <w:rFonts w:ascii="Garamond" w:hAnsi="Garamond"/>
                <w:sz w:val="20"/>
                <w:szCs w:val="20"/>
                <w:lang w:val="sq-AL" w:eastAsia="fr-FR"/>
              </w:rPr>
              <w:t>ë</w:t>
            </w:r>
          </w:p>
        </w:tc>
      </w:tr>
    </w:tbl>
    <w:p w:rsidR="00B9612D" w:rsidRPr="00E91B0C" w:rsidRDefault="00B9612D" w:rsidP="00B9612D">
      <w:pPr>
        <w:widowControl w:val="0"/>
        <w:spacing w:after="0" w:line="240" w:lineRule="auto"/>
        <w:rPr>
          <w:rFonts w:ascii="Garamond" w:hAnsi="Garamond"/>
          <w:sz w:val="24"/>
          <w:szCs w:val="24"/>
          <w:lang w:val="sq-AL"/>
        </w:rPr>
      </w:pPr>
    </w:p>
    <w:p w:rsidR="00C05673" w:rsidRPr="00E91B0C" w:rsidRDefault="00C05673" w:rsidP="00C05673">
      <w:pPr>
        <w:widowControl w:val="0"/>
        <w:tabs>
          <w:tab w:val="num" w:pos="1080"/>
        </w:tabs>
        <w:spacing w:after="0" w:line="240" w:lineRule="auto"/>
        <w:rPr>
          <w:rFonts w:ascii="Garamond" w:hAnsi="Garamond"/>
          <w:b/>
          <w:noProof/>
          <w:sz w:val="24"/>
          <w:szCs w:val="24"/>
          <w:lang w:val="sq-AL"/>
        </w:rPr>
      </w:pPr>
    </w:p>
    <w:p w:rsidR="00C05673" w:rsidRPr="00E91B0C" w:rsidRDefault="00C05673" w:rsidP="00C05673">
      <w:pPr>
        <w:widowControl w:val="0"/>
        <w:tabs>
          <w:tab w:val="num" w:pos="1080"/>
        </w:tabs>
        <w:spacing w:after="0" w:line="240" w:lineRule="auto"/>
        <w:rPr>
          <w:rFonts w:ascii="Garamond" w:hAnsi="Garamond"/>
          <w:b/>
          <w:noProof/>
          <w:sz w:val="24"/>
          <w:szCs w:val="24"/>
          <w:lang w:val="sq-AL"/>
        </w:rPr>
      </w:pPr>
    </w:p>
    <w:p w:rsidR="00C05673" w:rsidRPr="00E91B0C" w:rsidRDefault="00C05673" w:rsidP="00C05673">
      <w:pPr>
        <w:widowControl w:val="0"/>
        <w:tabs>
          <w:tab w:val="num" w:pos="1080"/>
        </w:tabs>
        <w:spacing w:after="0" w:line="240" w:lineRule="auto"/>
        <w:rPr>
          <w:rFonts w:ascii="Garamond" w:hAnsi="Garamond"/>
          <w:b/>
          <w:noProof/>
          <w:sz w:val="24"/>
          <w:szCs w:val="24"/>
          <w:u w:val="single"/>
          <w:lang w:val="sq-AL"/>
        </w:rPr>
      </w:pPr>
    </w:p>
    <w:p w:rsidR="00C05673" w:rsidRPr="00E91B0C" w:rsidRDefault="00C05673" w:rsidP="00C05673">
      <w:pPr>
        <w:pStyle w:val="Heading1"/>
        <w:keepNext w:val="0"/>
        <w:widowControl w:val="0"/>
        <w:tabs>
          <w:tab w:val="clear" w:pos="360"/>
        </w:tabs>
        <w:spacing w:before="0" w:after="0"/>
        <w:ind w:left="0" w:firstLine="284"/>
        <w:rPr>
          <w:rFonts w:ascii="Garamond" w:hAnsi="Garamond"/>
          <w:noProof/>
          <w:sz w:val="24"/>
          <w:szCs w:val="24"/>
          <w:lang w:val="sq-AL"/>
        </w:rPr>
      </w:pPr>
    </w:p>
    <w:p w:rsidR="00C05673" w:rsidRPr="00E91B0C" w:rsidRDefault="00C05673" w:rsidP="00C05673">
      <w:pPr>
        <w:widowControl w:val="0"/>
        <w:spacing w:after="0" w:line="240" w:lineRule="auto"/>
        <w:rPr>
          <w:rFonts w:ascii="Garamond" w:hAnsi="Garamond"/>
          <w:sz w:val="24"/>
          <w:szCs w:val="24"/>
          <w:lang w:val="sq-AL" w:eastAsia="zh-CN"/>
        </w:rPr>
      </w:pPr>
    </w:p>
    <w:p w:rsidR="00C05673" w:rsidRPr="00E91B0C" w:rsidRDefault="00C05673" w:rsidP="00C05673">
      <w:pPr>
        <w:widowControl w:val="0"/>
        <w:spacing w:after="0" w:line="240" w:lineRule="auto"/>
        <w:rPr>
          <w:rFonts w:ascii="Garamond" w:hAnsi="Garamond"/>
          <w:sz w:val="24"/>
          <w:szCs w:val="24"/>
          <w:lang w:val="sq-AL" w:eastAsia="zh-CN"/>
        </w:rPr>
      </w:pPr>
    </w:p>
    <w:p w:rsidR="00C05673" w:rsidRPr="00E91B0C" w:rsidRDefault="00C05673" w:rsidP="00C05673">
      <w:pPr>
        <w:widowControl w:val="0"/>
        <w:spacing w:after="0" w:line="240" w:lineRule="auto"/>
        <w:rPr>
          <w:rFonts w:ascii="Garamond" w:hAnsi="Garamond"/>
          <w:sz w:val="24"/>
          <w:szCs w:val="24"/>
          <w:lang w:val="sq-AL" w:eastAsia="zh-CN"/>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p w:rsidR="00E70166" w:rsidRPr="00E91B0C" w:rsidRDefault="00E70166" w:rsidP="00F33104">
      <w:pPr>
        <w:pStyle w:val="Paragrafi"/>
        <w:rPr>
          <w:rFonts w:eastAsia="Times New Roman"/>
          <w:spacing w:val="-4"/>
          <w:lang w:val="sq-AL" w:eastAsia="en-GB"/>
        </w:rPr>
      </w:pPr>
    </w:p>
    <w:sectPr w:rsidR="00E70166" w:rsidRPr="00E91B0C" w:rsidSect="00922378">
      <w:headerReference w:type="even" r:id="rId10"/>
      <w:type w:val="continuous"/>
      <w:pgSz w:w="11907" w:h="16840" w:code="9"/>
      <w:pgMar w:top="720" w:right="1134" w:bottom="720" w:left="1134" w:header="851" w:footer="851" w:gutter="0"/>
      <w:pgNumType w:start="8405"/>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3A" w:rsidRDefault="009C7C3A" w:rsidP="00375B7D">
      <w:pPr>
        <w:spacing w:after="0" w:line="240" w:lineRule="auto"/>
      </w:pPr>
      <w:r>
        <w:separator/>
      </w:r>
    </w:p>
  </w:endnote>
  <w:endnote w:type="continuationSeparator" w:id="0">
    <w:p w:rsidR="009C7C3A" w:rsidRDefault="009C7C3A" w:rsidP="0037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rus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4A" w:rsidRPr="000F5341" w:rsidRDefault="007A6F4A" w:rsidP="000F5341">
    <w:pPr>
      <w:pStyle w:val="Footer"/>
      <w:ind w:firstLine="0"/>
      <w:rPr>
        <w:rFonts w:ascii="Garamond" w:hAnsi="Garamond"/>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4A" w:rsidRPr="000F5341" w:rsidRDefault="007A6F4A" w:rsidP="000F5341">
    <w:pPr>
      <w:pStyle w:val="Footer"/>
      <w:ind w:firstLine="0"/>
      <w:jc w:val="right"/>
      <w:rPr>
        <w:rFonts w:ascii="Garamond" w:hAnsi="Garamon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3A" w:rsidRDefault="009C7C3A" w:rsidP="00375B7D">
      <w:pPr>
        <w:spacing w:after="0" w:line="240" w:lineRule="auto"/>
      </w:pPr>
      <w:r>
        <w:separator/>
      </w:r>
    </w:p>
  </w:footnote>
  <w:footnote w:type="continuationSeparator" w:id="0">
    <w:p w:rsidR="009C7C3A" w:rsidRDefault="009C7C3A" w:rsidP="0037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4A" w:rsidRDefault="007A6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0880D20"/>
    <w:multiLevelType w:val="hybridMultilevel"/>
    <w:tmpl w:val="6302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10967FE"/>
    <w:multiLevelType w:val="hybridMultilevel"/>
    <w:tmpl w:val="9A8C93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018F7562"/>
    <w:multiLevelType w:val="hybridMultilevel"/>
    <w:tmpl w:val="905CA6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1B5228F"/>
    <w:multiLevelType w:val="hybridMultilevel"/>
    <w:tmpl w:val="4EE4D86C"/>
    <w:lvl w:ilvl="0" w:tplc="67AA64E2">
      <w:start w:val="1"/>
      <w:numFmt w:val="lowerLetter"/>
      <w:lvlText w:val="%1)"/>
      <w:lvlJc w:val="left"/>
      <w:pPr>
        <w:tabs>
          <w:tab w:val="num" w:pos="360"/>
        </w:tabs>
        <w:ind w:left="360" w:hanging="360"/>
      </w:pPr>
      <w:rPr>
        <w:rFonts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024C4FC2"/>
    <w:multiLevelType w:val="hybridMultilevel"/>
    <w:tmpl w:val="A3A222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4E2606"/>
    <w:multiLevelType w:val="hybridMultilevel"/>
    <w:tmpl w:val="D14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F65826"/>
    <w:multiLevelType w:val="hybridMultilevel"/>
    <w:tmpl w:val="D3C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3297578"/>
    <w:multiLevelType w:val="hybridMultilevel"/>
    <w:tmpl w:val="81EA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A27ECA"/>
    <w:multiLevelType w:val="hybridMultilevel"/>
    <w:tmpl w:val="21DC4BC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03F1739E"/>
    <w:multiLevelType w:val="hybridMultilevel"/>
    <w:tmpl w:val="ECD44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67E3FBC"/>
    <w:multiLevelType w:val="hybridMultilevel"/>
    <w:tmpl w:val="96FA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6A341D2"/>
    <w:multiLevelType w:val="hybridMultilevel"/>
    <w:tmpl w:val="7DA2382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06B44DBE"/>
    <w:multiLevelType w:val="hybridMultilevel"/>
    <w:tmpl w:val="DD0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71E376F"/>
    <w:multiLevelType w:val="hybridMultilevel"/>
    <w:tmpl w:val="AD5AC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7556708"/>
    <w:multiLevelType w:val="hybridMultilevel"/>
    <w:tmpl w:val="25EA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79F0EE2"/>
    <w:multiLevelType w:val="hybridMultilevel"/>
    <w:tmpl w:val="499A24FA"/>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6">
    <w:nsid w:val="07B27835"/>
    <w:multiLevelType w:val="hybridMultilevel"/>
    <w:tmpl w:val="D4D68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8025E85"/>
    <w:multiLevelType w:val="hybridMultilevel"/>
    <w:tmpl w:val="0EBEE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80848B5"/>
    <w:multiLevelType w:val="hybridMultilevel"/>
    <w:tmpl w:val="87CC028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8AD7DF7"/>
    <w:multiLevelType w:val="hybridMultilevel"/>
    <w:tmpl w:val="4866F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903709B"/>
    <w:multiLevelType w:val="hybridMultilevel"/>
    <w:tmpl w:val="19145C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95A00D9"/>
    <w:multiLevelType w:val="hybridMultilevel"/>
    <w:tmpl w:val="BEBE08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95F26E5"/>
    <w:multiLevelType w:val="hybridMultilevel"/>
    <w:tmpl w:val="DAE87B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98B477F"/>
    <w:multiLevelType w:val="hybridMultilevel"/>
    <w:tmpl w:val="7AAC87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098C7363"/>
    <w:multiLevelType w:val="hybridMultilevel"/>
    <w:tmpl w:val="1262965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9A94E30"/>
    <w:multiLevelType w:val="hybridMultilevel"/>
    <w:tmpl w:val="486A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A5B0298"/>
    <w:multiLevelType w:val="hybridMultilevel"/>
    <w:tmpl w:val="3676CED4"/>
    <w:lvl w:ilvl="0" w:tplc="265E395C">
      <w:start w:val="603"/>
      <w:numFmt w:val="bullet"/>
      <w:lvlText w:val="-"/>
      <w:lvlJc w:val="left"/>
      <w:pPr>
        <w:ind w:left="720" w:hanging="360"/>
      </w:pPr>
      <w:rPr>
        <w:rFonts w:ascii="Times New Roman" w:eastAsia="SimSu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AAD4D80"/>
    <w:multiLevelType w:val="hybridMultilevel"/>
    <w:tmpl w:val="04C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AF03A30"/>
    <w:multiLevelType w:val="hybridMultilevel"/>
    <w:tmpl w:val="0DBC49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0B742038"/>
    <w:multiLevelType w:val="hybridMultilevel"/>
    <w:tmpl w:val="5E88E73C"/>
    <w:lvl w:ilvl="0" w:tplc="71C4C56A">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C780E5A"/>
    <w:multiLevelType w:val="hybridMultilevel"/>
    <w:tmpl w:val="7118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0CBA63DF"/>
    <w:multiLevelType w:val="hybridMultilevel"/>
    <w:tmpl w:val="759E951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nsid w:val="0CCF04DA"/>
    <w:multiLevelType w:val="hybridMultilevel"/>
    <w:tmpl w:val="64E0554E"/>
    <w:lvl w:ilvl="0" w:tplc="29C4CD6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0CF132FC"/>
    <w:multiLevelType w:val="hybridMultilevel"/>
    <w:tmpl w:val="BAAA8F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D1D3FC5"/>
    <w:multiLevelType w:val="hybridMultilevel"/>
    <w:tmpl w:val="D8FE3B8A"/>
    <w:lvl w:ilvl="0" w:tplc="F75052C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D651257"/>
    <w:multiLevelType w:val="hybridMultilevel"/>
    <w:tmpl w:val="4564656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0E0C20F8"/>
    <w:multiLevelType w:val="hybridMultilevel"/>
    <w:tmpl w:val="E7A0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0E1621A5"/>
    <w:multiLevelType w:val="hybridMultilevel"/>
    <w:tmpl w:val="8ADECC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nsid w:val="0E5E6ED4"/>
    <w:multiLevelType w:val="hybridMultilevel"/>
    <w:tmpl w:val="A96AC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0EB6018D"/>
    <w:multiLevelType w:val="hybridMultilevel"/>
    <w:tmpl w:val="5090268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0">
    <w:nsid w:val="0F46264B"/>
    <w:multiLevelType w:val="hybridMultilevel"/>
    <w:tmpl w:val="3EA6F6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0FF615F5"/>
    <w:multiLevelType w:val="hybridMultilevel"/>
    <w:tmpl w:val="D3D87F1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0FFB42B2"/>
    <w:multiLevelType w:val="hybridMultilevel"/>
    <w:tmpl w:val="2B4EDB88"/>
    <w:lvl w:ilvl="0" w:tplc="F75052CE">
      <w:start w:val="1"/>
      <w:numFmt w:val="lowerLetter"/>
      <w:lvlText w:val="%1)"/>
      <w:lvlJc w:val="left"/>
      <w:pPr>
        <w:ind w:left="360" w:hanging="360"/>
      </w:pPr>
      <w:rPr>
        <w:rFont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nsid w:val="102F029B"/>
    <w:multiLevelType w:val="hybridMultilevel"/>
    <w:tmpl w:val="EDACA8BC"/>
    <w:lvl w:ilvl="0" w:tplc="AB182A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FB1914"/>
    <w:multiLevelType w:val="hybridMultilevel"/>
    <w:tmpl w:val="5F90876E"/>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11117953"/>
    <w:multiLevelType w:val="hybridMultilevel"/>
    <w:tmpl w:val="55B8D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112A3499"/>
    <w:multiLevelType w:val="hybridMultilevel"/>
    <w:tmpl w:val="728A95BA"/>
    <w:lvl w:ilvl="0" w:tplc="67AA64E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2835DF6"/>
    <w:multiLevelType w:val="hybridMultilevel"/>
    <w:tmpl w:val="D0BC4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2881FBD"/>
    <w:multiLevelType w:val="hybridMultilevel"/>
    <w:tmpl w:val="94C2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2CD03E7"/>
    <w:multiLevelType w:val="hybridMultilevel"/>
    <w:tmpl w:val="4EE4D86C"/>
    <w:lvl w:ilvl="0" w:tplc="67AA64E2">
      <w:start w:val="1"/>
      <w:numFmt w:val="lowerLetter"/>
      <w:lvlText w:val="%1)"/>
      <w:lvlJc w:val="left"/>
      <w:pPr>
        <w:tabs>
          <w:tab w:val="num" w:pos="360"/>
        </w:tabs>
        <w:ind w:left="360" w:hanging="360"/>
      </w:pPr>
      <w:rPr>
        <w:rFonts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nsid w:val="13073A4D"/>
    <w:multiLevelType w:val="hybridMultilevel"/>
    <w:tmpl w:val="4608FA7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35A064B"/>
    <w:multiLevelType w:val="hybridMultilevel"/>
    <w:tmpl w:val="4106D5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369583E"/>
    <w:multiLevelType w:val="hybridMultilevel"/>
    <w:tmpl w:val="190C55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3846CE9"/>
    <w:multiLevelType w:val="hybridMultilevel"/>
    <w:tmpl w:val="C180D8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141E7843"/>
    <w:multiLevelType w:val="hybridMultilevel"/>
    <w:tmpl w:val="51BE35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4D43113"/>
    <w:multiLevelType w:val="hybridMultilevel"/>
    <w:tmpl w:val="CA6C2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14D43A05"/>
    <w:multiLevelType w:val="hybridMultilevel"/>
    <w:tmpl w:val="AB9C1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1594034A"/>
    <w:multiLevelType w:val="hybridMultilevel"/>
    <w:tmpl w:val="A62E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5F226EA"/>
    <w:multiLevelType w:val="hybridMultilevel"/>
    <w:tmpl w:val="7A765C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60C6C23"/>
    <w:multiLevelType w:val="hybridMultilevel"/>
    <w:tmpl w:val="A9A843C4"/>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166969FD"/>
    <w:multiLevelType w:val="hybridMultilevel"/>
    <w:tmpl w:val="8AAA05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nsid w:val="16E57AE3"/>
    <w:multiLevelType w:val="hybridMultilevel"/>
    <w:tmpl w:val="C268C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16EE5107"/>
    <w:multiLevelType w:val="hybridMultilevel"/>
    <w:tmpl w:val="7B3E9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75A06EB"/>
    <w:multiLevelType w:val="hybridMultilevel"/>
    <w:tmpl w:val="DD0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7F53F1C"/>
    <w:multiLevelType w:val="hybridMultilevel"/>
    <w:tmpl w:val="43B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8162FF7"/>
    <w:multiLevelType w:val="hybridMultilevel"/>
    <w:tmpl w:val="969ED0EE"/>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8">
    <w:nsid w:val="184B3391"/>
    <w:multiLevelType w:val="hybridMultilevel"/>
    <w:tmpl w:val="FDCE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8553356"/>
    <w:multiLevelType w:val="hybridMultilevel"/>
    <w:tmpl w:val="7A8A607E"/>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nsid w:val="192E422D"/>
    <w:multiLevelType w:val="hybridMultilevel"/>
    <w:tmpl w:val="6D2C8D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195748C7"/>
    <w:multiLevelType w:val="hybridMultilevel"/>
    <w:tmpl w:val="D668CB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1A0C7454"/>
    <w:multiLevelType w:val="hybridMultilevel"/>
    <w:tmpl w:val="0744F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1A5A12E3"/>
    <w:multiLevelType w:val="hybridMultilevel"/>
    <w:tmpl w:val="19F66F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A805F6D"/>
    <w:multiLevelType w:val="hybridMultilevel"/>
    <w:tmpl w:val="853A6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AF26D47"/>
    <w:multiLevelType w:val="hybridMultilevel"/>
    <w:tmpl w:val="F964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B066D3C"/>
    <w:multiLevelType w:val="hybridMultilevel"/>
    <w:tmpl w:val="BA62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B1C4671"/>
    <w:multiLevelType w:val="hybridMultilevel"/>
    <w:tmpl w:val="34727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1B2D53D8"/>
    <w:multiLevelType w:val="hybridMultilevel"/>
    <w:tmpl w:val="82043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1B3C78B8"/>
    <w:multiLevelType w:val="multilevel"/>
    <w:tmpl w:val="96860D7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0">
    <w:nsid w:val="1B45588D"/>
    <w:multiLevelType w:val="hybridMultilevel"/>
    <w:tmpl w:val="8EAE1A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1B8D39C3"/>
    <w:multiLevelType w:val="hybridMultilevel"/>
    <w:tmpl w:val="C9AE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BD4434C"/>
    <w:multiLevelType w:val="hybridMultilevel"/>
    <w:tmpl w:val="DEA2B0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1BEA27CC"/>
    <w:multiLevelType w:val="hybridMultilevel"/>
    <w:tmpl w:val="39643212"/>
    <w:lvl w:ilvl="0" w:tplc="410E0B9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C133DA4"/>
    <w:multiLevelType w:val="hybridMultilevel"/>
    <w:tmpl w:val="D722C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1C1F0423"/>
    <w:multiLevelType w:val="hybridMultilevel"/>
    <w:tmpl w:val="48F8E3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1C5D43F6"/>
    <w:multiLevelType w:val="hybridMultilevel"/>
    <w:tmpl w:val="F210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C801015"/>
    <w:multiLevelType w:val="hybridMultilevel"/>
    <w:tmpl w:val="3F0E7558"/>
    <w:lvl w:ilvl="0" w:tplc="6AF46B8A">
      <w:start w:val="603"/>
      <w:numFmt w:val="bullet"/>
      <w:lvlText w:val="-"/>
      <w:lvlJc w:val="left"/>
      <w:pPr>
        <w:ind w:left="1440" w:hanging="360"/>
      </w:pPr>
      <w:rPr>
        <w:rFonts w:ascii="Times New Roman" w:eastAsia="SimSun" w:hAnsi="Times New Roman"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1C8E3163"/>
    <w:multiLevelType w:val="hybridMultilevel"/>
    <w:tmpl w:val="A574F0EE"/>
    <w:lvl w:ilvl="0" w:tplc="86C6DDC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1D8D5CA5"/>
    <w:multiLevelType w:val="hybridMultilevel"/>
    <w:tmpl w:val="6512EF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0">
    <w:nsid w:val="1E654715"/>
    <w:multiLevelType w:val="hybridMultilevel"/>
    <w:tmpl w:val="DE48EDF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EB413FE"/>
    <w:multiLevelType w:val="hybridMultilevel"/>
    <w:tmpl w:val="0F627D86"/>
    <w:lvl w:ilvl="0" w:tplc="67AA64E2">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1F24712B"/>
    <w:multiLevelType w:val="hybridMultilevel"/>
    <w:tmpl w:val="B5AC1C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F721323"/>
    <w:multiLevelType w:val="hybridMultilevel"/>
    <w:tmpl w:val="B13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1F815E0C"/>
    <w:multiLevelType w:val="hybridMultilevel"/>
    <w:tmpl w:val="715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FBE059D"/>
    <w:multiLevelType w:val="hybridMultilevel"/>
    <w:tmpl w:val="0EA299F8"/>
    <w:lvl w:ilvl="0" w:tplc="4EC2ED8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1FD14C7F"/>
    <w:multiLevelType w:val="hybridMultilevel"/>
    <w:tmpl w:val="D09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FDF7717"/>
    <w:multiLevelType w:val="hybridMultilevel"/>
    <w:tmpl w:val="140A4A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21043D3F"/>
    <w:multiLevelType w:val="hybridMultilevel"/>
    <w:tmpl w:val="ACA81A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211303F1"/>
    <w:multiLevelType w:val="hybridMultilevel"/>
    <w:tmpl w:val="E17A9FFC"/>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0">
    <w:nsid w:val="2208440E"/>
    <w:multiLevelType w:val="hybridMultilevel"/>
    <w:tmpl w:val="F7CE4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22205E3D"/>
    <w:multiLevelType w:val="hybridMultilevel"/>
    <w:tmpl w:val="728A95BA"/>
    <w:lvl w:ilvl="0" w:tplc="67AA64E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223455B7"/>
    <w:multiLevelType w:val="hybridMultilevel"/>
    <w:tmpl w:val="E7483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224C6E84"/>
    <w:multiLevelType w:val="hybridMultilevel"/>
    <w:tmpl w:val="1FAE9B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4">
    <w:nsid w:val="22746841"/>
    <w:multiLevelType w:val="hybridMultilevel"/>
    <w:tmpl w:val="1AA807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22750BBC"/>
    <w:multiLevelType w:val="hybridMultilevel"/>
    <w:tmpl w:val="6D561998"/>
    <w:lvl w:ilvl="0" w:tplc="404CFC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3133D7E"/>
    <w:multiLevelType w:val="hybridMultilevel"/>
    <w:tmpl w:val="93DE5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233A2A12"/>
    <w:multiLevelType w:val="hybridMultilevel"/>
    <w:tmpl w:val="CFE40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23B17DA2"/>
    <w:multiLevelType w:val="hybridMultilevel"/>
    <w:tmpl w:val="45FE7A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3B808A6"/>
    <w:multiLevelType w:val="hybridMultilevel"/>
    <w:tmpl w:val="525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23EF2F7A"/>
    <w:multiLevelType w:val="hybridMultilevel"/>
    <w:tmpl w:val="409E3D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24080459"/>
    <w:multiLevelType w:val="hybridMultilevel"/>
    <w:tmpl w:val="4EE4D86C"/>
    <w:lvl w:ilvl="0" w:tplc="67AA64E2">
      <w:start w:val="1"/>
      <w:numFmt w:val="lowerLetter"/>
      <w:lvlText w:val="%1)"/>
      <w:lvlJc w:val="left"/>
      <w:pPr>
        <w:tabs>
          <w:tab w:val="num" w:pos="360"/>
        </w:tabs>
        <w:ind w:left="360" w:hanging="360"/>
      </w:pPr>
      <w:rPr>
        <w:rFonts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2">
    <w:nsid w:val="24E47F15"/>
    <w:multiLevelType w:val="hybridMultilevel"/>
    <w:tmpl w:val="FD9629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25240997"/>
    <w:multiLevelType w:val="hybridMultilevel"/>
    <w:tmpl w:val="E858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254333D0"/>
    <w:multiLevelType w:val="hybridMultilevel"/>
    <w:tmpl w:val="EF843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25556BE5"/>
    <w:multiLevelType w:val="hybridMultilevel"/>
    <w:tmpl w:val="F0EA0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25723B98"/>
    <w:multiLevelType w:val="hybridMultilevel"/>
    <w:tmpl w:val="5FD6FE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25903DB1"/>
    <w:multiLevelType w:val="hybridMultilevel"/>
    <w:tmpl w:val="1B54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64672F4"/>
    <w:multiLevelType w:val="hybridMultilevel"/>
    <w:tmpl w:val="9F62E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27104AF2"/>
    <w:multiLevelType w:val="hybridMultilevel"/>
    <w:tmpl w:val="C4AEC2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276B7ED0"/>
    <w:multiLevelType w:val="hybridMultilevel"/>
    <w:tmpl w:val="C7C42C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292B0F53"/>
    <w:multiLevelType w:val="hybridMultilevel"/>
    <w:tmpl w:val="4C46AE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2">
    <w:nsid w:val="29957A69"/>
    <w:multiLevelType w:val="hybridMultilevel"/>
    <w:tmpl w:val="972CDF4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2A2F0DAE"/>
    <w:multiLevelType w:val="hybridMultilevel"/>
    <w:tmpl w:val="1610D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2AB9322B"/>
    <w:multiLevelType w:val="hybridMultilevel"/>
    <w:tmpl w:val="AE0A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2ABA5E72"/>
    <w:multiLevelType w:val="hybridMultilevel"/>
    <w:tmpl w:val="152E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2ACE6BBA"/>
    <w:multiLevelType w:val="hybridMultilevel"/>
    <w:tmpl w:val="F07A1E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7">
    <w:nsid w:val="2AE1380C"/>
    <w:multiLevelType w:val="hybridMultilevel"/>
    <w:tmpl w:val="21A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AE71C53"/>
    <w:multiLevelType w:val="hybridMultilevel"/>
    <w:tmpl w:val="9A9A7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2B05252F"/>
    <w:multiLevelType w:val="hybridMultilevel"/>
    <w:tmpl w:val="3C8AD9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2B1F7FE3"/>
    <w:multiLevelType w:val="hybridMultilevel"/>
    <w:tmpl w:val="F9388FE0"/>
    <w:lvl w:ilvl="0" w:tplc="67AA64E2">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2B602C9D"/>
    <w:multiLevelType w:val="hybridMultilevel"/>
    <w:tmpl w:val="2B4EDB88"/>
    <w:lvl w:ilvl="0" w:tplc="F75052CE">
      <w:start w:val="1"/>
      <w:numFmt w:val="lowerLetter"/>
      <w:lvlText w:val="%1)"/>
      <w:lvlJc w:val="left"/>
      <w:pPr>
        <w:ind w:left="360" w:hanging="360"/>
      </w:pPr>
      <w:rPr>
        <w:rFont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2">
    <w:nsid w:val="2BB440BB"/>
    <w:multiLevelType w:val="hybridMultilevel"/>
    <w:tmpl w:val="5A6E85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2C3E0E56"/>
    <w:multiLevelType w:val="hybridMultilevel"/>
    <w:tmpl w:val="0588A66C"/>
    <w:lvl w:ilvl="0" w:tplc="67AA64E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2C685BE6"/>
    <w:multiLevelType w:val="hybridMultilevel"/>
    <w:tmpl w:val="2F6217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2C933C03"/>
    <w:multiLevelType w:val="hybridMultilevel"/>
    <w:tmpl w:val="F50EB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2CC3639F"/>
    <w:multiLevelType w:val="hybridMultilevel"/>
    <w:tmpl w:val="35EA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2D357B72"/>
    <w:multiLevelType w:val="hybridMultilevel"/>
    <w:tmpl w:val="4AF60F3A"/>
    <w:lvl w:ilvl="0" w:tplc="E64CA1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8">
    <w:nsid w:val="2DD33C5A"/>
    <w:multiLevelType w:val="hybridMultilevel"/>
    <w:tmpl w:val="E452AB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2DE452E3"/>
    <w:multiLevelType w:val="hybridMultilevel"/>
    <w:tmpl w:val="A15A74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nsid w:val="2DEF65AC"/>
    <w:multiLevelType w:val="hybridMultilevel"/>
    <w:tmpl w:val="6930E52A"/>
    <w:lvl w:ilvl="0" w:tplc="5E5A3B1E">
      <w:start w:val="1"/>
      <w:numFmt w:val="lowerRoman"/>
      <w:lvlText w:val="(%1)"/>
      <w:lvlJc w:val="left"/>
      <w:pPr>
        <w:ind w:left="1064" w:hanging="72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51">
    <w:nsid w:val="2DFE236D"/>
    <w:multiLevelType w:val="hybridMultilevel"/>
    <w:tmpl w:val="81DA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2E176292"/>
    <w:multiLevelType w:val="hybridMultilevel"/>
    <w:tmpl w:val="6FCEB32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2EAE1666"/>
    <w:multiLevelType w:val="hybridMultilevel"/>
    <w:tmpl w:val="FC9E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2ECB6CD6"/>
    <w:multiLevelType w:val="hybridMultilevel"/>
    <w:tmpl w:val="06B23690"/>
    <w:lvl w:ilvl="0" w:tplc="45BEF906">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2EEE2699"/>
    <w:multiLevelType w:val="hybridMultilevel"/>
    <w:tmpl w:val="C56A1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2F2D0F45"/>
    <w:multiLevelType w:val="hybridMultilevel"/>
    <w:tmpl w:val="FFE6D5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2F54567A"/>
    <w:multiLevelType w:val="hybridMultilevel"/>
    <w:tmpl w:val="AA96B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30277272"/>
    <w:multiLevelType w:val="hybridMultilevel"/>
    <w:tmpl w:val="AD5E8CB8"/>
    <w:lvl w:ilvl="0" w:tplc="0409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9">
    <w:nsid w:val="30765FE9"/>
    <w:multiLevelType w:val="hybridMultilevel"/>
    <w:tmpl w:val="E77E948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3087778B"/>
    <w:multiLevelType w:val="hybridMultilevel"/>
    <w:tmpl w:val="E42856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1">
    <w:nsid w:val="30ED2A50"/>
    <w:multiLevelType w:val="hybridMultilevel"/>
    <w:tmpl w:val="F83835C8"/>
    <w:lvl w:ilvl="0" w:tplc="86C6DDC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310B2D65"/>
    <w:multiLevelType w:val="hybridMultilevel"/>
    <w:tmpl w:val="84B2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319F61E0"/>
    <w:multiLevelType w:val="hybridMultilevel"/>
    <w:tmpl w:val="15328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31B10226"/>
    <w:multiLevelType w:val="hybridMultilevel"/>
    <w:tmpl w:val="0568BC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31CF00E1"/>
    <w:multiLevelType w:val="hybridMultilevel"/>
    <w:tmpl w:val="8D74FC18"/>
    <w:lvl w:ilvl="0" w:tplc="67AA64E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31E13B86"/>
    <w:multiLevelType w:val="hybridMultilevel"/>
    <w:tmpl w:val="82BC0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31E4477E"/>
    <w:multiLevelType w:val="hybridMultilevel"/>
    <w:tmpl w:val="3390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326037A1"/>
    <w:multiLevelType w:val="hybridMultilevel"/>
    <w:tmpl w:val="C1BCE16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32F7599A"/>
    <w:multiLevelType w:val="hybridMultilevel"/>
    <w:tmpl w:val="4CA851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32F80360"/>
    <w:multiLevelType w:val="hybridMultilevel"/>
    <w:tmpl w:val="2FF2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338522CA"/>
    <w:multiLevelType w:val="hybridMultilevel"/>
    <w:tmpl w:val="CF5C9A0C"/>
    <w:lvl w:ilvl="0" w:tplc="2B2C9A96">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338F2BD3"/>
    <w:multiLevelType w:val="hybridMultilevel"/>
    <w:tmpl w:val="312857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3DB2937"/>
    <w:multiLevelType w:val="hybridMultilevel"/>
    <w:tmpl w:val="D1DC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342B1EDD"/>
    <w:multiLevelType w:val="hybridMultilevel"/>
    <w:tmpl w:val="16D8BF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3473559D"/>
    <w:multiLevelType w:val="hybridMultilevel"/>
    <w:tmpl w:val="E778A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35B17725"/>
    <w:multiLevelType w:val="hybridMultilevel"/>
    <w:tmpl w:val="616A8C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7">
    <w:nsid w:val="36383C24"/>
    <w:multiLevelType w:val="hybridMultilevel"/>
    <w:tmpl w:val="2B5A66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366F0092"/>
    <w:multiLevelType w:val="hybridMultilevel"/>
    <w:tmpl w:val="21FE7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37C67528"/>
    <w:multiLevelType w:val="hybridMultilevel"/>
    <w:tmpl w:val="9E886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37D817AF"/>
    <w:multiLevelType w:val="hybridMultilevel"/>
    <w:tmpl w:val="051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38891C8E"/>
    <w:multiLevelType w:val="hybridMultilevel"/>
    <w:tmpl w:val="610C5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389D114B"/>
    <w:multiLevelType w:val="hybridMultilevel"/>
    <w:tmpl w:val="DD0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38A5624E"/>
    <w:multiLevelType w:val="hybridMultilevel"/>
    <w:tmpl w:val="CD9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38BD5B63"/>
    <w:multiLevelType w:val="hybridMultilevel"/>
    <w:tmpl w:val="3C8E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38BE7F51"/>
    <w:multiLevelType w:val="hybridMultilevel"/>
    <w:tmpl w:val="174AC2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38EB5948"/>
    <w:multiLevelType w:val="hybridMultilevel"/>
    <w:tmpl w:val="9A8435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87">
    <w:nsid w:val="392E68C8"/>
    <w:multiLevelType w:val="hybridMultilevel"/>
    <w:tmpl w:val="17C05FC2"/>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88">
    <w:nsid w:val="39CE653D"/>
    <w:multiLevelType w:val="hybridMultilevel"/>
    <w:tmpl w:val="579A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39D60210"/>
    <w:multiLevelType w:val="hybridMultilevel"/>
    <w:tmpl w:val="AE14B6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39E3778B"/>
    <w:multiLevelType w:val="hybridMultilevel"/>
    <w:tmpl w:val="93F2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3AC42C67"/>
    <w:multiLevelType w:val="hybridMultilevel"/>
    <w:tmpl w:val="3236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3AD41DD8"/>
    <w:multiLevelType w:val="hybridMultilevel"/>
    <w:tmpl w:val="39643212"/>
    <w:lvl w:ilvl="0" w:tplc="410E0B9A">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3B2C3C6B"/>
    <w:multiLevelType w:val="hybridMultilevel"/>
    <w:tmpl w:val="B238A8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3B4160A4"/>
    <w:multiLevelType w:val="hybridMultilevel"/>
    <w:tmpl w:val="7612004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5">
    <w:nsid w:val="3BBA7C4C"/>
    <w:multiLevelType w:val="multilevel"/>
    <w:tmpl w:val="08F286E0"/>
    <w:styleLink w:val="aAhs"/>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upperLetter"/>
      <w:lvlRestart w:val="0"/>
      <w:lvlText w:val="Appendix %7: "/>
      <w:lvlJc w:val="left"/>
      <w:pPr>
        <w:ind w:left="2736" w:hanging="2736"/>
      </w:pPr>
      <w:rPr>
        <w:rFonts w:hint="default"/>
      </w:rPr>
    </w:lvl>
    <w:lvl w:ilvl="7">
      <w:start w:val="1"/>
      <w:numFmt w:val="decimal"/>
      <w:lvlText w:val="%7.%8"/>
      <w:lvlJc w:val="left"/>
      <w:pPr>
        <w:ind w:left="792" w:hanging="792"/>
      </w:pPr>
      <w:rPr>
        <w:rFonts w:hint="default"/>
      </w:rPr>
    </w:lvl>
    <w:lvl w:ilvl="8">
      <w:start w:val="1"/>
      <w:numFmt w:val="lowerRoman"/>
      <w:lvlText w:val="%9."/>
      <w:lvlJc w:val="right"/>
      <w:pPr>
        <w:ind w:left="7560" w:hanging="180"/>
      </w:pPr>
      <w:rPr>
        <w:rFonts w:hint="default"/>
      </w:rPr>
    </w:lvl>
  </w:abstractNum>
  <w:abstractNum w:abstractNumId="196">
    <w:nsid w:val="3BCC3B1B"/>
    <w:multiLevelType w:val="hybridMultilevel"/>
    <w:tmpl w:val="2320D80C"/>
    <w:lvl w:ilvl="0" w:tplc="F75052CE">
      <w:start w:val="1"/>
      <w:numFmt w:val="lowerLetter"/>
      <w:lvlText w:val="%1)"/>
      <w:lvlJc w:val="left"/>
      <w:pPr>
        <w:tabs>
          <w:tab w:val="num" w:pos="1080"/>
        </w:tabs>
        <w:ind w:left="1080" w:hanging="360"/>
      </w:pPr>
      <w:rPr>
        <w:rFonts w:hint="default"/>
        <w:b/>
      </w:rPr>
    </w:lvl>
    <w:lvl w:ilvl="1" w:tplc="04090009">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7">
    <w:nsid w:val="3C0A0091"/>
    <w:multiLevelType w:val="hybridMultilevel"/>
    <w:tmpl w:val="C84ECBE4"/>
    <w:lvl w:ilvl="0" w:tplc="67AA64E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3C140ED8"/>
    <w:multiLevelType w:val="hybridMultilevel"/>
    <w:tmpl w:val="A106DB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9">
    <w:nsid w:val="3CCC1B14"/>
    <w:multiLevelType w:val="hybridMultilevel"/>
    <w:tmpl w:val="FD82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3D232E72"/>
    <w:multiLevelType w:val="hybridMultilevel"/>
    <w:tmpl w:val="1124E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1">
    <w:nsid w:val="3D3E3C89"/>
    <w:multiLevelType w:val="hybridMultilevel"/>
    <w:tmpl w:val="B60A56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3DB50A92"/>
    <w:multiLevelType w:val="hybridMultilevel"/>
    <w:tmpl w:val="2D58FC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03">
    <w:nsid w:val="3E3B0BCE"/>
    <w:multiLevelType w:val="hybridMultilevel"/>
    <w:tmpl w:val="A90847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3EE87CE0"/>
    <w:multiLevelType w:val="hybridMultilevel"/>
    <w:tmpl w:val="9CACE4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3EFD36E6"/>
    <w:multiLevelType w:val="hybridMultilevel"/>
    <w:tmpl w:val="875C3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40094EDC"/>
    <w:multiLevelType w:val="hybridMultilevel"/>
    <w:tmpl w:val="6FCEB32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403864A1"/>
    <w:multiLevelType w:val="hybridMultilevel"/>
    <w:tmpl w:val="6CD80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40652E08"/>
    <w:multiLevelType w:val="hybridMultilevel"/>
    <w:tmpl w:val="42BEFA9E"/>
    <w:lvl w:ilvl="0" w:tplc="18BE98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40F650B9"/>
    <w:multiLevelType w:val="hybridMultilevel"/>
    <w:tmpl w:val="FF32B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40F70BA9"/>
    <w:multiLevelType w:val="hybridMultilevel"/>
    <w:tmpl w:val="F432CC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1">
    <w:nsid w:val="416D29B9"/>
    <w:multiLevelType w:val="hybridMultilevel"/>
    <w:tmpl w:val="D0722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41A76527"/>
    <w:multiLevelType w:val="hybridMultilevel"/>
    <w:tmpl w:val="B08ED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41E068C9"/>
    <w:multiLevelType w:val="hybridMultilevel"/>
    <w:tmpl w:val="F8821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4234077F"/>
    <w:multiLevelType w:val="hybridMultilevel"/>
    <w:tmpl w:val="DCF89E04"/>
    <w:lvl w:ilvl="0" w:tplc="A016016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4268485F"/>
    <w:multiLevelType w:val="hybridMultilevel"/>
    <w:tmpl w:val="2D1A8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6">
    <w:nsid w:val="42EB74AB"/>
    <w:multiLevelType w:val="hybridMultilevel"/>
    <w:tmpl w:val="1A4E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432517BF"/>
    <w:multiLevelType w:val="hybridMultilevel"/>
    <w:tmpl w:val="6978B9AC"/>
    <w:lvl w:ilvl="0" w:tplc="86C6DDC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436426D3"/>
    <w:multiLevelType w:val="hybridMultilevel"/>
    <w:tmpl w:val="0DC0D31A"/>
    <w:lvl w:ilvl="0" w:tplc="04090001">
      <w:start w:val="1"/>
      <w:numFmt w:val="bullet"/>
      <w:lvlText w:val=""/>
      <w:lvlJc w:val="left"/>
      <w:pPr>
        <w:tabs>
          <w:tab w:val="num" w:pos="720"/>
        </w:tabs>
        <w:ind w:left="720" w:hanging="360"/>
      </w:pPr>
      <w:rPr>
        <w:rFonts w:ascii="Symbol" w:hAnsi="Symbol" w:hint="default"/>
      </w:rPr>
    </w:lvl>
    <w:lvl w:ilvl="1" w:tplc="08090007">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9">
    <w:nsid w:val="43BF2E54"/>
    <w:multiLevelType w:val="hybridMultilevel"/>
    <w:tmpl w:val="751E7C1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43E564FF"/>
    <w:multiLevelType w:val="hybridMultilevel"/>
    <w:tmpl w:val="87CC028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nsid w:val="44135CAD"/>
    <w:multiLevelType w:val="hybridMultilevel"/>
    <w:tmpl w:val="9C4A39A6"/>
    <w:lvl w:ilvl="0" w:tplc="F75052CE">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44BB6DF1"/>
    <w:multiLevelType w:val="hybridMultilevel"/>
    <w:tmpl w:val="FF60C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nsid w:val="45C66E0C"/>
    <w:multiLevelType w:val="hybridMultilevel"/>
    <w:tmpl w:val="013E1F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nsid w:val="45D5322C"/>
    <w:multiLevelType w:val="hybridMultilevel"/>
    <w:tmpl w:val="EDACA8BC"/>
    <w:lvl w:ilvl="0" w:tplc="AB182A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46752EE8"/>
    <w:multiLevelType w:val="hybridMultilevel"/>
    <w:tmpl w:val="062C1E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46F91367"/>
    <w:multiLevelType w:val="hybridMultilevel"/>
    <w:tmpl w:val="411430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7">
    <w:nsid w:val="47E96E33"/>
    <w:multiLevelType w:val="hybridMultilevel"/>
    <w:tmpl w:val="B5E6D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nsid w:val="481472E3"/>
    <w:multiLevelType w:val="hybridMultilevel"/>
    <w:tmpl w:val="658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490B7B4D"/>
    <w:multiLevelType w:val="hybridMultilevel"/>
    <w:tmpl w:val="39643212"/>
    <w:lvl w:ilvl="0" w:tplc="410E0B9A">
      <w:start w:val="1"/>
      <w:numFmt w:val="lowerLetter"/>
      <w:lvlText w:val="%1)"/>
      <w:lvlJc w:val="left"/>
      <w:pPr>
        <w:ind w:left="126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49A63CA2"/>
    <w:multiLevelType w:val="hybridMultilevel"/>
    <w:tmpl w:val="2F60C306"/>
    <w:lvl w:ilvl="0" w:tplc="6AF46B8A">
      <w:start w:val="603"/>
      <w:numFmt w:val="bullet"/>
      <w:lvlText w:val="-"/>
      <w:lvlJc w:val="left"/>
      <w:pPr>
        <w:tabs>
          <w:tab w:val="num" w:pos="720"/>
        </w:tabs>
        <w:ind w:left="720" w:hanging="360"/>
      </w:pPr>
      <w:rPr>
        <w:rFonts w:ascii="Times New Roman" w:eastAsia="SimSun" w:hAnsi="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4A044814"/>
    <w:multiLevelType w:val="hybridMultilevel"/>
    <w:tmpl w:val="BAEA4EE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2">
    <w:nsid w:val="4A672456"/>
    <w:multiLevelType w:val="hybridMultilevel"/>
    <w:tmpl w:val="3F96B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4AC05D55"/>
    <w:multiLevelType w:val="hybridMultilevel"/>
    <w:tmpl w:val="1E6C9C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nsid w:val="4B5F3780"/>
    <w:multiLevelType w:val="hybridMultilevel"/>
    <w:tmpl w:val="39084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4B6A6458"/>
    <w:multiLevelType w:val="hybridMultilevel"/>
    <w:tmpl w:val="B9F81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4B90243B"/>
    <w:multiLevelType w:val="hybridMultilevel"/>
    <w:tmpl w:val="E2A0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4C0D4D78"/>
    <w:multiLevelType w:val="hybridMultilevel"/>
    <w:tmpl w:val="B5FAB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4C1922B5"/>
    <w:multiLevelType w:val="hybridMultilevel"/>
    <w:tmpl w:val="521E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4CB162D4"/>
    <w:multiLevelType w:val="hybridMultilevel"/>
    <w:tmpl w:val="6E02B5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nsid w:val="4CB57CE3"/>
    <w:multiLevelType w:val="hybridMultilevel"/>
    <w:tmpl w:val="4C6EA018"/>
    <w:lvl w:ilvl="0" w:tplc="86C6DDC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4D976A77"/>
    <w:multiLevelType w:val="hybridMultilevel"/>
    <w:tmpl w:val="6A06EA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4DCD739A"/>
    <w:multiLevelType w:val="hybridMultilevel"/>
    <w:tmpl w:val="B10EED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4DEF0DEB"/>
    <w:multiLevelType w:val="hybridMultilevel"/>
    <w:tmpl w:val="85104DF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4">
    <w:nsid w:val="4E304D80"/>
    <w:multiLevelType w:val="hybridMultilevel"/>
    <w:tmpl w:val="307082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4E8D3540"/>
    <w:multiLevelType w:val="hybridMultilevel"/>
    <w:tmpl w:val="1FB0F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4EAB4E15"/>
    <w:multiLevelType w:val="hybridMultilevel"/>
    <w:tmpl w:val="9A94A7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nsid w:val="4ECB1558"/>
    <w:multiLevelType w:val="hybridMultilevel"/>
    <w:tmpl w:val="94D09390"/>
    <w:lvl w:ilvl="0" w:tplc="5156B636">
      <w:start w:val="603"/>
      <w:numFmt w:val="bullet"/>
      <w:lvlText w:val="-"/>
      <w:lvlJc w:val="left"/>
      <w:pPr>
        <w:tabs>
          <w:tab w:val="num" w:pos="720"/>
        </w:tabs>
        <w:ind w:left="720" w:hanging="360"/>
      </w:pPr>
      <w:rPr>
        <w:rFonts w:ascii="Times New Roman" w:eastAsia="SimSu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8">
    <w:nsid w:val="4EE32A40"/>
    <w:multiLevelType w:val="hybridMultilevel"/>
    <w:tmpl w:val="1D86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nsid w:val="4EEC0740"/>
    <w:multiLevelType w:val="hybridMultilevel"/>
    <w:tmpl w:val="88D4C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4FA24CC2"/>
    <w:multiLevelType w:val="hybridMultilevel"/>
    <w:tmpl w:val="DB1E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518938F5"/>
    <w:multiLevelType w:val="hybridMultilevel"/>
    <w:tmpl w:val="BD58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51D34BE3"/>
    <w:multiLevelType w:val="hybridMultilevel"/>
    <w:tmpl w:val="2376B6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52C06515"/>
    <w:multiLevelType w:val="hybridMultilevel"/>
    <w:tmpl w:val="57BC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nsid w:val="52F66A56"/>
    <w:multiLevelType w:val="hybridMultilevel"/>
    <w:tmpl w:val="416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5301113B"/>
    <w:multiLevelType w:val="hybridMultilevel"/>
    <w:tmpl w:val="605E5A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6">
    <w:nsid w:val="5335720E"/>
    <w:multiLevelType w:val="hybridMultilevel"/>
    <w:tmpl w:val="A84A93D4"/>
    <w:lvl w:ilvl="0" w:tplc="6AF46B8A">
      <w:start w:val="603"/>
      <w:numFmt w:val="bullet"/>
      <w:lvlText w:val="-"/>
      <w:lvlJc w:val="left"/>
      <w:pPr>
        <w:ind w:left="780" w:hanging="360"/>
      </w:pPr>
      <w:rPr>
        <w:rFonts w:ascii="Times New Roman" w:eastAsia="SimSun" w:hAnsi="Times New Roman" w:hint="default"/>
        <w:b/>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7">
    <w:nsid w:val="53C02629"/>
    <w:multiLevelType w:val="hybridMultilevel"/>
    <w:tmpl w:val="881AD4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nsid w:val="54D7121D"/>
    <w:multiLevelType w:val="hybridMultilevel"/>
    <w:tmpl w:val="1FB25C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55D64881"/>
    <w:multiLevelType w:val="hybridMultilevel"/>
    <w:tmpl w:val="7B4C8F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0">
    <w:nsid w:val="56292315"/>
    <w:multiLevelType w:val="hybridMultilevel"/>
    <w:tmpl w:val="0F627D86"/>
    <w:lvl w:ilvl="0" w:tplc="67AA64E2">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nsid w:val="562C2669"/>
    <w:multiLevelType w:val="hybridMultilevel"/>
    <w:tmpl w:val="8BB2D116"/>
    <w:lvl w:ilvl="0" w:tplc="F34C31C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nsid w:val="5697263D"/>
    <w:multiLevelType w:val="multilevel"/>
    <w:tmpl w:val="B2AC05E6"/>
    <w:lvl w:ilvl="0">
      <w:start w:val="1"/>
      <w:numFmt w:val="upperRoman"/>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3">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4">
    <w:nsid w:val="56CD50B9"/>
    <w:multiLevelType w:val="hybridMultilevel"/>
    <w:tmpl w:val="850A7898"/>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65">
    <w:nsid w:val="56FD604B"/>
    <w:multiLevelType w:val="hybridMultilevel"/>
    <w:tmpl w:val="A97433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nsid w:val="570D4CA1"/>
    <w:multiLevelType w:val="hybridMultilevel"/>
    <w:tmpl w:val="D8F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57245395"/>
    <w:multiLevelType w:val="hybridMultilevel"/>
    <w:tmpl w:val="98DCC8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nsid w:val="57B27E7E"/>
    <w:multiLevelType w:val="multilevel"/>
    <w:tmpl w:val="8D465B7E"/>
    <w:lvl w:ilvl="0">
      <w:start w:val="1"/>
      <w:numFmt w:val="decimal"/>
      <w:lvlText w:val="%1."/>
      <w:lvlJc w:val="left"/>
      <w:pPr>
        <w:ind w:left="36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60" w:hanging="1800"/>
      </w:pPr>
      <w:rPr>
        <w:rFonts w:hint="default"/>
      </w:rPr>
    </w:lvl>
  </w:abstractNum>
  <w:abstractNum w:abstractNumId="269">
    <w:nsid w:val="57F16FF6"/>
    <w:multiLevelType w:val="hybridMultilevel"/>
    <w:tmpl w:val="E65A8B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0">
    <w:nsid w:val="58DA7419"/>
    <w:multiLevelType w:val="hybridMultilevel"/>
    <w:tmpl w:val="AA1A35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nsid w:val="596F4202"/>
    <w:multiLevelType w:val="hybridMultilevel"/>
    <w:tmpl w:val="7D9EAE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nsid w:val="5A373A38"/>
    <w:multiLevelType w:val="hybridMultilevel"/>
    <w:tmpl w:val="A3FC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5A3F68E1"/>
    <w:multiLevelType w:val="hybridMultilevel"/>
    <w:tmpl w:val="B5EA4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nsid w:val="5A6C2754"/>
    <w:multiLevelType w:val="hybridMultilevel"/>
    <w:tmpl w:val="1FE606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nsid w:val="5B005BF9"/>
    <w:multiLevelType w:val="hybridMultilevel"/>
    <w:tmpl w:val="7E90F46A"/>
    <w:lvl w:ilvl="0" w:tplc="F75052CE">
      <w:start w:val="1"/>
      <w:numFmt w:val="lowerLetter"/>
      <w:lvlText w:val="%1)"/>
      <w:lvlJc w:val="left"/>
      <w:pPr>
        <w:tabs>
          <w:tab w:val="num" w:pos="360"/>
        </w:tabs>
        <w:ind w:left="360" w:hanging="360"/>
      </w:pPr>
      <w:rPr>
        <w:rFonts w:hint="default"/>
        <w:b/>
      </w:rPr>
    </w:lvl>
    <w:lvl w:ilvl="1" w:tplc="04090009">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6">
    <w:nsid w:val="5B115AFE"/>
    <w:multiLevelType w:val="hybridMultilevel"/>
    <w:tmpl w:val="26B09CC4"/>
    <w:lvl w:ilvl="0" w:tplc="A4D63F5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5BBC79F3"/>
    <w:multiLevelType w:val="hybridMultilevel"/>
    <w:tmpl w:val="10C0ED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5BD423A1"/>
    <w:multiLevelType w:val="hybridMultilevel"/>
    <w:tmpl w:val="622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5C1857AB"/>
    <w:multiLevelType w:val="hybridMultilevel"/>
    <w:tmpl w:val="E1D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5C8701BD"/>
    <w:multiLevelType w:val="hybridMultilevel"/>
    <w:tmpl w:val="EE64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5C945EF0"/>
    <w:multiLevelType w:val="hybridMultilevel"/>
    <w:tmpl w:val="D4901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nsid w:val="5D0C53D5"/>
    <w:multiLevelType w:val="hybridMultilevel"/>
    <w:tmpl w:val="9CF60F00"/>
    <w:lvl w:ilvl="0" w:tplc="DC7AC676">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nsid w:val="5D65253F"/>
    <w:multiLevelType w:val="hybridMultilevel"/>
    <w:tmpl w:val="39E8E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nsid w:val="5E1B6EA0"/>
    <w:multiLevelType w:val="hybridMultilevel"/>
    <w:tmpl w:val="03C851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nsid w:val="5E2879F8"/>
    <w:multiLevelType w:val="hybridMultilevel"/>
    <w:tmpl w:val="8D3849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6">
    <w:nsid w:val="5E2F792D"/>
    <w:multiLevelType w:val="hybridMultilevel"/>
    <w:tmpl w:val="ABEADE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7">
    <w:nsid w:val="5E3733B2"/>
    <w:multiLevelType w:val="hybridMultilevel"/>
    <w:tmpl w:val="C598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nsid w:val="5E3F5BFD"/>
    <w:multiLevelType w:val="hybridMultilevel"/>
    <w:tmpl w:val="A24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5E482BDF"/>
    <w:multiLevelType w:val="hybridMultilevel"/>
    <w:tmpl w:val="D8FE3B8A"/>
    <w:lvl w:ilvl="0" w:tplc="F75052C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5F796974"/>
    <w:multiLevelType w:val="hybridMultilevel"/>
    <w:tmpl w:val="862E2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1">
    <w:nsid w:val="5F964564"/>
    <w:multiLevelType w:val="hybridMultilevel"/>
    <w:tmpl w:val="81B68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nsid w:val="5FAC2124"/>
    <w:multiLevelType w:val="hybridMultilevel"/>
    <w:tmpl w:val="45A64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nsid w:val="5FD4074A"/>
    <w:multiLevelType w:val="hybridMultilevel"/>
    <w:tmpl w:val="FC1A12EC"/>
    <w:lvl w:ilvl="0" w:tplc="2958A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5FF75F8B"/>
    <w:multiLevelType w:val="hybridMultilevel"/>
    <w:tmpl w:val="BFD6F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604874AB"/>
    <w:multiLevelType w:val="hybridMultilevel"/>
    <w:tmpl w:val="DD0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60933B44"/>
    <w:multiLevelType w:val="hybridMultilevel"/>
    <w:tmpl w:val="B9AEF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nsid w:val="61263B3D"/>
    <w:multiLevelType w:val="hybridMultilevel"/>
    <w:tmpl w:val="0A8AB4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nsid w:val="614B3ECF"/>
    <w:multiLevelType w:val="hybridMultilevel"/>
    <w:tmpl w:val="333CE1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nsid w:val="61914C6E"/>
    <w:multiLevelType w:val="hybridMultilevel"/>
    <w:tmpl w:val="DD06C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622F7309"/>
    <w:multiLevelType w:val="hybridMultilevel"/>
    <w:tmpl w:val="BF9ECB70"/>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1">
    <w:nsid w:val="62331412"/>
    <w:multiLevelType w:val="hybridMultilevel"/>
    <w:tmpl w:val="46F24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nsid w:val="62617F5C"/>
    <w:multiLevelType w:val="hybridMultilevel"/>
    <w:tmpl w:val="887A3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62994AB1"/>
    <w:multiLevelType w:val="hybridMultilevel"/>
    <w:tmpl w:val="4FE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63950D07"/>
    <w:multiLevelType w:val="hybridMultilevel"/>
    <w:tmpl w:val="D02E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63FC12CC"/>
    <w:multiLevelType w:val="hybridMultilevel"/>
    <w:tmpl w:val="1B447E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nsid w:val="64404112"/>
    <w:multiLevelType w:val="hybridMultilevel"/>
    <w:tmpl w:val="258A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64597062"/>
    <w:multiLevelType w:val="hybridMultilevel"/>
    <w:tmpl w:val="6F20B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nsid w:val="6476578F"/>
    <w:multiLevelType w:val="hybridMultilevel"/>
    <w:tmpl w:val="BDA27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648051FB"/>
    <w:multiLevelType w:val="hybridMultilevel"/>
    <w:tmpl w:val="C36488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nsid w:val="64BE1D82"/>
    <w:multiLevelType w:val="hybridMultilevel"/>
    <w:tmpl w:val="751E7C1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64DD3738"/>
    <w:multiLevelType w:val="hybridMultilevel"/>
    <w:tmpl w:val="CC32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64E7337B"/>
    <w:multiLevelType w:val="hybridMultilevel"/>
    <w:tmpl w:val="429CA63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nsid w:val="651E0739"/>
    <w:multiLevelType w:val="hybridMultilevel"/>
    <w:tmpl w:val="91A84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nsid w:val="65511E35"/>
    <w:multiLevelType w:val="hybridMultilevel"/>
    <w:tmpl w:val="685E4388"/>
    <w:lvl w:ilvl="0" w:tplc="FB325B7A">
      <w:start w:val="1"/>
      <w:numFmt w:val="decimal"/>
      <w:pStyle w:val="BodyText"/>
      <w:lvlText w:val="%1."/>
      <w:lvlJc w:val="left"/>
      <w:pPr>
        <w:tabs>
          <w:tab w:val="num" w:pos="360"/>
        </w:tabs>
        <w:ind w:left="360" w:hanging="360"/>
      </w:pPr>
      <w:rPr>
        <w:b w:val="0"/>
        <w:bCs w:val="0"/>
        <w:i w:val="0"/>
        <w:iCs w:val="0"/>
        <w:color w:val="auto"/>
        <w:sz w:val="22"/>
        <w:szCs w:val="22"/>
      </w:rPr>
    </w:lvl>
    <w:lvl w:ilvl="1" w:tplc="A910423A">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203E5A06">
      <w:start w:val="3"/>
      <w:numFmt w:val="lowerLetter"/>
      <w:lvlText w:val="%3)"/>
      <w:lvlJc w:val="left"/>
      <w:pPr>
        <w:tabs>
          <w:tab w:val="num" w:pos="1800"/>
        </w:tabs>
        <w:ind w:left="1800" w:hanging="360"/>
      </w:pPr>
      <w:rPr>
        <w:rFonts w:hint="default"/>
      </w:rPr>
    </w:lvl>
    <w:lvl w:ilvl="3" w:tplc="EA00BC8E" w:tentative="1">
      <w:start w:val="1"/>
      <w:numFmt w:val="decimal"/>
      <w:lvlText w:val="%4."/>
      <w:lvlJc w:val="left"/>
      <w:pPr>
        <w:tabs>
          <w:tab w:val="num" w:pos="2340"/>
        </w:tabs>
        <w:ind w:left="2340" w:hanging="360"/>
      </w:pPr>
    </w:lvl>
    <w:lvl w:ilvl="4" w:tplc="40BCDEA2" w:tentative="1">
      <w:start w:val="1"/>
      <w:numFmt w:val="lowerLetter"/>
      <w:lvlText w:val="%5."/>
      <w:lvlJc w:val="left"/>
      <w:pPr>
        <w:tabs>
          <w:tab w:val="num" w:pos="3060"/>
        </w:tabs>
        <w:ind w:left="3060" w:hanging="360"/>
      </w:pPr>
    </w:lvl>
    <w:lvl w:ilvl="5" w:tplc="72D48CC8" w:tentative="1">
      <w:start w:val="1"/>
      <w:numFmt w:val="lowerRoman"/>
      <w:lvlText w:val="%6."/>
      <w:lvlJc w:val="right"/>
      <w:pPr>
        <w:tabs>
          <w:tab w:val="num" w:pos="3780"/>
        </w:tabs>
        <w:ind w:left="3780" w:hanging="180"/>
      </w:pPr>
    </w:lvl>
    <w:lvl w:ilvl="6" w:tplc="75C0CF86" w:tentative="1">
      <w:start w:val="1"/>
      <w:numFmt w:val="decimal"/>
      <w:lvlText w:val="%7."/>
      <w:lvlJc w:val="left"/>
      <w:pPr>
        <w:tabs>
          <w:tab w:val="num" w:pos="4500"/>
        </w:tabs>
        <w:ind w:left="4500" w:hanging="360"/>
      </w:pPr>
    </w:lvl>
    <w:lvl w:ilvl="7" w:tplc="FA38F8E8" w:tentative="1">
      <w:start w:val="1"/>
      <w:numFmt w:val="lowerLetter"/>
      <w:lvlText w:val="%8."/>
      <w:lvlJc w:val="left"/>
      <w:pPr>
        <w:tabs>
          <w:tab w:val="num" w:pos="5220"/>
        </w:tabs>
        <w:ind w:left="5220" w:hanging="360"/>
      </w:pPr>
    </w:lvl>
    <w:lvl w:ilvl="8" w:tplc="A608F9E4" w:tentative="1">
      <w:start w:val="1"/>
      <w:numFmt w:val="lowerRoman"/>
      <w:lvlText w:val="%9."/>
      <w:lvlJc w:val="right"/>
      <w:pPr>
        <w:tabs>
          <w:tab w:val="num" w:pos="5940"/>
        </w:tabs>
        <w:ind w:left="5940" w:hanging="180"/>
      </w:pPr>
    </w:lvl>
  </w:abstractNum>
  <w:abstractNum w:abstractNumId="315">
    <w:nsid w:val="658A1E5D"/>
    <w:multiLevelType w:val="hybridMultilevel"/>
    <w:tmpl w:val="2624B8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66AD3F32"/>
    <w:multiLevelType w:val="hybridMultilevel"/>
    <w:tmpl w:val="34F05CC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7">
    <w:nsid w:val="67E752F5"/>
    <w:multiLevelType w:val="hybridMultilevel"/>
    <w:tmpl w:val="7BBEBB9E"/>
    <w:lvl w:ilvl="0" w:tplc="1146E76A">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9">
    <w:nsid w:val="68A305E2"/>
    <w:multiLevelType w:val="hybridMultilevel"/>
    <w:tmpl w:val="EE98FA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0">
    <w:nsid w:val="68A72C71"/>
    <w:multiLevelType w:val="hybridMultilevel"/>
    <w:tmpl w:val="70ECA3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nsid w:val="68A85586"/>
    <w:multiLevelType w:val="hybridMultilevel"/>
    <w:tmpl w:val="9B6A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nsid w:val="69791082"/>
    <w:multiLevelType w:val="hybridMultilevel"/>
    <w:tmpl w:val="C4021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698D0698"/>
    <w:multiLevelType w:val="hybridMultilevel"/>
    <w:tmpl w:val="AF1E95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nsid w:val="69B4606E"/>
    <w:multiLevelType w:val="hybridMultilevel"/>
    <w:tmpl w:val="657A4F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69CC7984"/>
    <w:multiLevelType w:val="hybridMultilevel"/>
    <w:tmpl w:val="BC825A1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6">
    <w:nsid w:val="6AB4535D"/>
    <w:multiLevelType w:val="hybridMultilevel"/>
    <w:tmpl w:val="B8680A3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7">
    <w:nsid w:val="6AE80160"/>
    <w:multiLevelType w:val="hybridMultilevel"/>
    <w:tmpl w:val="6CD23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8">
    <w:nsid w:val="6B2400D0"/>
    <w:multiLevelType w:val="hybridMultilevel"/>
    <w:tmpl w:val="D6CE5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9">
    <w:nsid w:val="6B6D06B0"/>
    <w:multiLevelType w:val="hybridMultilevel"/>
    <w:tmpl w:val="44803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6B817C5C"/>
    <w:multiLevelType w:val="hybridMultilevel"/>
    <w:tmpl w:val="3EA251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1">
    <w:nsid w:val="6C6D5C52"/>
    <w:multiLevelType w:val="hybridMultilevel"/>
    <w:tmpl w:val="411C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6C7064D6"/>
    <w:multiLevelType w:val="hybridMultilevel"/>
    <w:tmpl w:val="2E76DAB6"/>
    <w:lvl w:ilvl="0" w:tplc="2B8E57F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nsid w:val="6CA42C49"/>
    <w:multiLevelType w:val="hybridMultilevel"/>
    <w:tmpl w:val="75500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nsid w:val="6CF53E27"/>
    <w:multiLevelType w:val="hybridMultilevel"/>
    <w:tmpl w:val="285A4A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6DAC25F8"/>
    <w:multiLevelType w:val="hybridMultilevel"/>
    <w:tmpl w:val="C966C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nsid w:val="6DD71BC0"/>
    <w:multiLevelType w:val="hybridMultilevel"/>
    <w:tmpl w:val="40DA50B8"/>
    <w:lvl w:ilvl="0" w:tplc="F75052CE">
      <w:start w:val="1"/>
      <w:numFmt w:val="lowerLetter"/>
      <w:lvlText w:val="%1)"/>
      <w:lvlJc w:val="left"/>
      <w:pPr>
        <w:ind w:left="144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nsid w:val="6E2665C8"/>
    <w:multiLevelType w:val="hybridMultilevel"/>
    <w:tmpl w:val="D03C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6F22429A"/>
    <w:multiLevelType w:val="hybridMultilevel"/>
    <w:tmpl w:val="4DA8B1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0">
    <w:nsid w:val="70000DC8"/>
    <w:multiLevelType w:val="hybridMultilevel"/>
    <w:tmpl w:val="C2525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701E0022"/>
    <w:multiLevelType w:val="hybridMultilevel"/>
    <w:tmpl w:val="8BD2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704977D7"/>
    <w:multiLevelType w:val="hybridMultilevel"/>
    <w:tmpl w:val="E96ED1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nsid w:val="70B239FF"/>
    <w:multiLevelType w:val="hybridMultilevel"/>
    <w:tmpl w:val="560473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4">
    <w:nsid w:val="71021D1C"/>
    <w:multiLevelType w:val="hybridMultilevel"/>
    <w:tmpl w:val="FD566BBA"/>
    <w:lvl w:ilvl="0" w:tplc="6AF46B8A">
      <w:start w:val="603"/>
      <w:numFmt w:val="bullet"/>
      <w:lvlText w:val="-"/>
      <w:lvlJc w:val="left"/>
      <w:pPr>
        <w:ind w:left="1440" w:hanging="360"/>
      </w:pPr>
      <w:rPr>
        <w:rFonts w:ascii="Times New Roman" w:eastAsia="SimSun" w:hAnsi="Times New Roman"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nsid w:val="71226FAB"/>
    <w:multiLevelType w:val="hybridMultilevel"/>
    <w:tmpl w:val="AE660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713E225A"/>
    <w:multiLevelType w:val="hybridMultilevel"/>
    <w:tmpl w:val="AE9E5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71A520C2"/>
    <w:multiLevelType w:val="hybridMultilevel"/>
    <w:tmpl w:val="D422DB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8">
    <w:nsid w:val="71AC1761"/>
    <w:multiLevelType w:val="hybridMultilevel"/>
    <w:tmpl w:val="7BA00B28"/>
    <w:lvl w:ilvl="0" w:tplc="67AA64E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nsid w:val="71DF47C1"/>
    <w:multiLevelType w:val="hybridMultilevel"/>
    <w:tmpl w:val="149871B0"/>
    <w:lvl w:ilvl="0" w:tplc="6AF46B8A">
      <w:start w:val="603"/>
      <w:numFmt w:val="bullet"/>
      <w:lvlText w:val="-"/>
      <w:lvlJc w:val="left"/>
      <w:pPr>
        <w:ind w:left="1800" w:hanging="360"/>
      </w:pPr>
      <w:rPr>
        <w:rFonts w:ascii="Times New Roman" w:eastAsia="SimSun" w:hAnsi="Times New Roman" w:hint="default"/>
        <w:b/>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0">
    <w:nsid w:val="727D7EEB"/>
    <w:multiLevelType w:val="hybridMultilevel"/>
    <w:tmpl w:val="1FB49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nsid w:val="72992035"/>
    <w:multiLevelType w:val="hybridMultilevel"/>
    <w:tmpl w:val="3F0C1BBC"/>
    <w:lvl w:ilvl="0" w:tplc="6AF46B8A">
      <w:start w:val="603"/>
      <w:numFmt w:val="bullet"/>
      <w:lvlText w:val="-"/>
      <w:lvlJc w:val="left"/>
      <w:pPr>
        <w:ind w:left="720" w:hanging="360"/>
      </w:pPr>
      <w:rPr>
        <w:rFonts w:ascii="Times New Roman" w:eastAsia="SimSun" w:hAnsi="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72FA2B61"/>
    <w:multiLevelType w:val="hybridMultilevel"/>
    <w:tmpl w:val="843A1DE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3">
    <w:nsid w:val="7301305B"/>
    <w:multiLevelType w:val="hybridMultilevel"/>
    <w:tmpl w:val="DDC682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54">
    <w:nsid w:val="731C3D8D"/>
    <w:multiLevelType w:val="hybridMultilevel"/>
    <w:tmpl w:val="0AFE2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nsid w:val="731F4F80"/>
    <w:multiLevelType w:val="hybridMultilevel"/>
    <w:tmpl w:val="8A1A949C"/>
    <w:lvl w:ilvl="0" w:tplc="C2303B4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6">
    <w:nsid w:val="73AE294A"/>
    <w:multiLevelType w:val="hybridMultilevel"/>
    <w:tmpl w:val="F5C62D9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73B95B0D"/>
    <w:multiLevelType w:val="hybridMultilevel"/>
    <w:tmpl w:val="84BC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749B3A6A"/>
    <w:multiLevelType w:val="hybridMultilevel"/>
    <w:tmpl w:val="EE2233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74D86636"/>
    <w:multiLevelType w:val="hybridMultilevel"/>
    <w:tmpl w:val="4F667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74E25678"/>
    <w:multiLevelType w:val="hybridMultilevel"/>
    <w:tmpl w:val="1EB213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750F1D69"/>
    <w:multiLevelType w:val="hybridMultilevel"/>
    <w:tmpl w:val="1D28E862"/>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62">
    <w:nsid w:val="75F46D94"/>
    <w:multiLevelType w:val="hybridMultilevel"/>
    <w:tmpl w:val="0C94D0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nsid w:val="76097F56"/>
    <w:multiLevelType w:val="hybridMultilevel"/>
    <w:tmpl w:val="D584BEE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nsid w:val="76322995"/>
    <w:multiLevelType w:val="hybridMultilevel"/>
    <w:tmpl w:val="29C26A6A"/>
    <w:lvl w:ilvl="0" w:tplc="E36084FE">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6">
    <w:nsid w:val="77484C93"/>
    <w:multiLevelType w:val="hybridMultilevel"/>
    <w:tmpl w:val="39643212"/>
    <w:lvl w:ilvl="0" w:tplc="410E0B9A">
      <w:start w:val="1"/>
      <w:numFmt w:val="lowerLetter"/>
      <w:lvlText w:val="%1)"/>
      <w:lvlJc w:val="left"/>
      <w:pPr>
        <w:ind w:left="126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nsid w:val="779B54DA"/>
    <w:multiLevelType w:val="hybridMultilevel"/>
    <w:tmpl w:val="96887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77C46E8C"/>
    <w:multiLevelType w:val="hybridMultilevel"/>
    <w:tmpl w:val="463A79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78022CE7"/>
    <w:multiLevelType w:val="hybridMultilevel"/>
    <w:tmpl w:val="E362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nsid w:val="78564E67"/>
    <w:multiLevelType w:val="hybridMultilevel"/>
    <w:tmpl w:val="F586A6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71">
    <w:nsid w:val="79904CE0"/>
    <w:multiLevelType w:val="hybridMultilevel"/>
    <w:tmpl w:val="02166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9963E4B"/>
    <w:multiLevelType w:val="hybridMultilevel"/>
    <w:tmpl w:val="246A4F7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nsid w:val="79D11DBF"/>
    <w:multiLevelType w:val="hybridMultilevel"/>
    <w:tmpl w:val="54EE87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nsid w:val="79D64F02"/>
    <w:multiLevelType w:val="hybridMultilevel"/>
    <w:tmpl w:val="7E90F46A"/>
    <w:lvl w:ilvl="0" w:tplc="F75052CE">
      <w:start w:val="1"/>
      <w:numFmt w:val="lowerLetter"/>
      <w:lvlText w:val="%1)"/>
      <w:lvlJc w:val="left"/>
      <w:pPr>
        <w:tabs>
          <w:tab w:val="num" w:pos="360"/>
        </w:tabs>
        <w:ind w:left="360" w:hanging="360"/>
      </w:pPr>
      <w:rPr>
        <w:rFonts w:hint="default"/>
        <w:b/>
      </w:rPr>
    </w:lvl>
    <w:lvl w:ilvl="1" w:tplc="04090009">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5">
    <w:nsid w:val="7A5430F1"/>
    <w:multiLevelType w:val="hybridMultilevel"/>
    <w:tmpl w:val="0C26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7ABA7656"/>
    <w:multiLevelType w:val="hybridMultilevel"/>
    <w:tmpl w:val="BFD6F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7">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8">
    <w:nsid w:val="7ACD512F"/>
    <w:multiLevelType w:val="hybridMultilevel"/>
    <w:tmpl w:val="99E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7B891CD6"/>
    <w:multiLevelType w:val="hybridMultilevel"/>
    <w:tmpl w:val="18CE0E1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0">
    <w:nsid w:val="7D947649"/>
    <w:multiLevelType w:val="hybridMultilevel"/>
    <w:tmpl w:val="51EC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nsid w:val="7DB01387"/>
    <w:multiLevelType w:val="hybridMultilevel"/>
    <w:tmpl w:val="EA94BC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nsid w:val="7E05483E"/>
    <w:multiLevelType w:val="hybridMultilevel"/>
    <w:tmpl w:val="1ADE41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3">
    <w:nsid w:val="7E776249"/>
    <w:multiLevelType w:val="hybridMultilevel"/>
    <w:tmpl w:val="009E10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84">
    <w:nsid w:val="7ECC31C7"/>
    <w:multiLevelType w:val="hybridMultilevel"/>
    <w:tmpl w:val="C136B66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5">
    <w:nsid w:val="7ED51577"/>
    <w:multiLevelType w:val="hybridMultilevel"/>
    <w:tmpl w:val="021ADD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nsid w:val="7F3E3408"/>
    <w:multiLevelType w:val="hybridMultilevel"/>
    <w:tmpl w:val="7E90F46A"/>
    <w:lvl w:ilvl="0" w:tplc="F75052CE">
      <w:start w:val="1"/>
      <w:numFmt w:val="lowerLetter"/>
      <w:lvlText w:val="%1)"/>
      <w:lvlJc w:val="left"/>
      <w:pPr>
        <w:tabs>
          <w:tab w:val="num" w:pos="1080"/>
        </w:tabs>
        <w:ind w:left="1080" w:hanging="360"/>
      </w:pPr>
      <w:rPr>
        <w:rFonts w:hint="default"/>
        <w:b/>
      </w:rPr>
    </w:lvl>
    <w:lvl w:ilvl="1" w:tplc="04090009">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14"/>
  </w:num>
  <w:num w:numId="2">
    <w:abstractNumId w:val="5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7"/>
  </w:num>
  <w:num w:numId="14">
    <w:abstractNumId w:val="339"/>
  </w:num>
  <w:num w:numId="15">
    <w:abstractNumId w:val="263"/>
  </w:num>
  <w:num w:numId="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195"/>
  </w:num>
  <w:num w:numId="19">
    <w:abstractNumId w:val="262"/>
  </w:num>
  <w:num w:numId="20">
    <w:abstractNumId w:val="351"/>
  </w:num>
  <w:num w:numId="21">
    <w:abstractNumId w:val="154"/>
  </w:num>
  <w:num w:numId="22">
    <w:abstractNumId w:val="256"/>
  </w:num>
  <w:num w:numId="23">
    <w:abstractNumId w:val="280"/>
  </w:num>
  <w:num w:numId="24">
    <w:abstractNumId w:val="334"/>
  </w:num>
  <w:num w:numId="25">
    <w:abstractNumId w:val="322"/>
  </w:num>
  <w:num w:numId="26">
    <w:abstractNumId w:val="27"/>
  </w:num>
  <w:num w:numId="27">
    <w:abstractNumId w:val="15"/>
  </w:num>
  <w:num w:numId="28">
    <w:abstractNumId w:val="212"/>
  </w:num>
  <w:num w:numId="29">
    <w:abstractNumId w:val="360"/>
  </w:num>
  <w:num w:numId="30">
    <w:abstractNumId w:val="230"/>
  </w:num>
  <w:num w:numId="31">
    <w:abstractNumId w:val="316"/>
  </w:num>
  <w:num w:numId="32">
    <w:abstractNumId w:val="327"/>
  </w:num>
  <w:num w:numId="33">
    <w:abstractNumId w:val="41"/>
  </w:num>
  <w:num w:numId="34">
    <w:abstractNumId w:val="198"/>
  </w:num>
  <w:num w:numId="35">
    <w:abstractNumId w:val="254"/>
  </w:num>
  <w:num w:numId="36">
    <w:abstractNumId w:val="180"/>
  </w:num>
  <w:num w:numId="37">
    <w:abstractNumId w:val="183"/>
  </w:num>
  <w:num w:numId="38">
    <w:abstractNumId w:val="324"/>
  </w:num>
  <w:num w:numId="39">
    <w:abstractNumId w:val="65"/>
  </w:num>
  <w:num w:numId="40">
    <w:abstractNumId w:val="378"/>
  </w:num>
  <w:num w:numId="41">
    <w:abstractNumId w:val="14"/>
  </w:num>
  <w:num w:numId="42">
    <w:abstractNumId w:val="123"/>
  </w:num>
  <w:num w:numId="43">
    <w:abstractNumId w:val="131"/>
  </w:num>
  <w:num w:numId="44">
    <w:abstractNumId w:val="31"/>
  </w:num>
  <w:num w:numId="45">
    <w:abstractNumId w:val="236"/>
  </w:num>
  <w:num w:numId="46">
    <w:abstractNumId w:val="356"/>
  </w:num>
  <w:num w:numId="47">
    <w:abstractNumId w:val="164"/>
  </w:num>
  <w:num w:numId="48">
    <w:abstractNumId w:val="371"/>
  </w:num>
  <w:num w:numId="49">
    <w:abstractNumId w:val="227"/>
  </w:num>
  <w:num w:numId="50">
    <w:abstractNumId w:val="116"/>
  </w:num>
  <w:num w:numId="51">
    <w:abstractNumId w:val="233"/>
  </w:num>
  <w:num w:numId="52">
    <w:abstractNumId w:val="208"/>
  </w:num>
  <w:num w:numId="53">
    <w:abstractNumId w:val="110"/>
  </w:num>
  <w:num w:numId="54">
    <w:abstractNumId w:val="117"/>
  </w:num>
  <w:num w:numId="55">
    <w:abstractNumId w:val="346"/>
  </w:num>
  <w:num w:numId="56">
    <w:abstractNumId w:val="292"/>
  </w:num>
  <w:num w:numId="57">
    <w:abstractNumId w:val="59"/>
  </w:num>
  <w:num w:numId="58">
    <w:abstractNumId w:val="162"/>
  </w:num>
  <w:num w:numId="59">
    <w:abstractNumId w:val="91"/>
  </w:num>
  <w:num w:numId="60">
    <w:abstractNumId w:val="119"/>
  </w:num>
  <w:num w:numId="61">
    <w:abstractNumId w:val="76"/>
  </w:num>
  <w:num w:numId="62">
    <w:abstractNumId w:val="167"/>
  </w:num>
  <w:num w:numId="63">
    <w:abstractNumId w:val="311"/>
  </w:num>
  <w:num w:numId="64">
    <w:abstractNumId w:val="127"/>
  </w:num>
  <w:num w:numId="65">
    <w:abstractNumId w:val="331"/>
  </w:num>
  <w:num w:numId="66">
    <w:abstractNumId w:val="272"/>
  </w:num>
  <w:num w:numId="67">
    <w:abstractNumId w:val="86"/>
  </w:num>
  <w:num w:numId="68">
    <w:abstractNumId w:val="278"/>
  </w:num>
  <w:num w:numId="69">
    <w:abstractNumId w:val="294"/>
  </w:num>
  <w:num w:numId="70">
    <w:abstractNumId w:val="104"/>
  </w:num>
  <w:num w:numId="71">
    <w:abstractNumId w:val="129"/>
  </w:num>
  <w:num w:numId="72">
    <w:abstractNumId w:val="36"/>
  </w:num>
  <w:num w:numId="73">
    <w:abstractNumId w:val="61"/>
  </w:num>
  <w:num w:numId="74">
    <w:abstractNumId w:val="24"/>
  </w:num>
  <w:num w:numId="75">
    <w:abstractNumId w:val="97"/>
  </w:num>
  <w:num w:numId="76">
    <w:abstractNumId w:val="349"/>
  </w:num>
  <w:num w:numId="77">
    <w:abstractNumId w:val="362"/>
  </w:num>
  <w:num w:numId="78">
    <w:abstractNumId w:val="115"/>
  </w:num>
  <w:num w:numId="79">
    <w:abstractNumId w:val="344"/>
  </w:num>
  <w:num w:numId="80">
    <w:abstractNumId w:val="299"/>
  </w:num>
  <w:num w:numId="81">
    <w:abstractNumId w:val="75"/>
  </w:num>
  <w:num w:numId="82">
    <w:abstractNumId w:val="22"/>
  </w:num>
  <w:num w:numId="83">
    <w:abstractNumId w:val="182"/>
  </w:num>
  <w:num w:numId="84">
    <w:abstractNumId w:val="295"/>
  </w:num>
  <w:num w:numId="85">
    <w:abstractNumId w:val="376"/>
  </w:num>
  <w:num w:numId="86">
    <w:abstractNumId w:val="333"/>
  </w:num>
  <w:num w:numId="87">
    <w:abstractNumId w:val="106"/>
  </w:num>
  <w:num w:numId="88">
    <w:abstractNumId w:val="357"/>
  </w:num>
  <w:num w:numId="89">
    <w:abstractNumId w:val="11"/>
  </w:num>
  <w:num w:numId="90">
    <w:abstractNumId w:val="347"/>
  </w:num>
  <w:num w:numId="91">
    <w:abstractNumId w:val="196"/>
  </w:num>
  <w:num w:numId="92">
    <w:abstractNumId w:val="160"/>
  </w:num>
  <w:num w:numId="93">
    <w:abstractNumId w:val="149"/>
  </w:num>
  <w:num w:numId="94">
    <w:abstractNumId w:val="109"/>
  </w:num>
  <w:num w:numId="95">
    <w:abstractNumId w:val="48"/>
  </w:num>
  <w:num w:numId="96">
    <w:abstractNumId w:val="79"/>
  </w:num>
  <w:num w:numId="97">
    <w:abstractNumId w:val="352"/>
  </w:num>
  <w:num w:numId="98">
    <w:abstractNumId w:val="300"/>
  </w:num>
  <w:num w:numId="99">
    <w:abstractNumId w:val="159"/>
  </w:num>
  <w:num w:numId="100">
    <w:abstractNumId w:val="210"/>
  </w:num>
  <w:num w:numId="101">
    <w:abstractNumId w:val="113"/>
  </w:num>
  <w:num w:numId="102">
    <w:abstractNumId w:val="47"/>
  </w:num>
  <w:num w:numId="103">
    <w:abstractNumId w:val="328"/>
  </w:num>
  <w:num w:numId="104">
    <w:abstractNumId w:val="52"/>
  </w:num>
  <w:num w:numId="105">
    <w:abstractNumId w:val="384"/>
  </w:num>
  <w:num w:numId="106">
    <w:abstractNumId w:val="259"/>
  </w:num>
  <w:num w:numId="107">
    <w:abstractNumId w:val="60"/>
  </w:num>
  <w:num w:numId="108">
    <w:abstractNumId w:val="194"/>
  </w:num>
  <w:num w:numId="109">
    <w:abstractNumId w:val="325"/>
  </w:num>
  <w:num w:numId="110">
    <w:abstractNumId w:val="99"/>
  </w:num>
  <w:num w:numId="111">
    <w:abstractNumId w:val="243"/>
  </w:num>
  <w:num w:numId="112">
    <w:abstractNumId w:val="285"/>
  </w:num>
  <w:num w:numId="113">
    <w:abstractNumId w:val="255"/>
  </w:num>
  <w:num w:numId="114">
    <w:abstractNumId w:val="247"/>
  </w:num>
  <w:num w:numId="115">
    <w:abstractNumId w:val="18"/>
  </w:num>
  <w:num w:numId="116">
    <w:abstractNumId w:val="218"/>
  </w:num>
  <w:num w:numId="117">
    <w:abstractNumId w:val="379"/>
  </w:num>
  <w:num w:numId="118">
    <w:abstractNumId w:val="67"/>
  </w:num>
  <w:num w:numId="119">
    <w:abstractNumId w:val="112"/>
  </w:num>
  <w:num w:numId="120">
    <w:abstractNumId w:val="215"/>
  </w:num>
  <w:num w:numId="121">
    <w:abstractNumId w:val="190"/>
  </w:num>
  <w:num w:numId="122">
    <w:abstractNumId w:val="37"/>
  </w:num>
  <w:num w:numId="123">
    <w:abstractNumId w:val="58"/>
  </w:num>
  <w:num w:numId="124">
    <w:abstractNumId w:val="221"/>
  </w:num>
  <w:num w:numId="125">
    <w:abstractNumId w:val="108"/>
  </w:num>
  <w:num w:numId="126">
    <w:abstractNumId w:val="17"/>
  </w:num>
  <w:num w:numId="127">
    <w:abstractNumId w:val="288"/>
  </w:num>
  <w:num w:numId="128">
    <w:abstractNumId w:val="337"/>
  </w:num>
  <w:num w:numId="129">
    <w:abstractNumId w:val="277"/>
  </w:num>
  <w:num w:numId="130">
    <w:abstractNumId w:val="63"/>
  </w:num>
  <w:num w:numId="131">
    <w:abstractNumId w:val="355"/>
  </w:num>
  <w:num w:numId="132">
    <w:abstractNumId w:val="258"/>
  </w:num>
  <w:num w:numId="133">
    <w:abstractNumId w:val="192"/>
  </w:num>
  <w:num w:numId="134">
    <w:abstractNumId w:val="139"/>
  </w:num>
  <w:num w:numId="135">
    <w:abstractNumId w:val="303"/>
  </w:num>
  <w:num w:numId="136">
    <w:abstractNumId w:val="315"/>
  </w:num>
  <w:num w:numId="137">
    <w:abstractNumId w:val="241"/>
  </w:num>
  <w:num w:numId="138">
    <w:abstractNumId w:val="23"/>
  </w:num>
  <w:num w:numId="139">
    <w:abstractNumId w:val="237"/>
  </w:num>
  <w:num w:numId="140">
    <w:abstractNumId w:val="172"/>
  </w:num>
  <w:num w:numId="141">
    <w:abstractNumId w:val="175"/>
  </w:num>
  <w:num w:numId="142">
    <w:abstractNumId w:val="74"/>
  </w:num>
  <w:num w:numId="143">
    <w:abstractNumId w:val="308"/>
  </w:num>
  <w:num w:numId="144">
    <w:abstractNumId w:val="244"/>
  </w:num>
  <w:num w:numId="145">
    <w:abstractNumId w:val="88"/>
  </w:num>
  <w:num w:numId="146">
    <w:abstractNumId w:val="85"/>
  </w:num>
  <w:num w:numId="147">
    <w:abstractNumId w:val="78"/>
  </w:num>
  <w:num w:numId="148">
    <w:abstractNumId w:val="375"/>
  </w:num>
  <w:num w:numId="149">
    <w:abstractNumId w:val="137"/>
  </w:num>
  <w:num w:numId="150">
    <w:abstractNumId w:val="341"/>
  </w:num>
  <w:num w:numId="151">
    <w:abstractNumId w:val="302"/>
  </w:num>
  <w:num w:numId="152">
    <w:abstractNumId w:val="191"/>
  </w:num>
  <w:num w:numId="153">
    <w:abstractNumId w:val="44"/>
  </w:num>
  <w:num w:numId="154">
    <w:abstractNumId w:val="359"/>
  </w:num>
  <w:num w:numId="155">
    <w:abstractNumId w:val="249"/>
  </w:num>
  <w:num w:numId="156">
    <w:abstractNumId w:val="234"/>
  </w:num>
  <w:num w:numId="157">
    <w:abstractNumId w:val="203"/>
  </w:num>
  <w:num w:numId="158">
    <w:abstractNumId w:val="225"/>
  </w:num>
  <w:num w:numId="159">
    <w:abstractNumId w:val="148"/>
  </w:num>
  <w:num w:numId="160">
    <w:abstractNumId w:val="368"/>
  </w:num>
  <w:num w:numId="161">
    <w:abstractNumId w:val="122"/>
  </w:num>
  <w:num w:numId="162">
    <w:abstractNumId w:val="367"/>
  </w:num>
  <w:num w:numId="163">
    <w:abstractNumId w:val="83"/>
  </w:num>
  <w:num w:numId="164">
    <w:abstractNumId w:val="126"/>
  </w:num>
  <w:num w:numId="165">
    <w:abstractNumId w:val="358"/>
  </w:num>
  <w:num w:numId="166">
    <w:abstractNumId w:val="350"/>
  </w:num>
  <w:num w:numId="167">
    <w:abstractNumId w:val="265"/>
  </w:num>
  <w:num w:numId="168">
    <w:abstractNumId w:val="141"/>
  </w:num>
  <w:num w:numId="169">
    <w:abstractNumId w:val="125"/>
  </w:num>
  <w:num w:numId="170">
    <w:abstractNumId w:val="274"/>
  </w:num>
  <w:num w:numId="171">
    <w:abstractNumId w:val="271"/>
  </w:num>
  <w:num w:numId="172">
    <w:abstractNumId w:val="130"/>
  </w:num>
  <w:num w:numId="173">
    <w:abstractNumId w:val="373"/>
  </w:num>
  <w:num w:numId="174">
    <w:abstractNumId w:val="267"/>
  </w:num>
  <w:num w:numId="175">
    <w:abstractNumId w:val="239"/>
  </w:num>
  <w:num w:numId="176">
    <w:abstractNumId w:val="338"/>
  </w:num>
  <w:num w:numId="177">
    <w:abstractNumId w:val="213"/>
  </w:num>
  <w:num w:numId="178">
    <w:abstractNumId w:val="118"/>
  </w:num>
  <w:num w:numId="179">
    <w:abstractNumId w:val="80"/>
  </w:num>
  <w:num w:numId="180">
    <w:abstractNumId w:val="257"/>
  </w:num>
  <w:num w:numId="181">
    <w:abstractNumId w:val="156"/>
  </w:num>
  <w:num w:numId="182">
    <w:abstractNumId w:val="177"/>
  </w:num>
  <w:num w:numId="183">
    <w:abstractNumId w:val="92"/>
  </w:num>
  <w:num w:numId="184">
    <w:abstractNumId w:val="301"/>
  </w:num>
  <w:num w:numId="185">
    <w:abstractNumId w:val="163"/>
  </w:num>
  <w:num w:numId="186">
    <w:abstractNumId w:val="321"/>
  </w:num>
  <w:num w:numId="187">
    <w:abstractNumId w:val="69"/>
  </w:num>
  <w:num w:numId="188">
    <w:abstractNumId w:val="114"/>
  </w:num>
  <w:num w:numId="189">
    <w:abstractNumId w:val="178"/>
  </w:num>
  <w:num w:numId="190">
    <w:abstractNumId w:val="168"/>
  </w:num>
  <w:num w:numId="191">
    <w:abstractNumId w:val="193"/>
  </w:num>
  <w:num w:numId="192">
    <w:abstractNumId w:val="345"/>
  </w:num>
  <w:num w:numId="193">
    <w:abstractNumId w:val="185"/>
  </w:num>
  <w:num w:numId="194">
    <w:abstractNumId w:val="246"/>
  </w:num>
  <w:num w:numId="195">
    <w:abstractNumId w:val="64"/>
  </w:num>
  <w:num w:numId="196">
    <w:abstractNumId w:val="90"/>
  </w:num>
  <w:num w:numId="197">
    <w:abstractNumId w:val="369"/>
  </w:num>
  <w:num w:numId="198">
    <w:abstractNumId w:val="297"/>
  </w:num>
  <w:num w:numId="199">
    <w:abstractNumId w:val="298"/>
  </w:num>
  <w:num w:numId="200">
    <w:abstractNumId w:val="370"/>
  </w:num>
  <w:num w:numId="201">
    <w:abstractNumId w:val="226"/>
  </w:num>
  <w:num w:numId="202">
    <w:abstractNumId w:val="264"/>
  </w:num>
  <w:num w:numId="203">
    <w:abstractNumId w:val="353"/>
  </w:num>
  <w:num w:numId="204">
    <w:abstractNumId w:val="25"/>
  </w:num>
  <w:num w:numId="205">
    <w:abstractNumId w:val="286"/>
  </w:num>
  <w:num w:numId="206">
    <w:abstractNumId w:val="326"/>
  </w:num>
  <w:num w:numId="207">
    <w:abstractNumId w:val="187"/>
  </w:num>
  <w:num w:numId="208">
    <w:abstractNumId w:val="361"/>
  </w:num>
  <w:num w:numId="209">
    <w:abstractNumId w:val="176"/>
  </w:num>
  <w:num w:numId="210">
    <w:abstractNumId w:val="49"/>
  </w:num>
  <w:num w:numId="211">
    <w:abstractNumId w:val="290"/>
  </w:num>
  <w:num w:numId="212">
    <w:abstractNumId w:val="202"/>
  </w:num>
  <w:num w:numId="213">
    <w:abstractNumId w:val="186"/>
  </w:num>
  <w:num w:numId="214">
    <w:abstractNumId w:val="136"/>
  </w:num>
  <w:num w:numId="215">
    <w:abstractNumId w:val="383"/>
  </w:num>
  <w:num w:numId="216">
    <w:abstractNumId w:val="319"/>
  </w:num>
  <w:num w:numId="217">
    <w:abstractNumId w:val="223"/>
  </w:num>
  <w:num w:numId="218">
    <w:abstractNumId w:val="270"/>
  </w:num>
  <w:num w:numId="219">
    <w:abstractNumId w:val="120"/>
  </w:num>
  <w:num w:numId="220">
    <w:abstractNumId w:val="12"/>
  </w:num>
  <w:num w:numId="221">
    <w:abstractNumId w:val="320"/>
  </w:num>
  <w:num w:numId="222">
    <w:abstractNumId w:val="382"/>
  </w:num>
  <w:num w:numId="223">
    <w:abstractNumId w:val="284"/>
  </w:num>
  <w:num w:numId="224">
    <w:abstractNumId w:val="252"/>
  </w:num>
  <w:num w:numId="225">
    <w:abstractNumId w:val="342"/>
  </w:num>
  <w:num w:numId="226">
    <w:abstractNumId w:val="309"/>
  </w:num>
  <w:num w:numId="227">
    <w:abstractNumId w:val="201"/>
  </w:num>
  <w:num w:numId="228">
    <w:abstractNumId w:val="323"/>
  </w:num>
  <w:num w:numId="229">
    <w:abstractNumId w:val="248"/>
  </w:num>
  <w:num w:numId="230">
    <w:abstractNumId w:val="144"/>
  </w:num>
  <w:num w:numId="231">
    <w:abstractNumId w:val="169"/>
  </w:num>
  <w:num w:numId="232">
    <w:abstractNumId w:val="174"/>
  </w:num>
  <w:num w:numId="233">
    <w:abstractNumId w:val="95"/>
  </w:num>
  <w:num w:numId="234">
    <w:abstractNumId w:val="73"/>
  </w:num>
  <w:num w:numId="235">
    <w:abstractNumId w:val="385"/>
  </w:num>
  <w:num w:numId="236">
    <w:abstractNumId w:val="81"/>
  </w:num>
  <w:num w:numId="237">
    <w:abstractNumId w:val="50"/>
  </w:num>
  <w:num w:numId="238">
    <w:abstractNumId w:val="380"/>
  </w:num>
  <w:num w:numId="239">
    <w:abstractNumId w:val="242"/>
  </w:num>
  <w:num w:numId="240">
    <w:abstractNumId w:val="238"/>
  </w:num>
  <w:num w:numId="241">
    <w:abstractNumId w:val="307"/>
  </w:num>
  <w:num w:numId="242">
    <w:abstractNumId w:val="32"/>
  </w:num>
  <w:num w:numId="243">
    <w:abstractNumId w:val="62"/>
  </w:num>
  <w:num w:numId="244">
    <w:abstractNumId w:val="30"/>
  </w:num>
  <w:num w:numId="245">
    <w:abstractNumId w:val="166"/>
  </w:num>
  <w:num w:numId="246">
    <w:abstractNumId w:val="43"/>
  </w:num>
  <w:num w:numId="247">
    <w:abstractNumId w:val="153"/>
  </w:num>
  <w:num w:numId="248">
    <w:abstractNumId w:val="251"/>
  </w:num>
  <w:num w:numId="249">
    <w:abstractNumId w:val="207"/>
  </w:num>
  <w:num w:numId="250">
    <w:abstractNumId w:val="224"/>
  </w:num>
  <w:num w:numId="251">
    <w:abstractNumId w:val="142"/>
  </w:num>
  <w:num w:numId="252">
    <w:abstractNumId w:val="204"/>
  </w:num>
  <w:num w:numId="253">
    <w:abstractNumId w:val="266"/>
  </w:num>
  <w:num w:numId="254">
    <w:abstractNumId w:val="381"/>
  </w:num>
  <w:num w:numId="255">
    <w:abstractNumId w:val="343"/>
  </w:num>
  <w:num w:numId="256">
    <w:abstractNumId w:val="189"/>
  </w:num>
  <w:num w:numId="257">
    <w:abstractNumId w:val="124"/>
  </w:num>
  <w:num w:numId="258">
    <w:abstractNumId w:val="46"/>
  </w:num>
  <w:num w:numId="259">
    <w:abstractNumId w:val="145"/>
  </w:num>
  <w:num w:numId="260">
    <w:abstractNumId w:val="29"/>
  </w:num>
  <w:num w:numId="261">
    <w:abstractNumId w:val="305"/>
  </w:num>
  <w:num w:numId="262">
    <w:abstractNumId w:val="250"/>
  </w:num>
  <w:num w:numId="263">
    <w:abstractNumId w:val="133"/>
  </w:num>
  <w:num w:numId="264">
    <w:abstractNumId w:val="181"/>
  </w:num>
  <w:num w:numId="265">
    <w:abstractNumId w:val="19"/>
  </w:num>
  <w:num w:numId="266">
    <w:abstractNumId w:val="283"/>
  </w:num>
  <w:num w:numId="267">
    <w:abstractNumId w:val="138"/>
  </w:num>
  <w:num w:numId="268">
    <w:abstractNumId w:val="20"/>
  </w:num>
  <w:num w:numId="269">
    <w:abstractNumId w:val="340"/>
  </w:num>
  <w:num w:numId="270">
    <w:abstractNumId w:val="273"/>
  </w:num>
  <w:num w:numId="271">
    <w:abstractNumId w:val="107"/>
  </w:num>
  <w:num w:numId="272">
    <w:abstractNumId w:val="279"/>
  </w:num>
  <w:num w:numId="273">
    <w:abstractNumId w:val="313"/>
  </w:num>
  <w:num w:numId="274">
    <w:abstractNumId w:val="232"/>
  </w:num>
  <w:num w:numId="275">
    <w:abstractNumId w:val="348"/>
  </w:num>
  <w:num w:numId="276">
    <w:abstractNumId w:val="209"/>
  </w:num>
  <w:num w:numId="277">
    <w:abstractNumId w:val="170"/>
  </w:num>
  <w:num w:numId="278">
    <w:abstractNumId w:val="155"/>
  </w:num>
  <w:num w:numId="279">
    <w:abstractNumId w:val="10"/>
  </w:num>
  <w:num w:numId="280">
    <w:abstractNumId w:val="40"/>
  </w:num>
  <w:num w:numId="281">
    <w:abstractNumId w:val="245"/>
  </w:num>
  <w:num w:numId="282">
    <w:abstractNumId w:val="157"/>
  </w:num>
  <w:num w:numId="283">
    <w:abstractNumId w:val="128"/>
  </w:num>
  <w:num w:numId="284">
    <w:abstractNumId w:val="329"/>
  </w:num>
  <w:num w:numId="285">
    <w:abstractNumId w:val="102"/>
  </w:num>
  <w:num w:numId="286">
    <w:abstractNumId w:val="281"/>
  </w:num>
  <w:num w:numId="287">
    <w:abstractNumId w:val="253"/>
  </w:num>
  <w:num w:numId="288">
    <w:abstractNumId w:val="71"/>
  </w:num>
  <w:num w:numId="289">
    <w:abstractNumId w:val="205"/>
  </w:num>
  <w:num w:numId="290">
    <w:abstractNumId w:val="66"/>
  </w:num>
  <w:num w:numId="291">
    <w:abstractNumId w:val="151"/>
  </w:num>
  <w:num w:numId="292">
    <w:abstractNumId w:val="235"/>
  </w:num>
  <w:num w:numId="293">
    <w:abstractNumId w:val="287"/>
  </w:num>
  <w:num w:numId="294">
    <w:abstractNumId w:val="33"/>
  </w:num>
  <w:num w:numId="295">
    <w:abstractNumId w:val="291"/>
  </w:num>
  <w:num w:numId="296">
    <w:abstractNumId w:val="134"/>
  </w:num>
  <w:num w:numId="297">
    <w:abstractNumId w:val="87"/>
  </w:num>
  <w:num w:numId="298">
    <w:abstractNumId w:val="26"/>
  </w:num>
  <w:num w:numId="299">
    <w:abstractNumId w:val="304"/>
  </w:num>
  <w:num w:numId="300">
    <w:abstractNumId w:val="216"/>
  </w:num>
  <w:num w:numId="301">
    <w:abstractNumId w:val="103"/>
  </w:num>
  <w:num w:numId="302">
    <w:abstractNumId w:val="240"/>
  </w:num>
  <w:num w:numId="303">
    <w:abstractNumId w:val="228"/>
  </w:num>
  <w:num w:numId="304">
    <w:abstractNumId w:val="306"/>
  </w:num>
  <w:num w:numId="305">
    <w:abstractNumId w:val="16"/>
  </w:num>
  <w:num w:numId="306">
    <w:abstractNumId w:val="68"/>
  </w:num>
  <w:num w:numId="307">
    <w:abstractNumId w:val="135"/>
  </w:num>
  <w:num w:numId="308">
    <w:abstractNumId w:val="96"/>
  </w:num>
  <w:num w:numId="309">
    <w:abstractNumId w:val="146"/>
  </w:num>
  <w:num w:numId="310">
    <w:abstractNumId w:val="268"/>
  </w:num>
  <w:num w:numId="311">
    <w:abstractNumId w:val="364"/>
  </w:num>
  <w:num w:numId="312">
    <w:abstractNumId w:val="261"/>
  </w:num>
  <w:num w:numId="313">
    <w:abstractNumId w:val="84"/>
  </w:num>
  <w:num w:numId="314">
    <w:abstractNumId w:val="93"/>
  </w:num>
  <w:num w:numId="315">
    <w:abstractNumId w:val="229"/>
  </w:num>
  <w:num w:numId="316">
    <w:abstractNumId w:val="366"/>
  </w:num>
  <w:num w:numId="317">
    <w:abstractNumId w:val="336"/>
  </w:num>
  <w:num w:numId="318">
    <w:abstractNumId w:val="34"/>
  </w:num>
  <w:num w:numId="319">
    <w:abstractNumId w:val="386"/>
  </w:num>
  <w:num w:numId="320">
    <w:abstractNumId w:val="275"/>
  </w:num>
  <w:num w:numId="321">
    <w:abstractNumId w:val="374"/>
  </w:num>
  <w:num w:numId="322">
    <w:abstractNumId w:val="289"/>
  </w:num>
  <w:num w:numId="323">
    <w:abstractNumId w:val="53"/>
  </w:num>
  <w:num w:numId="324">
    <w:abstractNumId w:val="39"/>
  </w:num>
  <w:num w:numId="325">
    <w:abstractNumId w:val="45"/>
  </w:num>
  <w:num w:numId="326">
    <w:abstractNumId w:val="330"/>
  </w:num>
  <w:num w:numId="327">
    <w:abstractNumId w:val="77"/>
  </w:num>
  <w:num w:numId="328">
    <w:abstractNumId w:val="231"/>
  </w:num>
  <w:num w:numId="329">
    <w:abstractNumId w:val="188"/>
  </w:num>
  <w:num w:numId="330">
    <w:abstractNumId w:val="105"/>
  </w:num>
  <w:num w:numId="331">
    <w:abstractNumId w:val="94"/>
  </w:num>
  <w:num w:numId="332">
    <w:abstractNumId w:val="179"/>
  </w:num>
  <w:num w:numId="333">
    <w:abstractNumId w:val="100"/>
  </w:num>
  <w:num w:numId="334">
    <w:abstractNumId w:val="199"/>
  </w:num>
  <w:num w:numId="335">
    <w:abstractNumId w:val="354"/>
  </w:num>
  <w:num w:numId="336">
    <w:abstractNumId w:val="282"/>
  </w:num>
  <w:num w:numId="337">
    <w:abstractNumId w:val="152"/>
  </w:num>
  <w:num w:numId="338">
    <w:abstractNumId w:val="206"/>
  </w:num>
  <w:num w:numId="339">
    <w:abstractNumId w:val="372"/>
  </w:num>
  <w:num w:numId="340">
    <w:abstractNumId w:val="38"/>
  </w:num>
  <w:num w:numId="341">
    <w:abstractNumId w:val="158"/>
  </w:num>
  <w:num w:numId="342">
    <w:abstractNumId w:val="28"/>
  </w:num>
  <w:num w:numId="343">
    <w:abstractNumId w:val="171"/>
  </w:num>
  <w:num w:numId="344">
    <w:abstractNumId w:val="220"/>
  </w:num>
  <w:num w:numId="345">
    <w:abstractNumId w:val="132"/>
  </w:num>
  <w:num w:numId="346">
    <w:abstractNumId w:val="56"/>
  </w:num>
  <w:num w:numId="347">
    <w:abstractNumId w:val="335"/>
  </w:num>
  <w:num w:numId="348">
    <w:abstractNumId w:val="310"/>
  </w:num>
  <w:num w:numId="349">
    <w:abstractNumId w:val="317"/>
  </w:num>
  <w:num w:numId="350">
    <w:abstractNumId w:val="219"/>
  </w:num>
  <w:num w:numId="351">
    <w:abstractNumId w:val="363"/>
  </w:num>
  <w:num w:numId="352">
    <w:abstractNumId w:val="222"/>
  </w:num>
  <w:num w:numId="353">
    <w:abstractNumId w:val="82"/>
  </w:num>
  <w:num w:numId="354">
    <w:abstractNumId w:val="173"/>
  </w:num>
  <w:num w:numId="355">
    <w:abstractNumId w:val="214"/>
  </w:num>
  <w:num w:numId="356">
    <w:abstractNumId w:val="276"/>
  </w:num>
  <w:num w:numId="357">
    <w:abstractNumId w:val="332"/>
  </w:num>
  <w:num w:numId="358">
    <w:abstractNumId w:val="54"/>
  </w:num>
  <w:num w:numId="359">
    <w:abstractNumId w:val="42"/>
  </w:num>
  <w:num w:numId="360">
    <w:abstractNumId w:val="143"/>
  </w:num>
  <w:num w:numId="361">
    <w:abstractNumId w:val="140"/>
  </w:num>
  <w:num w:numId="362">
    <w:abstractNumId w:val="55"/>
  </w:num>
  <w:num w:numId="363">
    <w:abstractNumId w:val="260"/>
  </w:num>
  <w:num w:numId="364">
    <w:abstractNumId w:val="312"/>
  </w:num>
  <w:num w:numId="365">
    <w:abstractNumId w:val="70"/>
  </w:num>
  <w:num w:numId="366">
    <w:abstractNumId w:val="101"/>
  </w:num>
  <w:num w:numId="367">
    <w:abstractNumId w:val="121"/>
  </w:num>
  <w:num w:numId="368">
    <w:abstractNumId w:val="13"/>
  </w:num>
  <w:num w:numId="369">
    <w:abstractNumId w:val="197"/>
  </w:num>
  <w:num w:numId="370">
    <w:abstractNumId w:val="211"/>
  </w:num>
  <w:num w:numId="371">
    <w:abstractNumId w:val="165"/>
  </w:num>
  <w:num w:numId="372">
    <w:abstractNumId w:val="200"/>
  </w:num>
  <w:num w:numId="373">
    <w:abstractNumId w:val="296"/>
  </w:num>
  <w:num w:numId="374">
    <w:abstractNumId w:val="57"/>
  </w:num>
  <w:num w:numId="375">
    <w:abstractNumId w:val="111"/>
  </w:num>
  <w:num w:numId="376">
    <w:abstractNumId w:val="161"/>
  </w:num>
  <w:num w:numId="377">
    <w:abstractNumId w:val="184"/>
  </w:num>
  <w:num w:numId="378">
    <w:abstractNumId w:val="269"/>
  </w:num>
  <w:num w:numId="379">
    <w:abstractNumId w:val="217"/>
  </w:num>
  <w:num w:numId="380">
    <w:abstractNumId w:val="98"/>
  </w:num>
  <w:num w:numId="381">
    <w:abstractNumId w:val="318"/>
  </w:num>
  <w:num w:numId="382">
    <w:abstractNumId w:val="365"/>
  </w:num>
  <w:num w:numId="383">
    <w:abstractNumId w:val="21"/>
  </w:num>
  <w:num w:numId="384">
    <w:abstractNumId w:val="150"/>
  </w:num>
  <w:num w:numId="385">
    <w:abstractNumId w:val="35"/>
  </w:num>
  <w:num w:numId="386">
    <w:abstractNumId w:val="293"/>
  </w:num>
  <w:num w:numId="387">
    <w:abstractNumId w:val="147"/>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7D"/>
    <w:rsid w:val="00000314"/>
    <w:rsid w:val="00004A61"/>
    <w:rsid w:val="000055B8"/>
    <w:rsid w:val="0000573E"/>
    <w:rsid w:val="00006B92"/>
    <w:rsid w:val="00013648"/>
    <w:rsid w:val="00013DF9"/>
    <w:rsid w:val="00016581"/>
    <w:rsid w:val="00016FF8"/>
    <w:rsid w:val="0002097D"/>
    <w:rsid w:val="00021AB5"/>
    <w:rsid w:val="00023FE7"/>
    <w:rsid w:val="00025CCC"/>
    <w:rsid w:val="00037287"/>
    <w:rsid w:val="00040D88"/>
    <w:rsid w:val="000411D0"/>
    <w:rsid w:val="00041C84"/>
    <w:rsid w:val="000429F4"/>
    <w:rsid w:val="00043325"/>
    <w:rsid w:val="00043608"/>
    <w:rsid w:val="000457CE"/>
    <w:rsid w:val="00047DC8"/>
    <w:rsid w:val="000507EB"/>
    <w:rsid w:val="00051A20"/>
    <w:rsid w:val="00053B9D"/>
    <w:rsid w:val="00054A72"/>
    <w:rsid w:val="000551D3"/>
    <w:rsid w:val="00055C5D"/>
    <w:rsid w:val="00056469"/>
    <w:rsid w:val="00061471"/>
    <w:rsid w:val="00065619"/>
    <w:rsid w:val="0006720D"/>
    <w:rsid w:val="0007104F"/>
    <w:rsid w:val="000737C8"/>
    <w:rsid w:val="00073939"/>
    <w:rsid w:val="00074591"/>
    <w:rsid w:val="00075160"/>
    <w:rsid w:val="00076949"/>
    <w:rsid w:val="000808CF"/>
    <w:rsid w:val="0008144A"/>
    <w:rsid w:val="00084F3F"/>
    <w:rsid w:val="0009253A"/>
    <w:rsid w:val="00093294"/>
    <w:rsid w:val="000A0431"/>
    <w:rsid w:val="000A3D24"/>
    <w:rsid w:val="000A4C36"/>
    <w:rsid w:val="000A68AE"/>
    <w:rsid w:val="000A7ADF"/>
    <w:rsid w:val="000B1560"/>
    <w:rsid w:val="000B1C8E"/>
    <w:rsid w:val="000B2349"/>
    <w:rsid w:val="000B6F5B"/>
    <w:rsid w:val="000B7A36"/>
    <w:rsid w:val="000C2D42"/>
    <w:rsid w:val="000C395D"/>
    <w:rsid w:val="000C4C2F"/>
    <w:rsid w:val="000C4D55"/>
    <w:rsid w:val="000C72B4"/>
    <w:rsid w:val="000C74D8"/>
    <w:rsid w:val="000D0CE1"/>
    <w:rsid w:val="000D3708"/>
    <w:rsid w:val="000D3DDC"/>
    <w:rsid w:val="000D4269"/>
    <w:rsid w:val="000D507F"/>
    <w:rsid w:val="000E2318"/>
    <w:rsid w:val="000E4205"/>
    <w:rsid w:val="000E4B9D"/>
    <w:rsid w:val="000E5E9F"/>
    <w:rsid w:val="000E7D84"/>
    <w:rsid w:val="000F2203"/>
    <w:rsid w:val="000F39C6"/>
    <w:rsid w:val="000F4290"/>
    <w:rsid w:val="000F5341"/>
    <w:rsid w:val="000F576B"/>
    <w:rsid w:val="000F6706"/>
    <w:rsid w:val="00101B28"/>
    <w:rsid w:val="001021DE"/>
    <w:rsid w:val="001034E9"/>
    <w:rsid w:val="001073BE"/>
    <w:rsid w:val="00110323"/>
    <w:rsid w:val="00110462"/>
    <w:rsid w:val="00111023"/>
    <w:rsid w:val="00113356"/>
    <w:rsid w:val="00113674"/>
    <w:rsid w:val="001139B0"/>
    <w:rsid w:val="00116E35"/>
    <w:rsid w:val="00117B58"/>
    <w:rsid w:val="00121430"/>
    <w:rsid w:val="00123361"/>
    <w:rsid w:val="0012498E"/>
    <w:rsid w:val="00126864"/>
    <w:rsid w:val="00130939"/>
    <w:rsid w:val="00133376"/>
    <w:rsid w:val="0013340B"/>
    <w:rsid w:val="00137B1D"/>
    <w:rsid w:val="00141B6B"/>
    <w:rsid w:val="0014288A"/>
    <w:rsid w:val="00145BF5"/>
    <w:rsid w:val="00145F8B"/>
    <w:rsid w:val="00147F8A"/>
    <w:rsid w:val="001517DA"/>
    <w:rsid w:val="00152690"/>
    <w:rsid w:val="00153FC2"/>
    <w:rsid w:val="0015421A"/>
    <w:rsid w:val="00161F9E"/>
    <w:rsid w:val="0016643B"/>
    <w:rsid w:val="0016774D"/>
    <w:rsid w:val="00171F7D"/>
    <w:rsid w:val="00180875"/>
    <w:rsid w:val="00183C3F"/>
    <w:rsid w:val="0018461E"/>
    <w:rsid w:val="00184D09"/>
    <w:rsid w:val="001855F6"/>
    <w:rsid w:val="00186F73"/>
    <w:rsid w:val="001870B7"/>
    <w:rsid w:val="00192C69"/>
    <w:rsid w:val="0019571D"/>
    <w:rsid w:val="00196DA5"/>
    <w:rsid w:val="001A004A"/>
    <w:rsid w:val="001A0A7F"/>
    <w:rsid w:val="001A28E0"/>
    <w:rsid w:val="001B2C72"/>
    <w:rsid w:val="001B2FEB"/>
    <w:rsid w:val="001B3BAF"/>
    <w:rsid w:val="001B43E5"/>
    <w:rsid w:val="001B5005"/>
    <w:rsid w:val="001B7359"/>
    <w:rsid w:val="001C0B47"/>
    <w:rsid w:val="001C22F7"/>
    <w:rsid w:val="001C2677"/>
    <w:rsid w:val="001C2960"/>
    <w:rsid w:val="001C4C20"/>
    <w:rsid w:val="001C6151"/>
    <w:rsid w:val="001C77BD"/>
    <w:rsid w:val="001D13BA"/>
    <w:rsid w:val="001D15CD"/>
    <w:rsid w:val="001D672E"/>
    <w:rsid w:val="001D76C5"/>
    <w:rsid w:val="001D77FD"/>
    <w:rsid w:val="001E2DF5"/>
    <w:rsid w:val="001E3A7D"/>
    <w:rsid w:val="001E77F5"/>
    <w:rsid w:val="001E7A37"/>
    <w:rsid w:val="001F63DF"/>
    <w:rsid w:val="001F7D14"/>
    <w:rsid w:val="0020454E"/>
    <w:rsid w:val="002055BC"/>
    <w:rsid w:val="00205BEC"/>
    <w:rsid w:val="00211F8E"/>
    <w:rsid w:val="00221879"/>
    <w:rsid w:val="00230D00"/>
    <w:rsid w:val="0023399C"/>
    <w:rsid w:val="00233BC7"/>
    <w:rsid w:val="00234B71"/>
    <w:rsid w:val="00237839"/>
    <w:rsid w:val="00241082"/>
    <w:rsid w:val="002419B1"/>
    <w:rsid w:val="00245357"/>
    <w:rsid w:val="00247723"/>
    <w:rsid w:val="00254F95"/>
    <w:rsid w:val="00257771"/>
    <w:rsid w:val="002673DD"/>
    <w:rsid w:val="00267729"/>
    <w:rsid w:val="0027276C"/>
    <w:rsid w:val="00272B85"/>
    <w:rsid w:val="00273A4C"/>
    <w:rsid w:val="002754B3"/>
    <w:rsid w:val="00276606"/>
    <w:rsid w:val="0027672B"/>
    <w:rsid w:val="00276956"/>
    <w:rsid w:val="00277011"/>
    <w:rsid w:val="00280C99"/>
    <w:rsid w:val="00282273"/>
    <w:rsid w:val="00285128"/>
    <w:rsid w:val="002855C3"/>
    <w:rsid w:val="00286C09"/>
    <w:rsid w:val="00290BFA"/>
    <w:rsid w:val="00292FB8"/>
    <w:rsid w:val="002958C4"/>
    <w:rsid w:val="00295A6F"/>
    <w:rsid w:val="00296F6E"/>
    <w:rsid w:val="00297E5D"/>
    <w:rsid w:val="002A45D6"/>
    <w:rsid w:val="002A4B16"/>
    <w:rsid w:val="002A4BD9"/>
    <w:rsid w:val="002A4E93"/>
    <w:rsid w:val="002B15AB"/>
    <w:rsid w:val="002B6C39"/>
    <w:rsid w:val="002B7117"/>
    <w:rsid w:val="002B73EA"/>
    <w:rsid w:val="002B742C"/>
    <w:rsid w:val="002C0487"/>
    <w:rsid w:val="002C05F2"/>
    <w:rsid w:val="002C0CCC"/>
    <w:rsid w:val="002C11DE"/>
    <w:rsid w:val="002C35D8"/>
    <w:rsid w:val="002C3AB5"/>
    <w:rsid w:val="002C41CC"/>
    <w:rsid w:val="002C4C9F"/>
    <w:rsid w:val="002D17BF"/>
    <w:rsid w:val="002D6058"/>
    <w:rsid w:val="002E226A"/>
    <w:rsid w:val="002E302F"/>
    <w:rsid w:val="002E54AD"/>
    <w:rsid w:val="002E642D"/>
    <w:rsid w:val="002F0996"/>
    <w:rsid w:val="00305F68"/>
    <w:rsid w:val="00307BC3"/>
    <w:rsid w:val="003114C3"/>
    <w:rsid w:val="00311D2E"/>
    <w:rsid w:val="00312684"/>
    <w:rsid w:val="00314856"/>
    <w:rsid w:val="00314A0F"/>
    <w:rsid w:val="00315737"/>
    <w:rsid w:val="00320DB6"/>
    <w:rsid w:val="003218D4"/>
    <w:rsid w:val="00321A87"/>
    <w:rsid w:val="00322A81"/>
    <w:rsid w:val="00323D8F"/>
    <w:rsid w:val="00330117"/>
    <w:rsid w:val="003303C0"/>
    <w:rsid w:val="00331944"/>
    <w:rsid w:val="00331AA0"/>
    <w:rsid w:val="00333C41"/>
    <w:rsid w:val="00333FAB"/>
    <w:rsid w:val="003357BE"/>
    <w:rsid w:val="00336CCD"/>
    <w:rsid w:val="00340FE8"/>
    <w:rsid w:val="00341051"/>
    <w:rsid w:val="003421FE"/>
    <w:rsid w:val="00342374"/>
    <w:rsid w:val="00342524"/>
    <w:rsid w:val="00346DD1"/>
    <w:rsid w:val="00350DCD"/>
    <w:rsid w:val="0035110B"/>
    <w:rsid w:val="003522FC"/>
    <w:rsid w:val="00353169"/>
    <w:rsid w:val="00354D6A"/>
    <w:rsid w:val="00356E64"/>
    <w:rsid w:val="00357007"/>
    <w:rsid w:val="0036088C"/>
    <w:rsid w:val="003614AE"/>
    <w:rsid w:val="00363BDC"/>
    <w:rsid w:val="00365328"/>
    <w:rsid w:val="00367F83"/>
    <w:rsid w:val="00370A6C"/>
    <w:rsid w:val="00370D9E"/>
    <w:rsid w:val="0037326F"/>
    <w:rsid w:val="00373717"/>
    <w:rsid w:val="00375B7D"/>
    <w:rsid w:val="00382FF3"/>
    <w:rsid w:val="00383966"/>
    <w:rsid w:val="003846F0"/>
    <w:rsid w:val="00384B3D"/>
    <w:rsid w:val="00385E2C"/>
    <w:rsid w:val="0038629F"/>
    <w:rsid w:val="00390196"/>
    <w:rsid w:val="0039110E"/>
    <w:rsid w:val="00391DC0"/>
    <w:rsid w:val="00394502"/>
    <w:rsid w:val="00394694"/>
    <w:rsid w:val="00395112"/>
    <w:rsid w:val="00397E6C"/>
    <w:rsid w:val="003A12A9"/>
    <w:rsid w:val="003A1699"/>
    <w:rsid w:val="003A2854"/>
    <w:rsid w:val="003A2B46"/>
    <w:rsid w:val="003A3320"/>
    <w:rsid w:val="003A474C"/>
    <w:rsid w:val="003A570A"/>
    <w:rsid w:val="003B01A1"/>
    <w:rsid w:val="003B0AE2"/>
    <w:rsid w:val="003B1DC0"/>
    <w:rsid w:val="003B4418"/>
    <w:rsid w:val="003B5276"/>
    <w:rsid w:val="003B60F9"/>
    <w:rsid w:val="003B6566"/>
    <w:rsid w:val="003C06FD"/>
    <w:rsid w:val="003C2D25"/>
    <w:rsid w:val="003C7FF8"/>
    <w:rsid w:val="003D1C89"/>
    <w:rsid w:val="003D38A7"/>
    <w:rsid w:val="003D47C3"/>
    <w:rsid w:val="003D4DE3"/>
    <w:rsid w:val="003E1122"/>
    <w:rsid w:val="003E2ABD"/>
    <w:rsid w:val="003E7F34"/>
    <w:rsid w:val="003F16DA"/>
    <w:rsid w:val="003F216A"/>
    <w:rsid w:val="003F32D0"/>
    <w:rsid w:val="003F4148"/>
    <w:rsid w:val="003F5F6E"/>
    <w:rsid w:val="003F74B7"/>
    <w:rsid w:val="0040658F"/>
    <w:rsid w:val="0041125E"/>
    <w:rsid w:val="00413FAE"/>
    <w:rsid w:val="00415F17"/>
    <w:rsid w:val="0042111C"/>
    <w:rsid w:val="004279C5"/>
    <w:rsid w:val="004304C5"/>
    <w:rsid w:val="00430B9E"/>
    <w:rsid w:val="00436500"/>
    <w:rsid w:val="00436DE1"/>
    <w:rsid w:val="0043740C"/>
    <w:rsid w:val="00442464"/>
    <w:rsid w:val="00444588"/>
    <w:rsid w:val="00450ED2"/>
    <w:rsid w:val="00452B73"/>
    <w:rsid w:val="00457CC2"/>
    <w:rsid w:val="0046238A"/>
    <w:rsid w:val="00462945"/>
    <w:rsid w:val="00462CA3"/>
    <w:rsid w:val="004631F3"/>
    <w:rsid w:val="00463CBE"/>
    <w:rsid w:val="00464085"/>
    <w:rsid w:val="004641B9"/>
    <w:rsid w:val="00465CF9"/>
    <w:rsid w:val="0048306C"/>
    <w:rsid w:val="004839F6"/>
    <w:rsid w:val="00483D45"/>
    <w:rsid w:val="00484B08"/>
    <w:rsid w:val="004917DE"/>
    <w:rsid w:val="00491C7C"/>
    <w:rsid w:val="004920A7"/>
    <w:rsid w:val="0049394D"/>
    <w:rsid w:val="004960E1"/>
    <w:rsid w:val="004A004E"/>
    <w:rsid w:val="004A090D"/>
    <w:rsid w:val="004A1BD1"/>
    <w:rsid w:val="004A1E11"/>
    <w:rsid w:val="004A34A2"/>
    <w:rsid w:val="004A34C9"/>
    <w:rsid w:val="004A5318"/>
    <w:rsid w:val="004A67F5"/>
    <w:rsid w:val="004A68F5"/>
    <w:rsid w:val="004A7263"/>
    <w:rsid w:val="004B2296"/>
    <w:rsid w:val="004B4420"/>
    <w:rsid w:val="004B5841"/>
    <w:rsid w:val="004B5C5C"/>
    <w:rsid w:val="004B6B72"/>
    <w:rsid w:val="004B7D13"/>
    <w:rsid w:val="004C0A5E"/>
    <w:rsid w:val="004C0E49"/>
    <w:rsid w:val="004C22FC"/>
    <w:rsid w:val="004C61A3"/>
    <w:rsid w:val="004C6C4C"/>
    <w:rsid w:val="004C7862"/>
    <w:rsid w:val="004D488E"/>
    <w:rsid w:val="004D507F"/>
    <w:rsid w:val="004D6564"/>
    <w:rsid w:val="004D7F7D"/>
    <w:rsid w:val="004F1F26"/>
    <w:rsid w:val="004F2DED"/>
    <w:rsid w:val="004F4611"/>
    <w:rsid w:val="004F5014"/>
    <w:rsid w:val="004F5B46"/>
    <w:rsid w:val="004F640D"/>
    <w:rsid w:val="004F7DCB"/>
    <w:rsid w:val="00500415"/>
    <w:rsid w:val="0050337E"/>
    <w:rsid w:val="00503A9A"/>
    <w:rsid w:val="0050496F"/>
    <w:rsid w:val="00505A5B"/>
    <w:rsid w:val="00507203"/>
    <w:rsid w:val="00510480"/>
    <w:rsid w:val="005106E3"/>
    <w:rsid w:val="0051080E"/>
    <w:rsid w:val="00512844"/>
    <w:rsid w:val="00512D08"/>
    <w:rsid w:val="005171DD"/>
    <w:rsid w:val="00517C79"/>
    <w:rsid w:val="00517D24"/>
    <w:rsid w:val="005200A0"/>
    <w:rsid w:val="00526792"/>
    <w:rsid w:val="00526C33"/>
    <w:rsid w:val="00530EBB"/>
    <w:rsid w:val="00533038"/>
    <w:rsid w:val="005348D4"/>
    <w:rsid w:val="00534D10"/>
    <w:rsid w:val="0053559A"/>
    <w:rsid w:val="00536F0E"/>
    <w:rsid w:val="00537673"/>
    <w:rsid w:val="005400A5"/>
    <w:rsid w:val="005419D0"/>
    <w:rsid w:val="00543430"/>
    <w:rsid w:val="005459DC"/>
    <w:rsid w:val="005474B8"/>
    <w:rsid w:val="00550D1D"/>
    <w:rsid w:val="00551E13"/>
    <w:rsid w:val="0055315C"/>
    <w:rsid w:val="0055524C"/>
    <w:rsid w:val="00555606"/>
    <w:rsid w:val="00555C55"/>
    <w:rsid w:val="0055663E"/>
    <w:rsid w:val="00560754"/>
    <w:rsid w:val="00563A4C"/>
    <w:rsid w:val="005649F6"/>
    <w:rsid w:val="00564BFA"/>
    <w:rsid w:val="00566801"/>
    <w:rsid w:val="00577774"/>
    <w:rsid w:val="00580EB9"/>
    <w:rsid w:val="00581D1E"/>
    <w:rsid w:val="005853BD"/>
    <w:rsid w:val="005854A2"/>
    <w:rsid w:val="00585CC6"/>
    <w:rsid w:val="00586EBD"/>
    <w:rsid w:val="00594A2E"/>
    <w:rsid w:val="005A2AE1"/>
    <w:rsid w:val="005A47F1"/>
    <w:rsid w:val="005A6153"/>
    <w:rsid w:val="005A7B0B"/>
    <w:rsid w:val="005B0F08"/>
    <w:rsid w:val="005B1500"/>
    <w:rsid w:val="005B1F48"/>
    <w:rsid w:val="005B203A"/>
    <w:rsid w:val="005B38DD"/>
    <w:rsid w:val="005B4361"/>
    <w:rsid w:val="005B54A2"/>
    <w:rsid w:val="005C19F0"/>
    <w:rsid w:val="005C3E03"/>
    <w:rsid w:val="005C5B2C"/>
    <w:rsid w:val="005C625E"/>
    <w:rsid w:val="005C650F"/>
    <w:rsid w:val="005C6BBD"/>
    <w:rsid w:val="005D03A3"/>
    <w:rsid w:val="005D2220"/>
    <w:rsid w:val="005D2A05"/>
    <w:rsid w:val="005D4AFD"/>
    <w:rsid w:val="005D4EC7"/>
    <w:rsid w:val="005D7593"/>
    <w:rsid w:val="005D7BD5"/>
    <w:rsid w:val="005E2A71"/>
    <w:rsid w:val="005E39FA"/>
    <w:rsid w:val="005E4722"/>
    <w:rsid w:val="005E7120"/>
    <w:rsid w:val="005E7954"/>
    <w:rsid w:val="005F0778"/>
    <w:rsid w:val="005F198E"/>
    <w:rsid w:val="005F1C64"/>
    <w:rsid w:val="005F33BB"/>
    <w:rsid w:val="005F3451"/>
    <w:rsid w:val="005F4763"/>
    <w:rsid w:val="0060149E"/>
    <w:rsid w:val="00602788"/>
    <w:rsid w:val="00603121"/>
    <w:rsid w:val="00603E4D"/>
    <w:rsid w:val="00603F5F"/>
    <w:rsid w:val="00604549"/>
    <w:rsid w:val="006054DC"/>
    <w:rsid w:val="00606527"/>
    <w:rsid w:val="00613739"/>
    <w:rsid w:val="00616DD1"/>
    <w:rsid w:val="00617287"/>
    <w:rsid w:val="006176F0"/>
    <w:rsid w:val="00622330"/>
    <w:rsid w:val="00624F2D"/>
    <w:rsid w:val="006253A8"/>
    <w:rsid w:val="006263E9"/>
    <w:rsid w:val="0064120C"/>
    <w:rsid w:val="006414E3"/>
    <w:rsid w:val="006421B4"/>
    <w:rsid w:val="00643085"/>
    <w:rsid w:val="00643689"/>
    <w:rsid w:val="00645E55"/>
    <w:rsid w:val="006467CF"/>
    <w:rsid w:val="006508AF"/>
    <w:rsid w:val="006527C2"/>
    <w:rsid w:val="0065336F"/>
    <w:rsid w:val="00656460"/>
    <w:rsid w:val="0065794C"/>
    <w:rsid w:val="00660F65"/>
    <w:rsid w:val="00661F32"/>
    <w:rsid w:val="00663F5D"/>
    <w:rsid w:val="006648AB"/>
    <w:rsid w:val="006666E6"/>
    <w:rsid w:val="0067307F"/>
    <w:rsid w:val="00674714"/>
    <w:rsid w:val="0067786B"/>
    <w:rsid w:val="00677D0F"/>
    <w:rsid w:val="006806F9"/>
    <w:rsid w:val="00680B77"/>
    <w:rsid w:val="00683207"/>
    <w:rsid w:val="00684397"/>
    <w:rsid w:val="00685CCB"/>
    <w:rsid w:val="00687C73"/>
    <w:rsid w:val="00690472"/>
    <w:rsid w:val="00694AE0"/>
    <w:rsid w:val="0069559F"/>
    <w:rsid w:val="00696B29"/>
    <w:rsid w:val="00696B83"/>
    <w:rsid w:val="00696F8F"/>
    <w:rsid w:val="006A0BAA"/>
    <w:rsid w:val="006A196D"/>
    <w:rsid w:val="006A42DF"/>
    <w:rsid w:val="006A55AA"/>
    <w:rsid w:val="006A6544"/>
    <w:rsid w:val="006A739A"/>
    <w:rsid w:val="006B086C"/>
    <w:rsid w:val="006B1A3A"/>
    <w:rsid w:val="006B349C"/>
    <w:rsid w:val="006B46CF"/>
    <w:rsid w:val="006B46F1"/>
    <w:rsid w:val="006B646E"/>
    <w:rsid w:val="006C1EA8"/>
    <w:rsid w:val="006C341D"/>
    <w:rsid w:val="006D197E"/>
    <w:rsid w:val="006D1E3B"/>
    <w:rsid w:val="006D1E61"/>
    <w:rsid w:val="006D4072"/>
    <w:rsid w:val="006D4DAE"/>
    <w:rsid w:val="006D5C06"/>
    <w:rsid w:val="006D664B"/>
    <w:rsid w:val="006E05ED"/>
    <w:rsid w:val="006E2110"/>
    <w:rsid w:val="006E29A7"/>
    <w:rsid w:val="006E47AB"/>
    <w:rsid w:val="006E487A"/>
    <w:rsid w:val="006F0F50"/>
    <w:rsid w:val="006F22AC"/>
    <w:rsid w:val="006F257A"/>
    <w:rsid w:val="006F3D7E"/>
    <w:rsid w:val="006F601C"/>
    <w:rsid w:val="006F757D"/>
    <w:rsid w:val="007008A0"/>
    <w:rsid w:val="00700CE8"/>
    <w:rsid w:val="00706F79"/>
    <w:rsid w:val="00707CAF"/>
    <w:rsid w:val="007100FB"/>
    <w:rsid w:val="00710CF4"/>
    <w:rsid w:val="0071101E"/>
    <w:rsid w:val="007118B8"/>
    <w:rsid w:val="0071370F"/>
    <w:rsid w:val="00713731"/>
    <w:rsid w:val="00715298"/>
    <w:rsid w:val="007157AE"/>
    <w:rsid w:val="00720913"/>
    <w:rsid w:val="00721B26"/>
    <w:rsid w:val="00731C2E"/>
    <w:rsid w:val="00732745"/>
    <w:rsid w:val="00733D80"/>
    <w:rsid w:val="007350ED"/>
    <w:rsid w:val="00736643"/>
    <w:rsid w:val="00746EFC"/>
    <w:rsid w:val="00753288"/>
    <w:rsid w:val="007543F1"/>
    <w:rsid w:val="00756512"/>
    <w:rsid w:val="007578AF"/>
    <w:rsid w:val="00762578"/>
    <w:rsid w:val="00773203"/>
    <w:rsid w:val="00773C33"/>
    <w:rsid w:val="00775619"/>
    <w:rsid w:val="0078056F"/>
    <w:rsid w:val="00781175"/>
    <w:rsid w:val="0078188F"/>
    <w:rsid w:val="00782C67"/>
    <w:rsid w:val="007852D1"/>
    <w:rsid w:val="007867E5"/>
    <w:rsid w:val="00787F19"/>
    <w:rsid w:val="00792369"/>
    <w:rsid w:val="0079291B"/>
    <w:rsid w:val="0079535B"/>
    <w:rsid w:val="007957F2"/>
    <w:rsid w:val="007A38C6"/>
    <w:rsid w:val="007A6E25"/>
    <w:rsid w:val="007A6F4A"/>
    <w:rsid w:val="007B0ED9"/>
    <w:rsid w:val="007B4D3F"/>
    <w:rsid w:val="007B5D82"/>
    <w:rsid w:val="007B5F8B"/>
    <w:rsid w:val="007B6E92"/>
    <w:rsid w:val="007B779F"/>
    <w:rsid w:val="007C219A"/>
    <w:rsid w:val="007C4642"/>
    <w:rsid w:val="007C4E9F"/>
    <w:rsid w:val="007D076D"/>
    <w:rsid w:val="007D1718"/>
    <w:rsid w:val="007D1B3C"/>
    <w:rsid w:val="007D2A31"/>
    <w:rsid w:val="007D582B"/>
    <w:rsid w:val="007E195A"/>
    <w:rsid w:val="007E21F3"/>
    <w:rsid w:val="007E5BA2"/>
    <w:rsid w:val="007E6372"/>
    <w:rsid w:val="007E65F4"/>
    <w:rsid w:val="007E6D86"/>
    <w:rsid w:val="007F03AC"/>
    <w:rsid w:val="007F1013"/>
    <w:rsid w:val="007F17C2"/>
    <w:rsid w:val="00802AC0"/>
    <w:rsid w:val="00805CEE"/>
    <w:rsid w:val="008061DB"/>
    <w:rsid w:val="00806840"/>
    <w:rsid w:val="008103EB"/>
    <w:rsid w:val="0081065F"/>
    <w:rsid w:val="00810855"/>
    <w:rsid w:val="008115F2"/>
    <w:rsid w:val="008171A3"/>
    <w:rsid w:val="0082047D"/>
    <w:rsid w:val="00827065"/>
    <w:rsid w:val="0082713C"/>
    <w:rsid w:val="00827159"/>
    <w:rsid w:val="008307D3"/>
    <w:rsid w:val="00832EBC"/>
    <w:rsid w:val="00832F64"/>
    <w:rsid w:val="00833610"/>
    <w:rsid w:val="00836D32"/>
    <w:rsid w:val="00840D7D"/>
    <w:rsid w:val="00842ACE"/>
    <w:rsid w:val="00843358"/>
    <w:rsid w:val="008434A5"/>
    <w:rsid w:val="00844A0D"/>
    <w:rsid w:val="00846C17"/>
    <w:rsid w:val="00852FB0"/>
    <w:rsid w:val="0085325A"/>
    <w:rsid w:val="008541A0"/>
    <w:rsid w:val="00860877"/>
    <w:rsid w:val="00861072"/>
    <w:rsid w:val="00861CF3"/>
    <w:rsid w:val="00861D8B"/>
    <w:rsid w:val="00863F88"/>
    <w:rsid w:val="00867C64"/>
    <w:rsid w:val="00872B75"/>
    <w:rsid w:val="0087387F"/>
    <w:rsid w:val="00876A54"/>
    <w:rsid w:val="0088345D"/>
    <w:rsid w:val="0088590A"/>
    <w:rsid w:val="0088661C"/>
    <w:rsid w:val="00886FBD"/>
    <w:rsid w:val="00887B05"/>
    <w:rsid w:val="00891B53"/>
    <w:rsid w:val="00893087"/>
    <w:rsid w:val="00894582"/>
    <w:rsid w:val="00894E80"/>
    <w:rsid w:val="00896E0E"/>
    <w:rsid w:val="00897FEA"/>
    <w:rsid w:val="008A378D"/>
    <w:rsid w:val="008A4B94"/>
    <w:rsid w:val="008A628A"/>
    <w:rsid w:val="008A7DCB"/>
    <w:rsid w:val="008B0278"/>
    <w:rsid w:val="008B0911"/>
    <w:rsid w:val="008B150B"/>
    <w:rsid w:val="008B2A17"/>
    <w:rsid w:val="008B2E1D"/>
    <w:rsid w:val="008B7126"/>
    <w:rsid w:val="008B76D7"/>
    <w:rsid w:val="008B7F0C"/>
    <w:rsid w:val="008C01FC"/>
    <w:rsid w:val="008C25B7"/>
    <w:rsid w:val="008C2C86"/>
    <w:rsid w:val="008C4E2A"/>
    <w:rsid w:val="008D0202"/>
    <w:rsid w:val="008D1BD9"/>
    <w:rsid w:val="008D3AE9"/>
    <w:rsid w:val="008D585D"/>
    <w:rsid w:val="008E1E8A"/>
    <w:rsid w:val="008E2022"/>
    <w:rsid w:val="008E5A5C"/>
    <w:rsid w:val="008F0CC6"/>
    <w:rsid w:val="008F1CC6"/>
    <w:rsid w:val="008F3CC1"/>
    <w:rsid w:val="008F458D"/>
    <w:rsid w:val="008F4E27"/>
    <w:rsid w:val="008F6AD3"/>
    <w:rsid w:val="00900F6C"/>
    <w:rsid w:val="0090194D"/>
    <w:rsid w:val="00906613"/>
    <w:rsid w:val="00907A9F"/>
    <w:rsid w:val="00914C00"/>
    <w:rsid w:val="00915611"/>
    <w:rsid w:val="00921C0F"/>
    <w:rsid w:val="00922378"/>
    <w:rsid w:val="009256F1"/>
    <w:rsid w:val="0093479D"/>
    <w:rsid w:val="00934C9C"/>
    <w:rsid w:val="00935223"/>
    <w:rsid w:val="0093596B"/>
    <w:rsid w:val="00941FD2"/>
    <w:rsid w:val="00942DC6"/>
    <w:rsid w:val="009439D2"/>
    <w:rsid w:val="009470D3"/>
    <w:rsid w:val="00950D6E"/>
    <w:rsid w:val="00954E28"/>
    <w:rsid w:val="0095537E"/>
    <w:rsid w:val="00960200"/>
    <w:rsid w:val="00963CE3"/>
    <w:rsid w:val="00964534"/>
    <w:rsid w:val="00964CDB"/>
    <w:rsid w:val="00964D1F"/>
    <w:rsid w:val="00966202"/>
    <w:rsid w:val="00967ED7"/>
    <w:rsid w:val="00967F59"/>
    <w:rsid w:val="009715F5"/>
    <w:rsid w:val="00972112"/>
    <w:rsid w:val="00973558"/>
    <w:rsid w:val="0097369F"/>
    <w:rsid w:val="00974083"/>
    <w:rsid w:val="0097473C"/>
    <w:rsid w:val="009748C3"/>
    <w:rsid w:val="009756B9"/>
    <w:rsid w:val="009768D3"/>
    <w:rsid w:val="009817B4"/>
    <w:rsid w:val="00981FBA"/>
    <w:rsid w:val="009827DE"/>
    <w:rsid w:val="00982FA0"/>
    <w:rsid w:val="00984E9D"/>
    <w:rsid w:val="0099031F"/>
    <w:rsid w:val="00991F42"/>
    <w:rsid w:val="009942E6"/>
    <w:rsid w:val="00996A1E"/>
    <w:rsid w:val="00996AD0"/>
    <w:rsid w:val="009A1E58"/>
    <w:rsid w:val="009A1FF6"/>
    <w:rsid w:val="009A26FA"/>
    <w:rsid w:val="009A2780"/>
    <w:rsid w:val="009A3772"/>
    <w:rsid w:val="009A7833"/>
    <w:rsid w:val="009B005A"/>
    <w:rsid w:val="009B1641"/>
    <w:rsid w:val="009B5003"/>
    <w:rsid w:val="009B65F2"/>
    <w:rsid w:val="009C06E7"/>
    <w:rsid w:val="009C0F58"/>
    <w:rsid w:val="009C2B6E"/>
    <w:rsid w:val="009C3D31"/>
    <w:rsid w:val="009C4F67"/>
    <w:rsid w:val="009C7C3A"/>
    <w:rsid w:val="009D0BA8"/>
    <w:rsid w:val="009D17E4"/>
    <w:rsid w:val="009D2EA9"/>
    <w:rsid w:val="009D3934"/>
    <w:rsid w:val="009D46A9"/>
    <w:rsid w:val="009D4AFD"/>
    <w:rsid w:val="009D5C2B"/>
    <w:rsid w:val="009D679D"/>
    <w:rsid w:val="009D7663"/>
    <w:rsid w:val="009E5271"/>
    <w:rsid w:val="009F3E64"/>
    <w:rsid w:val="00A03228"/>
    <w:rsid w:val="00A0322E"/>
    <w:rsid w:val="00A038EB"/>
    <w:rsid w:val="00A0663D"/>
    <w:rsid w:val="00A13714"/>
    <w:rsid w:val="00A17AD9"/>
    <w:rsid w:val="00A20536"/>
    <w:rsid w:val="00A2779A"/>
    <w:rsid w:val="00A315A9"/>
    <w:rsid w:val="00A3281A"/>
    <w:rsid w:val="00A329DB"/>
    <w:rsid w:val="00A35253"/>
    <w:rsid w:val="00A35AAF"/>
    <w:rsid w:val="00A3757B"/>
    <w:rsid w:val="00A37BE9"/>
    <w:rsid w:val="00A4197F"/>
    <w:rsid w:val="00A42F8F"/>
    <w:rsid w:val="00A45F85"/>
    <w:rsid w:val="00A47815"/>
    <w:rsid w:val="00A479C4"/>
    <w:rsid w:val="00A47D32"/>
    <w:rsid w:val="00A56677"/>
    <w:rsid w:val="00A56CBF"/>
    <w:rsid w:val="00A71F75"/>
    <w:rsid w:val="00A76025"/>
    <w:rsid w:val="00A76D2E"/>
    <w:rsid w:val="00A80013"/>
    <w:rsid w:val="00A81F99"/>
    <w:rsid w:val="00A83280"/>
    <w:rsid w:val="00A83536"/>
    <w:rsid w:val="00A845C6"/>
    <w:rsid w:val="00A93922"/>
    <w:rsid w:val="00A9433A"/>
    <w:rsid w:val="00A94B63"/>
    <w:rsid w:val="00A96E55"/>
    <w:rsid w:val="00AA0BE3"/>
    <w:rsid w:val="00AA11B0"/>
    <w:rsid w:val="00AA232A"/>
    <w:rsid w:val="00AA3805"/>
    <w:rsid w:val="00AA3ED7"/>
    <w:rsid w:val="00AA6413"/>
    <w:rsid w:val="00AA7CA3"/>
    <w:rsid w:val="00AB33AF"/>
    <w:rsid w:val="00AB3AC6"/>
    <w:rsid w:val="00AB4AFD"/>
    <w:rsid w:val="00AB4B3F"/>
    <w:rsid w:val="00AB4E7A"/>
    <w:rsid w:val="00AB6D93"/>
    <w:rsid w:val="00AB7193"/>
    <w:rsid w:val="00AB7D6A"/>
    <w:rsid w:val="00AC013E"/>
    <w:rsid w:val="00AC05BB"/>
    <w:rsid w:val="00AC1C61"/>
    <w:rsid w:val="00AC542D"/>
    <w:rsid w:val="00AC543B"/>
    <w:rsid w:val="00AC6881"/>
    <w:rsid w:val="00AC7AA3"/>
    <w:rsid w:val="00AD0446"/>
    <w:rsid w:val="00AD12DB"/>
    <w:rsid w:val="00AD54B2"/>
    <w:rsid w:val="00AE2C40"/>
    <w:rsid w:val="00AE328B"/>
    <w:rsid w:val="00AE4FFA"/>
    <w:rsid w:val="00AE57C2"/>
    <w:rsid w:val="00AF284D"/>
    <w:rsid w:val="00B01042"/>
    <w:rsid w:val="00B01DE6"/>
    <w:rsid w:val="00B0375E"/>
    <w:rsid w:val="00B0446C"/>
    <w:rsid w:val="00B046B5"/>
    <w:rsid w:val="00B05053"/>
    <w:rsid w:val="00B060FC"/>
    <w:rsid w:val="00B0670C"/>
    <w:rsid w:val="00B121F6"/>
    <w:rsid w:val="00B128A3"/>
    <w:rsid w:val="00B15CDC"/>
    <w:rsid w:val="00B16361"/>
    <w:rsid w:val="00B16A73"/>
    <w:rsid w:val="00B17652"/>
    <w:rsid w:val="00B21466"/>
    <w:rsid w:val="00B24DB0"/>
    <w:rsid w:val="00B266DA"/>
    <w:rsid w:val="00B31FE3"/>
    <w:rsid w:val="00B364F6"/>
    <w:rsid w:val="00B405BE"/>
    <w:rsid w:val="00B4283E"/>
    <w:rsid w:val="00B43858"/>
    <w:rsid w:val="00B5158E"/>
    <w:rsid w:val="00B537EE"/>
    <w:rsid w:val="00B53F3B"/>
    <w:rsid w:val="00B60351"/>
    <w:rsid w:val="00B621CC"/>
    <w:rsid w:val="00B63004"/>
    <w:rsid w:val="00B630DC"/>
    <w:rsid w:val="00B64E10"/>
    <w:rsid w:val="00B65C76"/>
    <w:rsid w:val="00B67DEC"/>
    <w:rsid w:val="00B70EBE"/>
    <w:rsid w:val="00B71911"/>
    <w:rsid w:val="00B7225F"/>
    <w:rsid w:val="00B752AE"/>
    <w:rsid w:val="00B75EE3"/>
    <w:rsid w:val="00B75FF0"/>
    <w:rsid w:val="00B763D6"/>
    <w:rsid w:val="00B813C6"/>
    <w:rsid w:val="00B82216"/>
    <w:rsid w:val="00B831B2"/>
    <w:rsid w:val="00B84459"/>
    <w:rsid w:val="00B862E3"/>
    <w:rsid w:val="00B9013C"/>
    <w:rsid w:val="00B93B27"/>
    <w:rsid w:val="00B9467C"/>
    <w:rsid w:val="00B94EE1"/>
    <w:rsid w:val="00B95929"/>
    <w:rsid w:val="00B9612D"/>
    <w:rsid w:val="00B9741B"/>
    <w:rsid w:val="00BA11ED"/>
    <w:rsid w:val="00BA2BAC"/>
    <w:rsid w:val="00BA2E73"/>
    <w:rsid w:val="00BA4296"/>
    <w:rsid w:val="00BA49FA"/>
    <w:rsid w:val="00BB3083"/>
    <w:rsid w:val="00BB373C"/>
    <w:rsid w:val="00BB433C"/>
    <w:rsid w:val="00BB558E"/>
    <w:rsid w:val="00BB6201"/>
    <w:rsid w:val="00BB7429"/>
    <w:rsid w:val="00BC0431"/>
    <w:rsid w:val="00BC08B7"/>
    <w:rsid w:val="00BC16DD"/>
    <w:rsid w:val="00BC3B92"/>
    <w:rsid w:val="00BC77AE"/>
    <w:rsid w:val="00BD0376"/>
    <w:rsid w:val="00BD0F95"/>
    <w:rsid w:val="00BD34F2"/>
    <w:rsid w:val="00BD4C76"/>
    <w:rsid w:val="00BD5A33"/>
    <w:rsid w:val="00BD6052"/>
    <w:rsid w:val="00BD6880"/>
    <w:rsid w:val="00BD76B0"/>
    <w:rsid w:val="00BD77D2"/>
    <w:rsid w:val="00BD79A4"/>
    <w:rsid w:val="00BE0030"/>
    <w:rsid w:val="00BE2350"/>
    <w:rsid w:val="00BE2E09"/>
    <w:rsid w:val="00BE6EBC"/>
    <w:rsid w:val="00BE74FA"/>
    <w:rsid w:val="00BF0C38"/>
    <w:rsid w:val="00BF4044"/>
    <w:rsid w:val="00BF498B"/>
    <w:rsid w:val="00BF5618"/>
    <w:rsid w:val="00BF6761"/>
    <w:rsid w:val="00BF6EE9"/>
    <w:rsid w:val="00C0025C"/>
    <w:rsid w:val="00C028B8"/>
    <w:rsid w:val="00C036B2"/>
    <w:rsid w:val="00C039E4"/>
    <w:rsid w:val="00C05673"/>
    <w:rsid w:val="00C061AD"/>
    <w:rsid w:val="00C135A2"/>
    <w:rsid w:val="00C14B96"/>
    <w:rsid w:val="00C21BD6"/>
    <w:rsid w:val="00C21C66"/>
    <w:rsid w:val="00C21E25"/>
    <w:rsid w:val="00C24FF5"/>
    <w:rsid w:val="00C263B5"/>
    <w:rsid w:val="00C31E85"/>
    <w:rsid w:val="00C31FDB"/>
    <w:rsid w:val="00C3262B"/>
    <w:rsid w:val="00C37852"/>
    <w:rsid w:val="00C42F26"/>
    <w:rsid w:val="00C44942"/>
    <w:rsid w:val="00C45105"/>
    <w:rsid w:val="00C46200"/>
    <w:rsid w:val="00C4658D"/>
    <w:rsid w:val="00C5013E"/>
    <w:rsid w:val="00C50953"/>
    <w:rsid w:val="00C52C4C"/>
    <w:rsid w:val="00C55B82"/>
    <w:rsid w:val="00C7062D"/>
    <w:rsid w:val="00C71B8F"/>
    <w:rsid w:val="00C74F66"/>
    <w:rsid w:val="00C84D15"/>
    <w:rsid w:val="00C84F35"/>
    <w:rsid w:val="00C858CE"/>
    <w:rsid w:val="00C858D2"/>
    <w:rsid w:val="00C87CFF"/>
    <w:rsid w:val="00C94157"/>
    <w:rsid w:val="00C958BD"/>
    <w:rsid w:val="00CA04A5"/>
    <w:rsid w:val="00CA283F"/>
    <w:rsid w:val="00CA2C7A"/>
    <w:rsid w:val="00CA6A40"/>
    <w:rsid w:val="00CB07DC"/>
    <w:rsid w:val="00CB0859"/>
    <w:rsid w:val="00CB5977"/>
    <w:rsid w:val="00CB616D"/>
    <w:rsid w:val="00CC02BF"/>
    <w:rsid w:val="00CC25B2"/>
    <w:rsid w:val="00CC2643"/>
    <w:rsid w:val="00CC2A9F"/>
    <w:rsid w:val="00CC6968"/>
    <w:rsid w:val="00CD0040"/>
    <w:rsid w:val="00CD0A7B"/>
    <w:rsid w:val="00CD2D22"/>
    <w:rsid w:val="00CD3C97"/>
    <w:rsid w:val="00CD4F9A"/>
    <w:rsid w:val="00CE0A1F"/>
    <w:rsid w:val="00CE1308"/>
    <w:rsid w:val="00CE3147"/>
    <w:rsid w:val="00CE43DC"/>
    <w:rsid w:val="00CE49C0"/>
    <w:rsid w:val="00CE5583"/>
    <w:rsid w:val="00CE5CCC"/>
    <w:rsid w:val="00CE67C0"/>
    <w:rsid w:val="00CE6942"/>
    <w:rsid w:val="00CF0351"/>
    <w:rsid w:val="00CF1767"/>
    <w:rsid w:val="00CF46F8"/>
    <w:rsid w:val="00CF528A"/>
    <w:rsid w:val="00CF57A3"/>
    <w:rsid w:val="00CF5CE6"/>
    <w:rsid w:val="00D041F1"/>
    <w:rsid w:val="00D07FA3"/>
    <w:rsid w:val="00D11579"/>
    <w:rsid w:val="00D13184"/>
    <w:rsid w:val="00D14DF8"/>
    <w:rsid w:val="00D16313"/>
    <w:rsid w:val="00D176F1"/>
    <w:rsid w:val="00D21E58"/>
    <w:rsid w:val="00D26C93"/>
    <w:rsid w:val="00D271E3"/>
    <w:rsid w:val="00D31C34"/>
    <w:rsid w:val="00D35341"/>
    <w:rsid w:val="00D3771B"/>
    <w:rsid w:val="00D37728"/>
    <w:rsid w:val="00D42253"/>
    <w:rsid w:val="00D43593"/>
    <w:rsid w:val="00D465F2"/>
    <w:rsid w:val="00D47762"/>
    <w:rsid w:val="00D50582"/>
    <w:rsid w:val="00D5071E"/>
    <w:rsid w:val="00D5233E"/>
    <w:rsid w:val="00D52B97"/>
    <w:rsid w:val="00D539A9"/>
    <w:rsid w:val="00D56BC5"/>
    <w:rsid w:val="00D57D45"/>
    <w:rsid w:val="00D61530"/>
    <w:rsid w:val="00D6161A"/>
    <w:rsid w:val="00D61EF1"/>
    <w:rsid w:val="00D64756"/>
    <w:rsid w:val="00D67CD8"/>
    <w:rsid w:val="00D73B27"/>
    <w:rsid w:val="00D759E1"/>
    <w:rsid w:val="00D80B22"/>
    <w:rsid w:val="00D85487"/>
    <w:rsid w:val="00D85C46"/>
    <w:rsid w:val="00D87A73"/>
    <w:rsid w:val="00D91B3C"/>
    <w:rsid w:val="00D92743"/>
    <w:rsid w:val="00D92912"/>
    <w:rsid w:val="00D92F8E"/>
    <w:rsid w:val="00D96431"/>
    <w:rsid w:val="00D97E98"/>
    <w:rsid w:val="00DA2981"/>
    <w:rsid w:val="00DA33D0"/>
    <w:rsid w:val="00DB25F9"/>
    <w:rsid w:val="00DB350E"/>
    <w:rsid w:val="00DB44C5"/>
    <w:rsid w:val="00DB4650"/>
    <w:rsid w:val="00DB4E8B"/>
    <w:rsid w:val="00DB639E"/>
    <w:rsid w:val="00DB64BD"/>
    <w:rsid w:val="00DB6E0A"/>
    <w:rsid w:val="00DC4E24"/>
    <w:rsid w:val="00DC652E"/>
    <w:rsid w:val="00DC6C06"/>
    <w:rsid w:val="00DC7F96"/>
    <w:rsid w:val="00DD14F0"/>
    <w:rsid w:val="00DD2937"/>
    <w:rsid w:val="00DD39BA"/>
    <w:rsid w:val="00DD463B"/>
    <w:rsid w:val="00DD5217"/>
    <w:rsid w:val="00DE03F9"/>
    <w:rsid w:val="00DE201E"/>
    <w:rsid w:val="00DE2452"/>
    <w:rsid w:val="00DE31BA"/>
    <w:rsid w:val="00DE35EA"/>
    <w:rsid w:val="00DE3BDA"/>
    <w:rsid w:val="00DE7381"/>
    <w:rsid w:val="00DF25E6"/>
    <w:rsid w:val="00DF3A12"/>
    <w:rsid w:val="00E06461"/>
    <w:rsid w:val="00E06F03"/>
    <w:rsid w:val="00E07DCF"/>
    <w:rsid w:val="00E10B86"/>
    <w:rsid w:val="00E10E80"/>
    <w:rsid w:val="00E11B7D"/>
    <w:rsid w:val="00E12CB1"/>
    <w:rsid w:val="00E13902"/>
    <w:rsid w:val="00E14238"/>
    <w:rsid w:val="00E23E12"/>
    <w:rsid w:val="00E240F8"/>
    <w:rsid w:val="00E26C4E"/>
    <w:rsid w:val="00E33805"/>
    <w:rsid w:val="00E36295"/>
    <w:rsid w:val="00E435E7"/>
    <w:rsid w:val="00E449AB"/>
    <w:rsid w:val="00E4573F"/>
    <w:rsid w:val="00E5001C"/>
    <w:rsid w:val="00E53323"/>
    <w:rsid w:val="00E57182"/>
    <w:rsid w:val="00E57C37"/>
    <w:rsid w:val="00E60C29"/>
    <w:rsid w:val="00E661C8"/>
    <w:rsid w:val="00E6627F"/>
    <w:rsid w:val="00E70166"/>
    <w:rsid w:val="00E70651"/>
    <w:rsid w:val="00E72874"/>
    <w:rsid w:val="00E76C1C"/>
    <w:rsid w:val="00E76CA1"/>
    <w:rsid w:val="00E77D71"/>
    <w:rsid w:val="00E82F98"/>
    <w:rsid w:val="00E847EE"/>
    <w:rsid w:val="00E84962"/>
    <w:rsid w:val="00E851EA"/>
    <w:rsid w:val="00E9173C"/>
    <w:rsid w:val="00E91B0C"/>
    <w:rsid w:val="00E92153"/>
    <w:rsid w:val="00E94EC7"/>
    <w:rsid w:val="00E95363"/>
    <w:rsid w:val="00EA01DB"/>
    <w:rsid w:val="00EB18BA"/>
    <w:rsid w:val="00EB2483"/>
    <w:rsid w:val="00EB3E51"/>
    <w:rsid w:val="00EB6F22"/>
    <w:rsid w:val="00EB7DCF"/>
    <w:rsid w:val="00EC3D4E"/>
    <w:rsid w:val="00EC4290"/>
    <w:rsid w:val="00EC657A"/>
    <w:rsid w:val="00ED0E27"/>
    <w:rsid w:val="00ED1065"/>
    <w:rsid w:val="00ED3CAA"/>
    <w:rsid w:val="00ED5F90"/>
    <w:rsid w:val="00ED6F3E"/>
    <w:rsid w:val="00EE1674"/>
    <w:rsid w:val="00EE38EA"/>
    <w:rsid w:val="00EE6A6F"/>
    <w:rsid w:val="00EF228D"/>
    <w:rsid w:val="00EF3AC1"/>
    <w:rsid w:val="00EF6A1A"/>
    <w:rsid w:val="00EF77C9"/>
    <w:rsid w:val="00F01E3A"/>
    <w:rsid w:val="00F02E57"/>
    <w:rsid w:val="00F04B3B"/>
    <w:rsid w:val="00F05295"/>
    <w:rsid w:val="00F16203"/>
    <w:rsid w:val="00F211C3"/>
    <w:rsid w:val="00F23A81"/>
    <w:rsid w:val="00F33104"/>
    <w:rsid w:val="00F33CCD"/>
    <w:rsid w:val="00F33E68"/>
    <w:rsid w:val="00F4522D"/>
    <w:rsid w:val="00F46972"/>
    <w:rsid w:val="00F533AE"/>
    <w:rsid w:val="00F533B7"/>
    <w:rsid w:val="00F540BA"/>
    <w:rsid w:val="00F56DCC"/>
    <w:rsid w:val="00F57276"/>
    <w:rsid w:val="00F57C50"/>
    <w:rsid w:val="00F60EDB"/>
    <w:rsid w:val="00F61185"/>
    <w:rsid w:val="00F626BB"/>
    <w:rsid w:val="00F63542"/>
    <w:rsid w:val="00F6687A"/>
    <w:rsid w:val="00F70C38"/>
    <w:rsid w:val="00F70D75"/>
    <w:rsid w:val="00F71115"/>
    <w:rsid w:val="00F74F2F"/>
    <w:rsid w:val="00F7517B"/>
    <w:rsid w:val="00F76037"/>
    <w:rsid w:val="00F77E89"/>
    <w:rsid w:val="00F77EA8"/>
    <w:rsid w:val="00F81525"/>
    <w:rsid w:val="00F818FA"/>
    <w:rsid w:val="00F83258"/>
    <w:rsid w:val="00F842C2"/>
    <w:rsid w:val="00F84499"/>
    <w:rsid w:val="00F8762C"/>
    <w:rsid w:val="00F92555"/>
    <w:rsid w:val="00FA031B"/>
    <w:rsid w:val="00FA4CC2"/>
    <w:rsid w:val="00FA4DD1"/>
    <w:rsid w:val="00FA529D"/>
    <w:rsid w:val="00FA6E83"/>
    <w:rsid w:val="00FA74FE"/>
    <w:rsid w:val="00FB19DB"/>
    <w:rsid w:val="00FB26CE"/>
    <w:rsid w:val="00FB4A36"/>
    <w:rsid w:val="00FB4E98"/>
    <w:rsid w:val="00FB5012"/>
    <w:rsid w:val="00FB7757"/>
    <w:rsid w:val="00FC00D4"/>
    <w:rsid w:val="00FC44E3"/>
    <w:rsid w:val="00FC4D15"/>
    <w:rsid w:val="00FC5CA2"/>
    <w:rsid w:val="00FD117C"/>
    <w:rsid w:val="00FD433B"/>
    <w:rsid w:val="00FD5072"/>
    <w:rsid w:val="00FD6FB0"/>
    <w:rsid w:val="00FE04A3"/>
    <w:rsid w:val="00FE06F5"/>
    <w:rsid w:val="00FE35D8"/>
    <w:rsid w:val="00FE3925"/>
    <w:rsid w:val="00FE3CB3"/>
    <w:rsid w:val="00FF29A6"/>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6F7FA-7B5E-4C58-9469-240B4734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AF"/>
    <w:pPr>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
    <w:basedOn w:val="Normal"/>
    <w:next w:val="Normal"/>
    <w:link w:val="Heading1Char"/>
    <w:uiPriority w:val="99"/>
    <w:qFormat/>
    <w:rsid w:val="00333FAB"/>
    <w:pPr>
      <w:keepNext/>
      <w:tabs>
        <w:tab w:val="num" w:pos="360"/>
      </w:tabs>
      <w:spacing w:before="240" w:after="60" w:line="240" w:lineRule="auto"/>
      <w:ind w:left="360" w:hanging="360"/>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uiPriority w:val="99"/>
    <w:qFormat/>
    <w:rsid w:val="00333FAB"/>
    <w:pPr>
      <w:tabs>
        <w:tab w:val="num" w:pos="720"/>
      </w:tabs>
      <w:spacing w:before="200" w:after="0" w:line="240" w:lineRule="auto"/>
      <w:ind w:left="720" w:hanging="36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uiPriority w:val="99"/>
    <w:qFormat/>
    <w:rsid w:val="00333FAB"/>
    <w:pPr>
      <w:tabs>
        <w:tab w:val="num" w:pos="1080"/>
      </w:tabs>
      <w:spacing w:before="200" w:after="0" w:line="271" w:lineRule="auto"/>
      <w:ind w:left="1080" w:hanging="360"/>
      <w:outlineLvl w:val="2"/>
    </w:pPr>
    <w:rPr>
      <w:rFonts w:ascii="Cambria" w:eastAsia="MS Mincho" w:hAnsi="Cambria" w:cs="Cambria"/>
      <w:b/>
      <w:bCs/>
      <w:sz w:val="24"/>
      <w:szCs w:val="24"/>
    </w:rPr>
  </w:style>
  <w:style w:type="paragraph" w:styleId="Heading4">
    <w:name w:val="heading 4"/>
    <w:basedOn w:val="Normal"/>
    <w:next w:val="Normal"/>
    <w:link w:val="Heading4Char"/>
    <w:uiPriority w:val="99"/>
    <w:qFormat/>
    <w:rsid w:val="00333FAB"/>
    <w:pPr>
      <w:tabs>
        <w:tab w:val="num" w:pos="1440"/>
      </w:tabs>
      <w:spacing w:before="200" w:after="0" w:line="240" w:lineRule="auto"/>
      <w:ind w:left="1440" w:hanging="360"/>
      <w:outlineLvl w:val="3"/>
    </w:pPr>
    <w:rPr>
      <w:rFonts w:ascii="Cambria" w:eastAsia="MS Mincho" w:hAnsi="Cambria" w:cs="Cambria"/>
      <w:b/>
      <w:bCs/>
      <w:i/>
      <w:iCs/>
      <w:sz w:val="24"/>
      <w:szCs w:val="24"/>
    </w:rPr>
  </w:style>
  <w:style w:type="paragraph" w:styleId="Heading5">
    <w:name w:val="heading 5"/>
    <w:basedOn w:val="Normal"/>
    <w:next w:val="Normal"/>
    <w:link w:val="Heading5Char"/>
    <w:uiPriority w:val="99"/>
    <w:qFormat/>
    <w:rsid w:val="00333FAB"/>
    <w:pPr>
      <w:tabs>
        <w:tab w:val="num" w:pos="1800"/>
      </w:tabs>
      <w:spacing w:before="200" w:after="0" w:line="240" w:lineRule="auto"/>
      <w:ind w:left="1800" w:hanging="360"/>
      <w:outlineLvl w:val="4"/>
    </w:pPr>
    <w:rPr>
      <w:rFonts w:ascii="Cambria" w:eastAsia="MS Mincho" w:hAnsi="Cambria" w:cs="Cambria"/>
      <w:b/>
      <w:bCs/>
      <w:color w:val="7F7F7F"/>
      <w:sz w:val="24"/>
      <w:szCs w:val="24"/>
    </w:rPr>
  </w:style>
  <w:style w:type="paragraph" w:styleId="Heading6">
    <w:name w:val="heading 6"/>
    <w:basedOn w:val="Normal"/>
    <w:next w:val="Normal"/>
    <w:link w:val="Heading6Char"/>
    <w:uiPriority w:val="99"/>
    <w:qFormat/>
    <w:rsid w:val="00333FAB"/>
    <w:pPr>
      <w:tabs>
        <w:tab w:val="num" w:pos="2160"/>
      </w:tabs>
      <w:spacing w:after="0" w:line="271" w:lineRule="auto"/>
      <w:ind w:left="2160" w:hanging="360"/>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uiPriority w:val="99"/>
    <w:qFormat/>
    <w:rsid w:val="00333FAB"/>
    <w:pPr>
      <w:tabs>
        <w:tab w:val="num" w:pos="2520"/>
      </w:tabs>
      <w:spacing w:after="0" w:line="240" w:lineRule="auto"/>
      <w:ind w:left="2520" w:hanging="360"/>
      <w:outlineLvl w:val="6"/>
    </w:pPr>
    <w:rPr>
      <w:rFonts w:ascii="Cambria" w:eastAsia="MS Mincho" w:hAnsi="Cambria" w:cs="Cambria"/>
      <w:i/>
      <w:iCs/>
      <w:sz w:val="24"/>
      <w:szCs w:val="24"/>
    </w:rPr>
  </w:style>
  <w:style w:type="paragraph" w:styleId="Heading8">
    <w:name w:val="heading 8"/>
    <w:aliases w:val="h"/>
    <w:basedOn w:val="Normal"/>
    <w:next w:val="Normal"/>
    <w:link w:val="Heading8Char"/>
    <w:uiPriority w:val="99"/>
    <w:qFormat/>
    <w:rsid w:val="00333FAB"/>
    <w:pPr>
      <w:tabs>
        <w:tab w:val="num" w:pos="2880"/>
      </w:tabs>
      <w:spacing w:after="0" w:line="240" w:lineRule="auto"/>
      <w:ind w:left="2880" w:hanging="360"/>
      <w:outlineLvl w:val="7"/>
    </w:pPr>
    <w:rPr>
      <w:rFonts w:ascii="Cambria" w:eastAsia="MS Mincho" w:hAnsi="Cambria" w:cs="Cambria"/>
      <w:sz w:val="20"/>
      <w:szCs w:val="20"/>
    </w:rPr>
  </w:style>
  <w:style w:type="paragraph" w:styleId="Heading9">
    <w:name w:val="heading 9"/>
    <w:basedOn w:val="Normal"/>
    <w:next w:val="Normal"/>
    <w:link w:val="Heading9Char"/>
    <w:uiPriority w:val="99"/>
    <w:qFormat/>
    <w:rsid w:val="00333FAB"/>
    <w:pPr>
      <w:tabs>
        <w:tab w:val="num" w:pos="3240"/>
      </w:tabs>
      <w:spacing w:after="0" w:line="240" w:lineRule="auto"/>
      <w:ind w:left="3240" w:hanging="360"/>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75B7D"/>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locked/>
    <w:rsid w:val="00375B7D"/>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37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B7D"/>
    <w:rPr>
      <w:rFonts w:ascii="Tahoma" w:eastAsia="Calibri" w:hAnsi="Tahoma" w:cs="Tahoma"/>
      <w:sz w:val="16"/>
      <w:szCs w:val="16"/>
    </w:rPr>
  </w:style>
  <w:style w:type="paragraph" w:styleId="Header">
    <w:name w:val="header"/>
    <w:basedOn w:val="Normal"/>
    <w:link w:val="HeaderChar"/>
    <w:uiPriority w:val="57"/>
    <w:unhideWhenUsed/>
    <w:rsid w:val="00375B7D"/>
    <w:pPr>
      <w:tabs>
        <w:tab w:val="center" w:pos="4680"/>
        <w:tab w:val="right" w:pos="9360"/>
      </w:tabs>
      <w:spacing w:after="0" w:line="240" w:lineRule="auto"/>
    </w:pPr>
  </w:style>
  <w:style w:type="character" w:customStyle="1" w:styleId="HeaderChar">
    <w:name w:val="Header Char"/>
    <w:basedOn w:val="DefaultParagraphFont"/>
    <w:link w:val="Header"/>
    <w:uiPriority w:val="57"/>
    <w:rsid w:val="00375B7D"/>
    <w:rPr>
      <w:rFonts w:ascii="Calibri" w:eastAsia="Calibri" w:hAnsi="Calibri" w:cs="Times New Roman"/>
    </w:rPr>
  </w:style>
  <w:style w:type="paragraph" w:styleId="Footer">
    <w:name w:val="footer"/>
    <w:basedOn w:val="Normal"/>
    <w:link w:val="FooterChar"/>
    <w:uiPriority w:val="57"/>
    <w:unhideWhenUsed/>
    <w:rsid w:val="00375B7D"/>
    <w:pPr>
      <w:tabs>
        <w:tab w:val="center" w:pos="4680"/>
        <w:tab w:val="right" w:pos="9360"/>
      </w:tabs>
      <w:spacing w:after="0" w:line="240" w:lineRule="auto"/>
    </w:pPr>
  </w:style>
  <w:style w:type="character" w:customStyle="1" w:styleId="FooterChar">
    <w:name w:val="Footer Char"/>
    <w:basedOn w:val="DefaultParagraphFont"/>
    <w:link w:val="Footer"/>
    <w:uiPriority w:val="57"/>
    <w:rsid w:val="00375B7D"/>
    <w:rPr>
      <w:rFonts w:ascii="Calibri" w:eastAsia="Calibri" w:hAnsi="Calibri" w:cs="Times New Roman"/>
    </w:rPr>
  </w:style>
  <w:style w:type="paragraph" w:customStyle="1" w:styleId="Akti">
    <w:name w:val="Akti"/>
    <w:link w:val="AktiChar"/>
    <w:rsid w:val="00ED3CA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ED3CA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ED3CAA"/>
    <w:rPr>
      <w:rFonts w:ascii="Garamond" w:eastAsia="MS Mincho" w:hAnsi="Garamond" w:cs="CG Times"/>
      <w:b/>
      <w:bCs/>
      <w:sz w:val="24"/>
      <w:lang w:val="en-GB"/>
    </w:rPr>
  </w:style>
  <w:style w:type="paragraph" w:customStyle="1" w:styleId="Paragrafi">
    <w:name w:val="Paragrafi"/>
    <w:link w:val="ParagrafiChar"/>
    <w:rsid w:val="00436DE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436DE1"/>
    <w:rPr>
      <w:rFonts w:ascii="Garamond" w:eastAsia="MS Mincho" w:hAnsi="Garamond" w:cs="CG Times"/>
      <w:sz w:val="24"/>
    </w:rPr>
  </w:style>
  <w:style w:type="paragraph" w:customStyle="1" w:styleId="Titulli">
    <w:name w:val="Titulli"/>
    <w:next w:val="Normal"/>
    <w:link w:val="TitulliChar"/>
    <w:rsid w:val="00ED3CA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ED3CAA"/>
    <w:rPr>
      <w:rFonts w:ascii="Garamond" w:eastAsia="MS Mincho" w:hAnsi="Garamond" w:cs="CG Times"/>
      <w:b/>
      <w:bCs/>
      <w:caps/>
      <w:sz w:val="24"/>
      <w:lang w:val="en-GB"/>
    </w:rPr>
  </w:style>
  <w:style w:type="character" w:customStyle="1" w:styleId="AktiChar">
    <w:name w:val="Akti Char"/>
    <w:basedOn w:val="DefaultParagraphFont"/>
    <w:link w:val="Akti"/>
    <w:rsid w:val="00ED3CAA"/>
    <w:rPr>
      <w:rFonts w:ascii="Garamond" w:eastAsia="MS Mincho" w:hAnsi="Garamond" w:cs="CG Times"/>
      <w:b/>
      <w:bCs/>
      <w:caps/>
      <w:color w:val="000000"/>
      <w:sz w:val="24"/>
      <w:lang w:val="en-GB"/>
    </w:rPr>
  </w:style>
  <w:style w:type="paragraph" w:customStyle="1" w:styleId="NeniNr">
    <w:name w:val="Neni_Nr"/>
    <w:next w:val="Normal"/>
    <w:link w:val="NeniNrChar"/>
    <w:rsid w:val="00ED3CA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rsid w:val="00ED3CA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ED3CAA"/>
    <w:rPr>
      <w:rFonts w:ascii="Garamond" w:eastAsia="MS Mincho" w:hAnsi="Garamond" w:cs="CG Times"/>
      <w:sz w:val="24"/>
      <w:lang w:val="en-GB"/>
    </w:rPr>
  </w:style>
  <w:style w:type="paragraph" w:customStyle="1" w:styleId="Autoriteti">
    <w:name w:val="Autoriteti"/>
    <w:next w:val="Normal"/>
    <w:link w:val="AutoritetiChar"/>
    <w:rsid w:val="00A56CBF"/>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A56CBF"/>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A56CBF"/>
    <w:rPr>
      <w:rFonts w:ascii="Garamond" w:eastAsia="MS Mincho" w:hAnsi="Garamond" w:cs="CG Times"/>
      <w:caps/>
      <w:sz w:val="24"/>
      <w:lang w:val="en-GB"/>
    </w:rPr>
  </w:style>
  <w:style w:type="character" w:customStyle="1" w:styleId="AutoritetiEmerChar">
    <w:name w:val="Autoriteti_Emer Char"/>
    <w:link w:val="AutoritetiEmer"/>
    <w:locked/>
    <w:rsid w:val="00A56CBF"/>
    <w:rPr>
      <w:rFonts w:ascii="Garamond" w:eastAsia="MS Mincho" w:hAnsi="Garamond" w:cs="Times New Roman"/>
      <w:b/>
      <w:bCs/>
      <w:sz w:val="24"/>
      <w:lang w:val="en-GB"/>
    </w:rPr>
  </w:style>
  <w:style w:type="paragraph" w:customStyle="1" w:styleId="Titull-Titull">
    <w:name w:val="Titull-Titull"/>
    <w:basedOn w:val="Paragrafi"/>
    <w:qFormat/>
    <w:rsid w:val="00ED3CAA"/>
    <w:pPr>
      <w:ind w:firstLine="0"/>
      <w:jc w:val="center"/>
    </w:pPr>
    <w:rPr>
      <w:caps/>
      <w:szCs w:val="24"/>
    </w:rPr>
  </w:style>
  <w:style w:type="paragraph" w:customStyle="1" w:styleId="Vendosi">
    <w:name w:val="Vendosi"/>
    <w:basedOn w:val="Titull-Titull"/>
    <w:qFormat/>
    <w:rsid w:val="00ED3CAA"/>
  </w:style>
  <w:style w:type="paragraph" w:customStyle="1" w:styleId="Hapesira7">
    <w:name w:val="Hapesira 7"/>
    <w:basedOn w:val="Paragrafi"/>
    <w:qFormat/>
    <w:rsid w:val="008C01FC"/>
    <w:rPr>
      <w:sz w:val="14"/>
      <w:szCs w:val="24"/>
    </w:rPr>
  </w:style>
  <w:style w:type="character" w:customStyle="1" w:styleId="Heading1Char">
    <w:name w:val="Heading 1 Char"/>
    <w:aliases w:val="Heading 1 Char1 Char1,Heading 1 Char1 Char Char,Heading 1 Char Char Char Char,Kreu Char,Heading 1. Char,Article Heading Char"/>
    <w:basedOn w:val="DefaultParagraphFont"/>
    <w:link w:val="Heading1"/>
    <w:uiPriority w:val="99"/>
    <w:rsid w:val="00333FAB"/>
    <w:rPr>
      <w:rFonts w:ascii="Arial" w:eastAsia="MS Mincho" w:hAnsi="Arial" w:cs="Arial"/>
      <w:b/>
      <w:bCs/>
      <w:kern w:val="32"/>
      <w:sz w:val="32"/>
      <w:szCs w:val="32"/>
    </w:rPr>
  </w:style>
  <w:style w:type="character" w:customStyle="1" w:styleId="Heading2Char">
    <w:name w:val="Heading 2 Char"/>
    <w:aliases w:val="Pika Char"/>
    <w:basedOn w:val="DefaultParagraphFont"/>
    <w:uiPriority w:val="99"/>
    <w:rsid w:val="00333F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Germa Char"/>
    <w:basedOn w:val="DefaultParagraphFont"/>
    <w:uiPriority w:val="99"/>
    <w:rsid w:val="00333F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333FAB"/>
    <w:rPr>
      <w:rFonts w:ascii="Cambria" w:eastAsia="MS Mincho" w:hAnsi="Cambria" w:cs="Cambria"/>
      <w:b/>
      <w:bCs/>
      <w:i/>
      <w:iCs/>
      <w:sz w:val="24"/>
      <w:szCs w:val="24"/>
    </w:rPr>
  </w:style>
  <w:style w:type="character" w:customStyle="1" w:styleId="Heading5Char">
    <w:name w:val="Heading 5 Char"/>
    <w:basedOn w:val="DefaultParagraphFont"/>
    <w:link w:val="Heading5"/>
    <w:uiPriority w:val="99"/>
    <w:rsid w:val="00333FAB"/>
    <w:rPr>
      <w:rFonts w:ascii="Cambria" w:eastAsia="MS Mincho" w:hAnsi="Cambria" w:cs="Cambria"/>
      <w:b/>
      <w:bCs/>
      <w:color w:val="7F7F7F"/>
      <w:sz w:val="24"/>
      <w:szCs w:val="24"/>
    </w:rPr>
  </w:style>
  <w:style w:type="character" w:customStyle="1" w:styleId="Heading6Char">
    <w:name w:val="Heading 6 Char"/>
    <w:basedOn w:val="DefaultParagraphFont"/>
    <w:link w:val="Heading6"/>
    <w:uiPriority w:val="99"/>
    <w:rsid w:val="00333FAB"/>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9"/>
    <w:rsid w:val="00333FAB"/>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9"/>
    <w:rsid w:val="00333FAB"/>
    <w:rPr>
      <w:rFonts w:ascii="Cambria" w:eastAsia="MS Mincho" w:hAnsi="Cambria" w:cs="Cambria"/>
      <w:sz w:val="20"/>
      <w:szCs w:val="20"/>
    </w:rPr>
  </w:style>
  <w:style w:type="character" w:customStyle="1" w:styleId="Heading9Char">
    <w:name w:val="Heading 9 Char"/>
    <w:basedOn w:val="DefaultParagraphFont"/>
    <w:link w:val="Heading9"/>
    <w:uiPriority w:val="99"/>
    <w:rsid w:val="00333FAB"/>
    <w:rPr>
      <w:rFonts w:ascii="Cambria" w:eastAsia="MS Mincho" w:hAnsi="Cambria" w:cs="Cambria"/>
      <w:i/>
      <w:iCs/>
      <w:spacing w:val="5"/>
      <w:sz w:val="20"/>
      <w:szCs w:val="20"/>
    </w:rPr>
  </w:style>
  <w:style w:type="paragraph" w:styleId="ListParagraph">
    <w:name w:val="List Paragraph"/>
    <w:aliases w:val="List Paragraph2,List Paragraph (numbered (a)),Normal 1,List Paragraph 1,Akapit z listą BS,Bullets,Bullet1"/>
    <w:basedOn w:val="Normal"/>
    <w:link w:val="ListParagraphChar"/>
    <w:uiPriority w:val="99"/>
    <w:qFormat/>
    <w:rsid w:val="00333FAB"/>
    <w:pPr>
      <w:ind w:left="720" w:firstLine="0"/>
      <w:contextualSpacing/>
      <w:jc w:val="left"/>
    </w:pPr>
    <w:rPr>
      <w:rFonts w:eastAsia="Times New Roman"/>
    </w:rPr>
  </w:style>
  <w:style w:type="character" w:customStyle="1" w:styleId="ListParagraphChar">
    <w:name w:val="List Paragraph Char"/>
    <w:aliases w:val="List Paragraph2 Char,List Paragraph (numbered (a)) Char,Normal 1 Char,List Paragraph 1 Char,Akapit z listą BS Char,Bullets Char,Bullet1 Char"/>
    <w:link w:val="ListParagraph"/>
    <w:uiPriority w:val="34"/>
    <w:locked/>
    <w:rsid w:val="00333FAB"/>
    <w:rPr>
      <w:rFonts w:ascii="Calibri" w:eastAsia="Times New Roman" w:hAnsi="Calibri" w:cs="Times New Roman"/>
    </w:rPr>
  </w:style>
  <w:style w:type="paragraph" w:customStyle="1" w:styleId="Style1">
    <w:name w:val="Style1"/>
    <w:basedOn w:val="Akti"/>
    <w:link w:val="Style1Char"/>
    <w:qFormat/>
    <w:rsid w:val="00333FAB"/>
    <w:rPr>
      <w:rFonts w:ascii="CG Times" w:hAnsi="CG Times"/>
      <w:sz w:val="21"/>
    </w:rPr>
  </w:style>
  <w:style w:type="character" w:customStyle="1" w:styleId="Heading2Char1">
    <w:name w:val="Heading 2 Char1"/>
    <w:aliases w:val="Section Heading 2 Char,Section Heading Char"/>
    <w:link w:val="Heading2"/>
    <w:locked/>
    <w:rsid w:val="00333FAB"/>
    <w:rPr>
      <w:rFonts w:ascii="Cambria" w:eastAsia="MS Mincho" w:hAnsi="Cambria" w:cs="Cambria"/>
      <w:b/>
      <w:bCs/>
      <w:sz w:val="26"/>
      <w:szCs w:val="26"/>
    </w:rPr>
  </w:style>
  <w:style w:type="character" w:customStyle="1" w:styleId="Heading3Char1">
    <w:name w:val="Heading 3 Char1"/>
    <w:aliases w:val="Germa Char1"/>
    <w:link w:val="Heading3"/>
    <w:locked/>
    <w:rsid w:val="00333FAB"/>
    <w:rPr>
      <w:rFonts w:ascii="Cambria" w:eastAsia="MS Mincho" w:hAnsi="Cambria" w:cs="Cambria"/>
      <w:b/>
      <w:bCs/>
      <w:sz w:val="24"/>
      <w:szCs w:val="24"/>
    </w:rPr>
  </w:style>
  <w:style w:type="paragraph" w:customStyle="1" w:styleId="ADDRESS">
    <w:name w:val="ADDRESS"/>
    <w:basedOn w:val="Normal"/>
    <w:rsid w:val="00333FAB"/>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333FAB"/>
    <w:pPr>
      <w:spacing w:after="0" w:line="240" w:lineRule="auto"/>
      <w:jc w:val="both"/>
    </w:pPr>
    <w:rPr>
      <w:rFonts w:ascii="CG Times" w:eastAsia="MS Mincho" w:hAnsi="CG Times" w:cs="CG Times"/>
      <w:sz w:val="21"/>
      <w:lang w:val="en-GB"/>
    </w:rPr>
  </w:style>
  <w:style w:type="paragraph" w:customStyle="1" w:styleId="AneksiNr">
    <w:name w:val="Aneksi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333FAB"/>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uiPriority w:val="99"/>
    <w:qFormat/>
    <w:rsid w:val="00333FAB"/>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333FAB"/>
    <w:rPr>
      <w:rFonts w:ascii="Arial" w:eastAsia="Times New Roman" w:hAnsi="Arial" w:cs="Arial"/>
      <w:color w:val="000000"/>
      <w:sz w:val="24"/>
      <w:szCs w:val="24"/>
    </w:rPr>
  </w:style>
  <w:style w:type="paragraph" w:customStyle="1" w:styleId="BazLigjPropozues">
    <w:name w:val="Baz_Ligj_Propozues"/>
    <w:rsid w:val="00333FAB"/>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99"/>
    <w:qFormat/>
    <w:rsid w:val="00333FAB"/>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uiPriority w:val="99"/>
    <w:rsid w:val="00333FAB"/>
    <w:rPr>
      <w:rFonts w:ascii="Times New Roman" w:eastAsia="Times New Roman" w:hAnsi="Times New Roman" w:cs="Times New Roman"/>
      <w:caps/>
      <w:sz w:val="26"/>
      <w:szCs w:val="26"/>
      <w:lang w:val="en-GB"/>
    </w:rPr>
  </w:style>
  <w:style w:type="character" w:customStyle="1" w:styleId="apple-converted-space">
    <w:name w:val="apple-converted-space"/>
    <w:rsid w:val="00333FAB"/>
  </w:style>
  <w:style w:type="character" w:styleId="FollowedHyperlink">
    <w:name w:val="FollowedHyperlink"/>
    <w:uiPriority w:val="99"/>
    <w:unhideWhenUsed/>
    <w:rsid w:val="00333FAB"/>
    <w:rPr>
      <w:color w:val="800080"/>
      <w:u w:val="single"/>
    </w:rPr>
  </w:style>
  <w:style w:type="paragraph" w:customStyle="1" w:styleId="font5">
    <w:name w:val="font5"/>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333FAB"/>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333FAB"/>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333FAB"/>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333FAB"/>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333FAB"/>
    <w:pPr>
      <w:pageBreakBefore/>
      <w:spacing w:after="0" w:line="240" w:lineRule="auto"/>
      <w:jc w:val="both"/>
    </w:pPr>
    <w:rPr>
      <w:rFonts w:ascii="CG Times" w:eastAsia="MS Mincho" w:hAnsi="CG Times" w:cs="CG Times"/>
      <w:b/>
      <w:bCs/>
      <w:sz w:val="21"/>
    </w:rPr>
  </w:style>
  <w:style w:type="paragraph" w:customStyle="1" w:styleId="KapitulliNr">
    <w:name w:val="Kap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333FAB"/>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333FAB"/>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333FAB"/>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333FAB"/>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333FAB"/>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333FAB"/>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333FAB"/>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333FAB"/>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333FAB"/>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333FAB"/>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333FAB"/>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333FAB"/>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333FAB"/>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333FAB"/>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333FAB"/>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333FAB"/>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333FAB"/>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333FAB"/>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333FAB"/>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333FAB"/>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333FAB"/>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333FAB"/>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333FAB"/>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333FAB"/>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333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333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333FAB"/>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333FA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uiPriority w:val="59"/>
    <w:rsid w:val="00333FAB"/>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uiPriority w:val="99"/>
    <w:qFormat/>
    <w:rsid w:val="00333FAB"/>
    <w:rPr>
      <w:b/>
      <w:bCs/>
    </w:rPr>
  </w:style>
  <w:style w:type="paragraph" w:customStyle="1" w:styleId="xl136">
    <w:name w:val="xl13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333FAB"/>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333FAB"/>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styleId="NormalWeb">
    <w:name w:val="Normal (Web)"/>
    <w:aliases w:val="Normal (Web) Char,Normal (Web) Char Char Char Char,Normal (Web) Char Char Char Char Char Char"/>
    <w:basedOn w:val="Normal"/>
    <w:uiPriority w:val="99"/>
    <w:unhideWhenUsed/>
    <w:qFormat/>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link w:val="DefaultChar"/>
    <w:rsid w:val="00333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333FAB"/>
  </w:style>
  <w:style w:type="paragraph" w:styleId="Title">
    <w:name w:val="Title"/>
    <w:basedOn w:val="Heading1"/>
    <w:next w:val="Normal"/>
    <w:link w:val="TitleChar"/>
    <w:uiPriority w:val="99"/>
    <w:qFormat/>
    <w:rsid w:val="00333FAB"/>
    <w:pPr>
      <w:keepNext w:val="0"/>
      <w:pBdr>
        <w:bottom w:val="single" w:sz="4" w:space="1" w:color="auto"/>
      </w:pBdr>
      <w:spacing w:after="0"/>
      <w:ind w:firstLine="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99"/>
    <w:rsid w:val="00333FAB"/>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333FAB"/>
    <w:pPr>
      <w:spacing w:after="120"/>
      <w:ind w:left="360"/>
    </w:pPr>
  </w:style>
  <w:style w:type="character" w:customStyle="1" w:styleId="BodyTextIndentChar">
    <w:name w:val="Body Text Indent Char"/>
    <w:basedOn w:val="DefaultParagraphFont"/>
    <w:link w:val="BodyTextIndent"/>
    <w:uiPriority w:val="99"/>
    <w:rsid w:val="00333FAB"/>
    <w:rPr>
      <w:rFonts w:ascii="Calibri" w:eastAsia="Calibri" w:hAnsi="Calibri" w:cs="Times New Roman"/>
    </w:rPr>
  </w:style>
  <w:style w:type="paragraph" w:customStyle="1" w:styleId="numridata0">
    <w:name w:val="numridata"/>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333FAB"/>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uiPriority w:val="99"/>
    <w:rsid w:val="00333FAB"/>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33FAB"/>
    <w:rPr>
      <w:rFonts w:ascii="Times New Roman" w:eastAsia="Times New Roman" w:hAnsi="Times New Roman" w:cs="Times New Roman"/>
      <w:sz w:val="16"/>
      <w:szCs w:val="16"/>
    </w:rPr>
  </w:style>
  <w:style w:type="paragraph" w:customStyle="1" w:styleId="s32b251d">
    <w:name w:val="s32b251d"/>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333FAB"/>
  </w:style>
  <w:style w:type="paragraph" w:customStyle="1" w:styleId="s30eec3f8">
    <w:name w:val="s30eec3f8"/>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333FAB"/>
    <w:rPr>
      <w:sz w:val="24"/>
      <w:lang w:val="en-GB" w:eastAsia="fr-FR"/>
    </w:rPr>
  </w:style>
  <w:style w:type="paragraph" w:customStyle="1" w:styleId="JuPara">
    <w:name w:val="Ju_Para"/>
    <w:aliases w:val="Left,First line:  0 cm,ECHR_Para,Para"/>
    <w:basedOn w:val="Normal"/>
    <w:link w:val="JuParaCar"/>
    <w:uiPriority w:val="12"/>
    <w:qFormat/>
    <w:rsid w:val="00333FAB"/>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rsid w:val="00333FAB"/>
    <w:pPr>
      <w:spacing w:after="120" w:line="360" w:lineRule="auto"/>
      <w:jc w:val="both"/>
    </w:pPr>
    <w:rPr>
      <w:rFonts w:ascii="Calibri" w:eastAsia="MS Mincho" w:hAnsi="Calibri" w:cs="Times New Roman"/>
      <w:bCs/>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qFormat/>
    <w:rsid w:val="00333FAB"/>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333FAB"/>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
    <w:link w:val="Char2"/>
    <w:uiPriority w:val="99"/>
    <w:qFormat/>
    <w:rsid w:val="00333FAB"/>
    <w:rPr>
      <w:vertAlign w:val="superscript"/>
    </w:rPr>
  </w:style>
  <w:style w:type="paragraph" w:customStyle="1" w:styleId="ju-005fpara">
    <w:name w:val="ju-005fpara"/>
    <w:basedOn w:val="Normal"/>
    <w:rsid w:val="00333FAB"/>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333FAB"/>
  </w:style>
  <w:style w:type="character" w:customStyle="1" w:styleId="s7d2086b4">
    <w:name w:val="s7d2086b4"/>
    <w:basedOn w:val="DefaultParagraphFont"/>
    <w:uiPriority w:val="99"/>
    <w:rsid w:val="00333FAB"/>
  </w:style>
  <w:style w:type="character" w:customStyle="1" w:styleId="hps">
    <w:name w:val="hps"/>
    <w:basedOn w:val="DefaultParagraphFont"/>
    <w:rsid w:val="00333FAB"/>
  </w:style>
  <w:style w:type="paragraph" w:customStyle="1" w:styleId="paragrafi0">
    <w:name w:val="paragraf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333FAB"/>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333FAB"/>
    <w:rPr>
      <w:rFonts w:cs="Times New Roman"/>
    </w:rPr>
  </w:style>
  <w:style w:type="paragraph" w:customStyle="1" w:styleId="titulli0">
    <w:name w:val="titull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333FAB"/>
  </w:style>
  <w:style w:type="paragraph" w:customStyle="1" w:styleId="akti0">
    <w:name w:val="ak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uiPriority w:val="99"/>
    <w:rsid w:val="00333FAB"/>
  </w:style>
  <w:style w:type="paragraph" w:customStyle="1" w:styleId="CM49">
    <w:name w:val="CM49"/>
    <w:basedOn w:val="Normal"/>
    <w:next w:val="Normal"/>
    <w:rsid w:val="00333FAB"/>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333FAB"/>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333FAB"/>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333FAB"/>
    <w:pPr>
      <w:widowControl w:val="0"/>
    </w:pPr>
    <w:rPr>
      <w:rFonts w:ascii="Helvetica" w:eastAsia="Times New Roman" w:hAnsi="Helvetica" w:cs="Helvetica"/>
      <w:lang w:val="sq-AL"/>
    </w:rPr>
  </w:style>
  <w:style w:type="paragraph" w:customStyle="1" w:styleId="CM57">
    <w:name w:val="CM57"/>
    <w:basedOn w:val="Normal"/>
    <w:next w:val="Normal"/>
    <w:rsid w:val="00333FAB"/>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333FAB"/>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333FAB"/>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rsid w:val="00333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rsid w:val="00333FAB"/>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333FAB"/>
  </w:style>
  <w:style w:type="character" w:customStyle="1" w:styleId="StyleHeading6BoldChar">
    <w:name w:val="Style Heading 6 + Bold Char"/>
    <w:link w:val="StyleHeading6Bold"/>
    <w:rsid w:val="00333FAB"/>
    <w:rPr>
      <w:rFonts w:ascii="Cambria" w:eastAsia="MS Mincho" w:hAnsi="Cambria" w:cs="Cambria"/>
      <w:b/>
      <w:bCs/>
      <w:i/>
      <w:iCs/>
      <w:color w:val="7F7F7F"/>
      <w:sz w:val="24"/>
      <w:szCs w:val="24"/>
    </w:rPr>
  </w:style>
  <w:style w:type="paragraph" w:customStyle="1" w:styleId="tableheaders">
    <w:name w:val="table headers"/>
    <w:rsid w:val="00333FAB"/>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333FAB"/>
    <w:rPr>
      <w:b w:val="0"/>
    </w:rPr>
  </w:style>
  <w:style w:type="paragraph" w:styleId="PlainText">
    <w:name w:val="Plain Text"/>
    <w:basedOn w:val="Normal"/>
    <w:link w:val="PlainTextChar"/>
    <w:uiPriority w:val="99"/>
    <w:unhideWhenUsed/>
    <w:rsid w:val="00333FAB"/>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uiPriority w:val="99"/>
    <w:rsid w:val="00333FAB"/>
    <w:rPr>
      <w:rFonts w:ascii="Consolas" w:eastAsia="Calibri" w:hAnsi="Consolas" w:cs="Times New Roman"/>
      <w:sz w:val="21"/>
      <w:szCs w:val="21"/>
      <w:lang w:val="sq-AL"/>
    </w:rPr>
  </w:style>
  <w:style w:type="paragraph" w:customStyle="1" w:styleId="StyleStyle1Bold">
    <w:name w:val="Style Style1 + Bold"/>
    <w:basedOn w:val="Style1"/>
    <w:rsid w:val="00333FAB"/>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rsid w:val="00333FAB"/>
    <w:rPr>
      <w:rFonts w:ascii="EUAlbertina" w:hAnsi="EUAlbertina"/>
      <w:color w:val="auto"/>
    </w:rPr>
  </w:style>
  <w:style w:type="paragraph" w:customStyle="1" w:styleId="CM4">
    <w:name w:val="CM4"/>
    <w:basedOn w:val="Normal"/>
    <w:next w:val="Normal"/>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333FAB"/>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333FAB"/>
    <w:rPr>
      <w:rFonts w:ascii="Tahoma" w:eastAsia="Times New Roman" w:hAnsi="Tahoma" w:cs="Times New Roman"/>
      <w:sz w:val="16"/>
      <w:szCs w:val="16"/>
      <w:lang w:val="sq-AL"/>
    </w:rPr>
  </w:style>
  <w:style w:type="numbering" w:customStyle="1" w:styleId="NoList3">
    <w:name w:val="No List3"/>
    <w:next w:val="NoList"/>
    <w:semiHidden/>
    <w:rsid w:val="00333FAB"/>
  </w:style>
  <w:style w:type="numbering" w:customStyle="1" w:styleId="NoList4">
    <w:name w:val="No List4"/>
    <w:next w:val="NoList"/>
    <w:semiHidden/>
    <w:rsid w:val="00333FAB"/>
  </w:style>
  <w:style w:type="paragraph" w:customStyle="1" w:styleId="Point1">
    <w:name w:val="Point 1"/>
    <w:basedOn w:val="Normal"/>
    <w:link w:val="Point1Char"/>
    <w:rsid w:val="00333FAB"/>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333FAB"/>
    <w:rPr>
      <w:rFonts w:ascii="Calibri" w:eastAsia="Times New Roman" w:hAnsi="Calibri" w:cs="Times New Roman"/>
      <w:sz w:val="24"/>
      <w:szCs w:val="24"/>
      <w:lang w:val="en-GB" w:eastAsia="en-GB"/>
    </w:rPr>
  </w:style>
  <w:style w:type="character" w:customStyle="1" w:styleId="longtext">
    <w:name w:val="long_text"/>
    <w:rsid w:val="00333FAB"/>
    <w:rPr>
      <w:rFonts w:ascii="Comic Sans MS" w:hAnsi="Comic Sans MS"/>
      <w:b/>
      <w:sz w:val="96"/>
      <w:szCs w:val="24"/>
      <w:lang w:val="pl-PL" w:eastAsia="pl-PL" w:bidi="ar-SA"/>
    </w:rPr>
  </w:style>
  <w:style w:type="paragraph" w:customStyle="1" w:styleId="Text1">
    <w:name w:val="Text 1"/>
    <w:basedOn w:val="Normal"/>
    <w:link w:val="Text1Char"/>
    <w:rsid w:val="00333FAB"/>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333FAB"/>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333FAB"/>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333FAB"/>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SubsectionTitleCharChar">
    <w:name w:val="SubsectionTitle Char Char"/>
    <w:basedOn w:val="SectionTitleCharChar"/>
    <w:link w:val="SubsectionTitleCharCharChar"/>
    <w:rsid w:val="00333FAB"/>
  </w:style>
  <w:style w:type="character" w:customStyle="1" w:styleId="SectionTitleCharCharChar">
    <w:name w:val="SectionTitle Char Char Char"/>
    <w:link w:val="SectionTitleCharChar"/>
    <w:rsid w:val="00333FAB"/>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333FAB"/>
    <w:rPr>
      <w:rFonts w:ascii="Calibri" w:eastAsia="Times New Roman" w:hAnsi="Calibri" w:cs="Times New Roman"/>
      <w:b/>
      <w:bCs/>
      <w:smallCaps/>
      <w:sz w:val="28"/>
      <w:szCs w:val="28"/>
      <w:lang w:val="en-GB" w:eastAsia="en-GB"/>
    </w:rPr>
  </w:style>
  <w:style w:type="character" w:customStyle="1" w:styleId="Text1Char">
    <w:name w:val="Text 1 Char"/>
    <w:link w:val="Text1"/>
    <w:rsid w:val="00333FAB"/>
    <w:rPr>
      <w:rFonts w:ascii="Calibri" w:eastAsia="Times New Roman" w:hAnsi="Calibri" w:cs="Times New Roman"/>
      <w:sz w:val="24"/>
      <w:szCs w:val="24"/>
      <w:lang w:val="en-GB" w:eastAsia="en-GB"/>
    </w:rPr>
  </w:style>
  <w:style w:type="character" w:customStyle="1" w:styleId="Point1CharChar">
    <w:name w:val="Point 1 Char Char"/>
    <w:rsid w:val="00333FAB"/>
    <w:rPr>
      <w:sz w:val="24"/>
      <w:szCs w:val="24"/>
      <w:lang w:val="en-GB" w:eastAsia="en-GB" w:bidi="ar-SA"/>
    </w:rPr>
  </w:style>
  <w:style w:type="paragraph" w:customStyle="1" w:styleId="Point0">
    <w:name w:val="Point 0"/>
    <w:basedOn w:val="Normal"/>
    <w:rsid w:val="00333FAB"/>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link w:val="NumPar1Char"/>
    <w:rsid w:val="00333FAB"/>
    <w:pPr>
      <w:numPr>
        <w:numId w:val="2"/>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333FAB"/>
    <w:pPr>
      <w:numPr>
        <w:ilvl w:val="1"/>
        <w:numId w:val="2"/>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333FAB"/>
    <w:pPr>
      <w:numPr>
        <w:ilvl w:val="2"/>
        <w:numId w:val="2"/>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333FAB"/>
    <w:pPr>
      <w:numPr>
        <w:ilvl w:val="3"/>
        <w:numId w:val="2"/>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333FAB"/>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333FAB"/>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333FAB"/>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333FAB"/>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rsid w:val="00333FAB"/>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333FAB"/>
  </w:style>
  <w:style w:type="paragraph" w:styleId="TableofFigures">
    <w:name w:val="table of figures"/>
    <w:basedOn w:val="Normal"/>
    <w:next w:val="Normal"/>
    <w:uiPriority w:val="99"/>
    <w:rsid w:val="00333FAB"/>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uiPriority w:val="99"/>
    <w:rsid w:val="00333FAB"/>
    <w:pPr>
      <w:numPr>
        <w:numId w:val="3"/>
      </w:numPr>
      <w:spacing w:after="0" w:line="360" w:lineRule="auto"/>
      <w:jc w:val="left"/>
    </w:pPr>
    <w:rPr>
      <w:rFonts w:ascii="Tahoma" w:eastAsia="Times New Roman" w:hAnsi="Tahoma"/>
      <w:lang w:val="de-AT" w:eastAsia="de-DE"/>
    </w:rPr>
  </w:style>
  <w:style w:type="paragraph" w:styleId="ListBullet2">
    <w:name w:val="List Bullet 2"/>
    <w:basedOn w:val="Normal"/>
    <w:uiPriority w:val="99"/>
    <w:rsid w:val="00333FAB"/>
    <w:pPr>
      <w:numPr>
        <w:numId w:val="4"/>
      </w:numPr>
      <w:spacing w:after="0" w:line="360" w:lineRule="auto"/>
      <w:jc w:val="left"/>
    </w:pPr>
    <w:rPr>
      <w:rFonts w:ascii="Tahoma" w:eastAsia="Times New Roman" w:hAnsi="Tahoma"/>
      <w:lang w:val="de-AT" w:eastAsia="de-DE"/>
    </w:rPr>
  </w:style>
  <w:style w:type="paragraph" w:styleId="ListBullet3">
    <w:name w:val="List Bullet 3"/>
    <w:basedOn w:val="Normal"/>
    <w:uiPriority w:val="99"/>
    <w:rsid w:val="00333FAB"/>
    <w:pPr>
      <w:numPr>
        <w:numId w:val="5"/>
      </w:numPr>
      <w:spacing w:after="0" w:line="360" w:lineRule="auto"/>
      <w:jc w:val="left"/>
    </w:pPr>
    <w:rPr>
      <w:rFonts w:ascii="Tahoma" w:eastAsia="Times New Roman" w:hAnsi="Tahoma"/>
      <w:lang w:val="de-AT" w:eastAsia="de-DE"/>
    </w:rPr>
  </w:style>
  <w:style w:type="paragraph" w:styleId="ListBullet4">
    <w:name w:val="List Bullet 4"/>
    <w:basedOn w:val="Normal"/>
    <w:uiPriority w:val="99"/>
    <w:rsid w:val="00333FAB"/>
    <w:pPr>
      <w:numPr>
        <w:numId w:val="6"/>
      </w:numPr>
      <w:spacing w:after="0" w:line="360" w:lineRule="auto"/>
      <w:jc w:val="left"/>
    </w:pPr>
    <w:rPr>
      <w:rFonts w:ascii="Tahoma" w:eastAsia="Times New Roman" w:hAnsi="Tahoma"/>
      <w:lang w:val="de-AT" w:eastAsia="de-DE"/>
    </w:rPr>
  </w:style>
  <w:style w:type="paragraph" w:styleId="ListBullet5">
    <w:name w:val="List Bullet 5"/>
    <w:basedOn w:val="Normal"/>
    <w:uiPriority w:val="99"/>
    <w:rsid w:val="00333FAB"/>
    <w:pPr>
      <w:numPr>
        <w:numId w:val="7"/>
      </w:numPr>
      <w:spacing w:after="0" w:line="360" w:lineRule="auto"/>
      <w:jc w:val="left"/>
    </w:pPr>
    <w:rPr>
      <w:rFonts w:ascii="Tahoma" w:eastAsia="Times New Roman" w:hAnsi="Tahoma"/>
      <w:lang w:val="de-AT" w:eastAsia="de-DE"/>
    </w:rPr>
  </w:style>
  <w:style w:type="paragraph" w:styleId="Caption">
    <w:name w:val="caption"/>
    <w:basedOn w:val="Normal"/>
    <w:next w:val="Normal"/>
    <w:uiPriority w:val="99"/>
    <w:qFormat/>
    <w:rsid w:val="00333FAB"/>
    <w:pPr>
      <w:keepNext/>
      <w:keepLines/>
      <w:spacing w:after="0" w:line="360" w:lineRule="auto"/>
      <w:ind w:firstLine="0"/>
      <w:jc w:val="left"/>
    </w:pPr>
    <w:rPr>
      <w:rFonts w:ascii="Tahoma" w:eastAsia="Times New Roman" w:hAnsi="Tahoma"/>
      <w:sz w:val="16"/>
      <w:lang w:val="de-AT" w:eastAsia="de-DE"/>
    </w:rPr>
  </w:style>
  <w:style w:type="paragraph" w:styleId="Index6">
    <w:name w:val="index 6"/>
    <w:basedOn w:val="Normal"/>
    <w:next w:val="Normal"/>
    <w:autoRedefine/>
    <w:uiPriority w:val="99"/>
    <w:semiHidden/>
    <w:rsid w:val="00333FAB"/>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uiPriority w:val="99"/>
    <w:semiHidden/>
    <w:rsid w:val="00333FAB"/>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uiPriority w:val="99"/>
    <w:semiHidden/>
    <w:rsid w:val="00333FAB"/>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uiPriority w:val="99"/>
    <w:semiHidden/>
    <w:rsid w:val="00333FAB"/>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Normal"/>
    <w:uiPriority w:val="99"/>
    <w:semiHidden/>
    <w:rsid w:val="00333FAB"/>
    <w:pPr>
      <w:spacing w:after="0" w:line="360" w:lineRule="auto"/>
      <w:ind w:firstLine="0"/>
      <w:jc w:val="left"/>
    </w:pPr>
    <w:rPr>
      <w:rFonts w:ascii="Tahoma" w:eastAsia="Times New Roman" w:hAnsi="Tahoma"/>
      <w:lang w:val="de-AT" w:eastAsia="de-DE"/>
    </w:rPr>
  </w:style>
  <w:style w:type="paragraph" w:styleId="List">
    <w:name w:val="List"/>
    <w:basedOn w:val="Normal"/>
    <w:uiPriority w:val="99"/>
    <w:rsid w:val="00333FAB"/>
    <w:pPr>
      <w:spacing w:after="0" w:line="360" w:lineRule="auto"/>
      <w:ind w:left="454" w:hanging="454"/>
      <w:jc w:val="left"/>
    </w:pPr>
    <w:rPr>
      <w:rFonts w:ascii="Tahoma" w:eastAsia="Times New Roman" w:hAnsi="Tahoma"/>
      <w:lang w:val="de-AT" w:eastAsia="de-DE"/>
    </w:rPr>
  </w:style>
  <w:style w:type="paragraph" w:styleId="List2">
    <w:name w:val="List 2"/>
    <w:basedOn w:val="Normal"/>
    <w:uiPriority w:val="99"/>
    <w:rsid w:val="00333FAB"/>
    <w:pPr>
      <w:spacing w:after="0" w:line="360" w:lineRule="auto"/>
      <w:ind w:left="681" w:hanging="454"/>
      <w:jc w:val="left"/>
    </w:pPr>
    <w:rPr>
      <w:rFonts w:ascii="Tahoma" w:eastAsia="Times New Roman" w:hAnsi="Tahoma"/>
      <w:lang w:val="de-AT" w:eastAsia="de-DE"/>
    </w:rPr>
  </w:style>
  <w:style w:type="paragraph" w:styleId="List3">
    <w:name w:val="List 3"/>
    <w:basedOn w:val="Normal"/>
    <w:uiPriority w:val="99"/>
    <w:rsid w:val="00333FAB"/>
    <w:pPr>
      <w:spacing w:after="0" w:line="360" w:lineRule="auto"/>
      <w:ind w:left="908" w:hanging="454"/>
      <w:jc w:val="left"/>
    </w:pPr>
    <w:rPr>
      <w:rFonts w:ascii="Tahoma" w:eastAsia="Times New Roman" w:hAnsi="Tahoma"/>
      <w:lang w:val="de-AT" w:eastAsia="de-DE"/>
    </w:rPr>
  </w:style>
  <w:style w:type="paragraph" w:styleId="List4">
    <w:name w:val="List 4"/>
    <w:basedOn w:val="Normal"/>
    <w:uiPriority w:val="99"/>
    <w:rsid w:val="00333FAB"/>
    <w:pPr>
      <w:spacing w:after="0" w:line="360" w:lineRule="auto"/>
      <w:ind w:left="1134" w:hanging="454"/>
      <w:jc w:val="left"/>
    </w:pPr>
    <w:rPr>
      <w:rFonts w:ascii="Tahoma" w:eastAsia="Times New Roman" w:hAnsi="Tahoma"/>
      <w:lang w:val="de-AT" w:eastAsia="de-DE"/>
    </w:rPr>
  </w:style>
  <w:style w:type="paragraph" w:styleId="List5">
    <w:name w:val="List 5"/>
    <w:basedOn w:val="Normal"/>
    <w:uiPriority w:val="99"/>
    <w:rsid w:val="00333FAB"/>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uiPriority w:val="99"/>
    <w:rsid w:val="00333FAB"/>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uiPriority w:val="99"/>
    <w:rsid w:val="00333FAB"/>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uiPriority w:val="99"/>
    <w:rsid w:val="00333FAB"/>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uiPriority w:val="99"/>
    <w:rsid w:val="00333FAB"/>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uiPriority w:val="99"/>
    <w:rsid w:val="00333FAB"/>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rsid w:val="00333FAB"/>
    <w:pPr>
      <w:numPr>
        <w:numId w:val="8"/>
      </w:numPr>
      <w:spacing w:after="0" w:line="360" w:lineRule="auto"/>
      <w:jc w:val="left"/>
    </w:pPr>
    <w:rPr>
      <w:rFonts w:ascii="Tahoma" w:eastAsia="Times New Roman" w:hAnsi="Tahoma"/>
      <w:lang w:val="de-AT" w:eastAsia="de-DE"/>
    </w:rPr>
  </w:style>
  <w:style w:type="paragraph" w:styleId="ListNumber2">
    <w:name w:val="List Number 2"/>
    <w:basedOn w:val="Normal"/>
    <w:uiPriority w:val="99"/>
    <w:rsid w:val="00333FAB"/>
    <w:pPr>
      <w:numPr>
        <w:numId w:val="9"/>
      </w:numPr>
      <w:spacing w:after="0" w:line="360" w:lineRule="auto"/>
      <w:jc w:val="left"/>
    </w:pPr>
    <w:rPr>
      <w:rFonts w:ascii="Tahoma" w:eastAsia="Times New Roman" w:hAnsi="Tahoma"/>
      <w:lang w:val="de-AT" w:eastAsia="de-DE"/>
    </w:rPr>
  </w:style>
  <w:style w:type="paragraph" w:styleId="ListNumber3">
    <w:name w:val="List Number 3"/>
    <w:basedOn w:val="Normal"/>
    <w:uiPriority w:val="99"/>
    <w:rsid w:val="00333FAB"/>
    <w:pPr>
      <w:numPr>
        <w:numId w:val="10"/>
      </w:numPr>
      <w:spacing w:after="0" w:line="360" w:lineRule="auto"/>
      <w:jc w:val="left"/>
    </w:pPr>
    <w:rPr>
      <w:rFonts w:ascii="Tahoma" w:eastAsia="Times New Roman" w:hAnsi="Tahoma"/>
      <w:lang w:val="de-AT" w:eastAsia="de-DE"/>
    </w:rPr>
  </w:style>
  <w:style w:type="character" w:styleId="CommentReference">
    <w:name w:val="annotation reference"/>
    <w:uiPriority w:val="99"/>
    <w:unhideWhenUsed/>
    <w:rsid w:val="00333FAB"/>
    <w:rPr>
      <w:sz w:val="16"/>
      <w:szCs w:val="16"/>
    </w:rPr>
  </w:style>
  <w:style w:type="paragraph" w:styleId="CommentText">
    <w:name w:val="annotation text"/>
    <w:aliases w:val=" Char"/>
    <w:basedOn w:val="Normal"/>
    <w:link w:val="CommentTextChar"/>
    <w:unhideWhenUsed/>
    <w:rsid w:val="00333FAB"/>
    <w:rPr>
      <w:rFonts w:eastAsia="MS Mincho"/>
      <w:sz w:val="20"/>
      <w:szCs w:val="20"/>
      <w:lang w:val="sq-AL"/>
    </w:rPr>
  </w:style>
  <w:style w:type="character" w:customStyle="1" w:styleId="CommentTextChar">
    <w:name w:val="Comment Text Char"/>
    <w:aliases w:val=" Char Char1"/>
    <w:basedOn w:val="DefaultParagraphFont"/>
    <w:link w:val="CommentText"/>
    <w:rsid w:val="00333FAB"/>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333FAB"/>
    <w:rPr>
      <w:b/>
      <w:bCs/>
    </w:rPr>
  </w:style>
  <w:style w:type="character" w:customStyle="1" w:styleId="CommentSubjectChar">
    <w:name w:val="Comment Subject Char"/>
    <w:basedOn w:val="CommentTextChar"/>
    <w:link w:val="CommentSubject"/>
    <w:uiPriority w:val="99"/>
    <w:rsid w:val="00333FAB"/>
    <w:rPr>
      <w:rFonts w:ascii="Calibri" w:eastAsia="MS Mincho" w:hAnsi="Calibri" w:cs="Times New Roman"/>
      <w:b/>
      <w:bCs/>
      <w:sz w:val="20"/>
      <w:szCs w:val="20"/>
      <w:lang w:val="sq-AL"/>
    </w:rPr>
  </w:style>
  <w:style w:type="paragraph" w:styleId="ListNumber4">
    <w:name w:val="List Number 4"/>
    <w:basedOn w:val="Normal"/>
    <w:uiPriority w:val="99"/>
    <w:rsid w:val="00333FAB"/>
    <w:pPr>
      <w:numPr>
        <w:numId w:val="11"/>
      </w:numPr>
      <w:spacing w:after="0" w:line="360" w:lineRule="auto"/>
      <w:jc w:val="left"/>
    </w:pPr>
    <w:rPr>
      <w:rFonts w:ascii="Tahoma" w:eastAsia="Times New Roman" w:hAnsi="Tahoma"/>
      <w:lang w:val="de-AT" w:eastAsia="de-DE"/>
    </w:rPr>
  </w:style>
  <w:style w:type="paragraph" w:styleId="ListNumber5">
    <w:name w:val="List Number 5"/>
    <w:basedOn w:val="Normal"/>
    <w:uiPriority w:val="99"/>
    <w:rsid w:val="00333FAB"/>
    <w:pPr>
      <w:numPr>
        <w:numId w:val="12"/>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333FAB"/>
  </w:style>
  <w:style w:type="paragraph" w:styleId="MacroText">
    <w:name w:val="macro"/>
    <w:link w:val="MacroTextChar"/>
    <w:uiPriority w:val="99"/>
    <w:semiHidden/>
    <w:rsid w:val="00333F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uiPriority w:val="99"/>
    <w:semiHidden/>
    <w:rsid w:val="00333FAB"/>
    <w:rPr>
      <w:rFonts w:ascii="Courier New" w:eastAsia="Times New Roman" w:hAnsi="Courier New" w:cs="Times New Roman"/>
      <w:lang w:val="de-DE" w:eastAsia="de-DE"/>
    </w:rPr>
  </w:style>
  <w:style w:type="paragraph" w:styleId="NormalIndent">
    <w:name w:val="Normal Indent"/>
    <w:basedOn w:val="Normal"/>
    <w:link w:val="NormalIndentChar"/>
    <w:uiPriority w:val="99"/>
    <w:rsid w:val="00333FAB"/>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uiPriority w:val="99"/>
    <w:rsid w:val="00333FAB"/>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uiPriority w:val="99"/>
    <w:rsid w:val="00333FAB"/>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uiPriority w:val="99"/>
    <w:rsid w:val="00333FAB"/>
    <w:rPr>
      <w:rFonts w:ascii="Tahoma" w:hAnsi="Tahoma"/>
      <w:sz w:val="22"/>
    </w:rPr>
  </w:style>
  <w:style w:type="paragraph" w:styleId="BlockText">
    <w:name w:val="Block Text"/>
    <w:basedOn w:val="Normal"/>
    <w:uiPriority w:val="99"/>
    <w:rsid w:val="00333FAB"/>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uiPriority w:val="99"/>
    <w:rsid w:val="00333FAB"/>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uiPriority w:val="99"/>
    <w:semiHidden/>
    <w:rsid w:val="00333FAB"/>
    <w:rPr>
      <w:rFonts w:ascii="Tahoma" w:eastAsia="Times New Roman" w:hAnsi="Tahoma" w:cs="Times New Roman"/>
      <w:lang w:val="de-AT" w:eastAsia="de-DE"/>
    </w:rPr>
  </w:style>
  <w:style w:type="character" w:customStyle="1" w:styleId="Emphasis1">
    <w:name w:val="Emphasis1"/>
    <w:semiHidden/>
    <w:rsid w:val="00333FAB"/>
  </w:style>
  <w:style w:type="paragraph" w:styleId="NoteHeading">
    <w:name w:val="Note Heading"/>
    <w:basedOn w:val="Normal"/>
    <w:next w:val="Normal"/>
    <w:link w:val="NoteHeadingChar"/>
    <w:uiPriority w:val="99"/>
    <w:rsid w:val="00333FAB"/>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uiPriority w:val="99"/>
    <w:rsid w:val="00333FAB"/>
    <w:rPr>
      <w:rFonts w:ascii="Tahoma" w:eastAsia="Times New Roman" w:hAnsi="Tahoma" w:cs="Times New Roman"/>
      <w:lang w:val="de-AT" w:eastAsia="de-DE"/>
    </w:rPr>
  </w:style>
  <w:style w:type="paragraph" w:styleId="MessageHeader">
    <w:name w:val="Message Header"/>
    <w:basedOn w:val="Normal"/>
    <w:link w:val="MessageHeaderChar"/>
    <w:uiPriority w:val="99"/>
    <w:rsid w:val="00333FAB"/>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uiPriority w:val="99"/>
    <w:rsid w:val="00333FAB"/>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333FAB"/>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333FAB"/>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333FAB"/>
    <w:rPr>
      <w:rFonts w:ascii="Tahoma" w:eastAsia="Times New Roman" w:hAnsi="Tahoma" w:cs="Times New Roman"/>
      <w:sz w:val="20"/>
      <w:szCs w:val="20"/>
    </w:rPr>
  </w:style>
  <w:style w:type="character" w:styleId="EndnoteReference">
    <w:name w:val="endnote reference"/>
    <w:uiPriority w:val="99"/>
    <w:semiHidden/>
    <w:unhideWhenUsed/>
    <w:rsid w:val="00333FAB"/>
    <w:rPr>
      <w:vertAlign w:val="superscript"/>
    </w:rPr>
  </w:style>
  <w:style w:type="paragraph" w:styleId="BodyTextFirstIndent2">
    <w:name w:val="Body Text First Indent 2"/>
    <w:basedOn w:val="BodyTextIndent"/>
    <w:link w:val="BodyTextFirstIndent2Char"/>
    <w:uiPriority w:val="99"/>
    <w:semiHidden/>
    <w:rsid w:val="00333FAB"/>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uiPriority w:val="99"/>
    <w:semiHidden/>
    <w:rsid w:val="00333FAB"/>
    <w:rPr>
      <w:rFonts w:ascii="Tahoma" w:eastAsia="Times New Roman" w:hAnsi="Tahoma" w:cs="Times New Roman"/>
      <w:lang w:val="de-AT" w:eastAsia="de-DE"/>
    </w:rPr>
  </w:style>
  <w:style w:type="paragraph" w:customStyle="1" w:styleId="Zusatz2">
    <w:name w:val="Zusatz 2"/>
    <w:basedOn w:val="Normal"/>
    <w:next w:val="Normal"/>
    <w:semiHidden/>
    <w:rsid w:val="00333FAB"/>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333FAB"/>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uiPriority w:val="99"/>
    <w:semiHidden/>
    <w:rsid w:val="00333FAB"/>
    <w:pPr>
      <w:numPr>
        <w:numId w:val="13"/>
      </w:numPr>
    </w:pPr>
  </w:style>
  <w:style w:type="paragraph" w:styleId="Salutation">
    <w:name w:val="Salutation"/>
    <w:basedOn w:val="Normal"/>
    <w:next w:val="Normal"/>
    <w:link w:val="SalutationChar"/>
    <w:uiPriority w:val="99"/>
    <w:semiHidden/>
    <w:rsid w:val="00333FAB"/>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uiPriority w:val="99"/>
    <w:semiHidden/>
    <w:rsid w:val="00333FAB"/>
    <w:rPr>
      <w:rFonts w:ascii="Tahoma" w:eastAsia="Times New Roman" w:hAnsi="Tahoma" w:cs="Times New Roman"/>
      <w:lang w:val="de-AT" w:eastAsia="de-DE"/>
    </w:rPr>
  </w:style>
  <w:style w:type="numbering" w:styleId="ArticleSection">
    <w:name w:val="Outline List 3"/>
    <w:basedOn w:val="NoList"/>
    <w:uiPriority w:val="99"/>
    <w:semiHidden/>
    <w:rsid w:val="00333FAB"/>
    <w:pPr>
      <w:numPr>
        <w:numId w:val="14"/>
      </w:numPr>
    </w:pPr>
  </w:style>
  <w:style w:type="paragraph" w:styleId="Closing">
    <w:name w:val="Closing"/>
    <w:basedOn w:val="Normal"/>
    <w:link w:val="ClosingChar"/>
    <w:uiPriority w:val="99"/>
    <w:semiHidden/>
    <w:rsid w:val="00333FAB"/>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uiPriority w:val="99"/>
    <w:semiHidden/>
    <w:rsid w:val="00333FAB"/>
    <w:rPr>
      <w:rFonts w:ascii="Tahoma" w:eastAsia="Times New Roman" w:hAnsi="Tahoma" w:cs="Times New Roman"/>
      <w:lang w:val="de-AT" w:eastAsia="de-DE"/>
    </w:rPr>
  </w:style>
  <w:style w:type="character" w:styleId="Emphasis">
    <w:name w:val="Emphasis"/>
    <w:uiPriority w:val="99"/>
    <w:qFormat/>
    <w:rsid w:val="00333FAB"/>
    <w:rPr>
      <w:i/>
      <w:iCs/>
    </w:rPr>
  </w:style>
  <w:style w:type="paragraph" w:styleId="HTMLAddress">
    <w:name w:val="HTML Address"/>
    <w:basedOn w:val="Normal"/>
    <w:link w:val="HTMLAddressChar"/>
    <w:uiPriority w:val="99"/>
    <w:semiHidden/>
    <w:rsid w:val="00333FAB"/>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uiPriority w:val="99"/>
    <w:semiHidden/>
    <w:rsid w:val="00333FAB"/>
    <w:rPr>
      <w:rFonts w:ascii="Tahoma" w:eastAsia="Times New Roman" w:hAnsi="Tahoma" w:cs="Times New Roman"/>
      <w:i/>
      <w:iCs/>
      <w:lang w:val="de-AT" w:eastAsia="de-DE"/>
    </w:rPr>
  </w:style>
  <w:style w:type="character" w:styleId="HTMLCode">
    <w:name w:val="HTML Code"/>
    <w:uiPriority w:val="99"/>
    <w:semiHidden/>
    <w:rsid w:val="00333FAB"/>
    <w:rPr>
      <w:rFonts w:ascii="Courier New" w:hAnsi="Courier New" w:cs="Courier New"/>
      <w:sz w:val="20"/>
      <w:szCs w:val="20"/>
    </w:rPr>
  </w:style>
  <w:style w:type="character" w:styleId="HTMLCite">
    <w:name w:val="HTML Cite"/>
    <w:uiPriority w:val="99"/>
    <w:semiHidden/>
    <w:rsid w:val="00333FAB"/>
    <w:rPr>
      <w:i/>
      <w:iCs/>
    </w:rPr>
  </w:style>
  <w:style w:type="table" w:styleId="Table3Deffects1">
    <w:name w:val="Table 3D effects 1"/>
    <w:basedOn w:val="TableNormal"/>
    <w:uiPriority w:val="99"/>
    <w:semiHidden/>
    <w:rsid w:val="00333FAB"/>
    <w:pPr>
      <w:spacing w:after="0" w:line="360" w:lineRule="auto"/>
    </w:pPr>
    <w:rPr>
      <w:rFonts w:ascii="Tahoma" w:eastAsia="Times New Roman" w:hAnsi="Tahom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33FAB"/>
    <w:pPr>
      <w:spacing w:after="0" w:line="36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33FAB"/>
    <w:pPr>
      <w:spacing w:after="0" w:line="36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333FAB"/>
    <w:pPr>
      <w:spacing w:after="0" w:line="240" w:lineRule="auto"/>
      <w:ind w:firstLine="284"/>
      <w:jc w:val="both"/>
    </w:pPr>
    <w:rPr>
      <w:rFonts w:ascii="Calibri" w:eastAsia="Calibri" w:hAnsi="Calibri" w:cs="Times New Roman"/>
    </w:rPr>
  </w:style>
  <w:style w:type="table" w:styleId="TableList1">
    <w:name w:val="Table List 1"/>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333FAB"/>
    <w:pPr>
      <w:spacing w:after="0" w:line="36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333FAB"/>
    <w:pPr>
      <w:spacing w:after="0" w:line="36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33FAB"/>
    <w:pPr>
      <w:spacing w:after="0" w:line="36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33FAB"/>
    <w:pPr>
      <w:spacing w:after="0" w:line="36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33FAB"/>
    <w:pPr>
      <w:spacing w:after="0" w:line="36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333FAB"/>
    <w:pPr>
      <w:spacing w:after="0" w:line="360" w:lineRule="auto"/>
    </w:pPr>
    <w:rPr>
      <w:rFonts w:ascii="Tahoma" w:eastAsia="Times New Roman"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semiHidden/>
    <w:rsid w:val="00333FAB"/>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uiPriority w:val="99"/>
    <w:semiHidden/>
    <w:rsid w:val="00333FAB"/>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uiPriority w:val="99"/>
    <w:semiHidden/>
    <w:rsid w:val="00333FAB"/>
    <w:rPr>
      <w:rFonts w:ascii="Tahoma" w:eastAsia="Times New Roman" w:hAnsi="Tahoma" w:cs="Times New Roman"/>
      <w:lang w:val="de-AT" w:eastAsia="de-DE"/>
    </w:rPr>
  </w:style>
  <w:style w:type="paragraph" w:styleId="E-mailSignature">
    <w:name w:val="E-mail Signature"/>
    <w:basedOn w:val="Normal"/>
    <w:link w:val="E-mailSignatureChar"/>
    <w:uiPriority w:val="99"/>
    <w:rsid w:val="00333FAB"/>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uiPriority w:val="99"/>
    <w:rsid w:val="00333FAB"/>
    <w:rPr>
      <w:rFonts w:ascii="Tahoma" w:eastAsia="Times New Roman" w:hAnsi="Tahoma" w:cs="Times New Roman"/>
      <w:lang w:val="de-AT" w:eastAsia="de-DE"/>
    </w:rPr>
  </w:style>
  <w:style w:type="paragraph" w:styleId="BodyText2">
    <w:name w:val="Body Text 2"/>
    <w:basedOn w:val="Normal"/>
    <w:link w:val="BodyText2Char"/>
    <w:uiPriority w:val="99"/>
    <w:rsid w:val="00333FAB"/>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uiPriority w:val="99"/>
    <w:rsid w:val="00333FAB"/>
    <w:rPr>
      <w:rFonts w:ascii="Tahoma" w:eastAsia="Times New Roman" w:hAnsi="Tahoma" w:cs="Times New Roman"/>
      <w:lang w:val="de-AT" w:eastAsia="de-DE"/>
    </w:rPr>
  </w:style>
  <w:style w:type="paragraph" w:styleId="BodyTextIndent2">
    <w:name w:val="Body Text Indent 2"/>
    <w:basedOn w:val="Normal"/>
    <w:link w:val="BodyTextIndent2Char"/>
    <w:uiPriority w:val="99"/>
    <w:rsid w:val="00333FAB"/>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uiPriority w:val="99"/>
    <w:rsid w:val="00333FAB"/>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333FAB"/>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333FAB"/>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uiPriority w:val="99"/>
    <w:semiHidden/>
    <w:rsid w:val="00333FAB"/>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uiPriority w:val="99"/>
    <w:semiHidden/>
    <w:rsid w:val="00333FAB"/>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333FAB"/>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333FAB"/>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333FAB"/>
    <w:rPr>
      <w:rFonts w:ascii="CG Times" w:eastAsia="Times New Roman" w:hAnsi="CG Times" w:cs="Times New Roman"/>
      <w:b/>
      <w:szCs w:val="24"/>
    </w:rPr>
  </w:style>
  <w:style w:type="character" w:customStyle="1" w:styleId="SubtitleChar1">
    <w:name w:val="Subtitle Char1"/>
    <w:locked/>
    <w:rsid w:val="00333FAB"/>
    <w:rPr>
      <w:rFonts w:ascii="Cambria" w:hAnsi="Cambria"/>
      <w:sz w:val="24"/>
      <w:szCs w:val="24"/>
    </w:rPr>
  </w:style>
  <w:style w:type="paragraph" w:customStyle="1" w:styleId="Char1">
    <w:name w:val="Char1"/>
    <w:basedOn w:val="Normal"/>
    <w:rsid w:val="00333FAB"/>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333FAB"/>
    <w:rPr>
      <w:rFonts w:ascii="Tahoma" w:hAnsi="Tahoma" w:cs="Tahoma"/>
      <w:i/>
      <w:iCs/>
      <w:sz w:val="22"/>
      <w:szCs w:val="22"/>
      <w:lang w:val="de-AT" w:eastAsia="de-DE" w:bidi="ar-SA"/>
    </w:rPr>
  </w:style>
  <w:style w:type="character" w:customStyle="1" w:styleId="CharChar36">
    <w:name w:val="Char Char36"/>
    <w:locked/>
    <w:rsid w:val="00333FAB"/>
    <w:rPr>
      <w:rFonts w:ascii="Arial" w:hAnsi="Arial" w:cs="Arial"/>
      <w:b/>
      <w:bCs/>
      <w:kern w:val="32"/>
      <w:sz w:val="32"/>
      <w:szCs w:val="32"/>
      <w:lang w:val="sq-AL" w:eastAsia="en-US" w:bidi="ar-SA"/>
    </w:rPr>
  </w:style>
  <w:style w:type="character" w:customStyle="1" w:styleId="CharChar35">
    <w:name w:val="Char Char35"/>
    <w:locked/>
    <w:rsid w:val="00333FAB"/>
    <w:rPr>
      <w:rFonts w:ascii="Arial" w:hAnsi="Arial" w:cs="Arial"/>
      <w:b/>
      <w:bCs/>
      <w:i/>
      <w:iCs/>
      <w:sz w:val="28"/>
      <w:szCs w:val="28"/>
      <w:lang w:val="sq-AL" w:eastAsia="en-US" w:bidi="ar-SA"/>
    </w:rPr>
  </w:style>
  <w:style w:type="character" w:customStyle="1" w:styleId="CharChar34">
    <w:name w:val="Char Char34"/>
    <w:locked/>
    <w:rsid w:val="00333FAB"/>
    <w:rPr>
      <w:rFonts w:ascii="Tahoma" w:hAnsi="Tahoma"/>
      <w:b/>
      <w:kern w:val="28"/>
      <w:sz w:val="24"/>
      <w:szCs w:val="28"/>
      <w:lang w:val="de-AT" w:eastAsia="de-DE" w:bidi="ar-SA"/>
    </w:rPr>
  </w:style>
  <w:style w:type="character" w:customStyle="1" w:styleId="CharChar33">
    <w:name w:val="Char Char33"/>
    <w:locked/>
    <w:rsid w:val="00333FAB"/>
    <w:rPr>
      <w:rFonts w:ascii="Tahoma" w:hAnsi="Tahoma"/>
      <w:b/>
      <w:i/>
      <w:kern w:val="28"/>
      <w:sz w:val="22"/>
      <w:szCs w:val="22"/>
      <w:lang w:val="de-AT" w:eastAsia="de-DE" w:bidi="ar-SA"/>
    </w:rPr>
  </w:style>
  <w:style w:type="character" w:customStyle="1" w:styleId="CharChar32">
    <w:name w:val="Char Char32"/>
    <w:locked/>
    <w:rsid w:val="00333FAB"/>
    <w:rPr>
      <w:rFonts w:ascii="Tahoma" w:hAnsi="Tahoma"/>
      <w:b/>
      <w:i/>
      <w:kern w:val="28"/>
      <w:sz w:val="22"/>
      <w:szCs w:val="22"/>
      <w:lang w:val="de-AT" w:eastAsia="de-DE" w:bidi="ar-SA"/>
    </w:rPr>
  </w:style>
  <w:style w:type="character" w:customStyle="1" w:styleId="CharChar31">
    <w:name w:val="Char Char31"/>
    <w:locked/>
    <w:rsid w:val="00333FAB"/>
    <w:rPr>
      <w:rFonts w:ascii="Tahoma" w:hAnsi="Tahoma"/>
      <w:b/>
      <w:i/>
      <w:kern w:val="28"/>
      <w:sz w:val="22"/>
      <w:szCs w:val="22"/>
      <w:lang w:val="de-AT" w:eastAsia="de-DE" w:bidi="ar-SA"/>
    </w:rPr>
  </w:style>
  <w:style w:type="character" w:customStyle="1" w:styleId="CharChar10">
    <w:name w:val="Char Char10"/>
    <w:semiHidden/>
    <w:locked/>
    <w:rsid w:val="00333FAB"/>
    <w:rPr>
      <w:rFonts w:ascii="Courier New" w:hAnsi="Courier New" w:cs="Courier New"/>
      <w:szCs w:val="22"/>
      <w:lang w:val="de-AT" w:eastAsia="de-DE" w:bidi="ar-SA"/>
    </w:rPr>
  </w:style>
  <w:style w:type="character" w:customStyle="1" w:styleId="CharChar30">
    <w:name w:val="Char Char30"/>
    <w:locked/>
    <w:rsid w:val="00333FAB"/>
    <w:rPr>
      <w:rFonts w:ascii="Tahoma" w:hAnsi="Tahoma"/>
      <w:b/>
      <w:i/>
      <w:kern w:val="28"/>
      <w:sz w:val="22"/>
      <w:szCs w:val="22"/>
      <w:lang w:val="de-AT" w:eastAsia="de-DE" w:bidi="ar-SA"/>
    </w:rPr>
  </w:style>
  <w:style w:type="character" w:customStyle="1" w:styleId="CharChar29">
    <w:name w:val="Char Char29"/>
    <w:locked/>
    <w:rsid w:val="00333FAB"/>
    <w:rPr>
      <w:rFonts w:ascii="Tahoma" w:hAnsi="Tahoma"/>
      <w:b/>
      <w:i/>
      <w:kern w:val="28"/>
      <w:sz w:val="22"/>
      <w:szCs w:val="22"/>
      <w:lang w:val="de-AT" w:eastAsia="de-DE" w:bidi="ar-SA"/>
    </w:rPr>
  </w:style>
  <w:style w:type="character" w:customStyle="1" w:styleId="CharChar28">
    <w:name w:val="Char Char28"/>
    <w:locked/>
    <w:rsid w:val="00333FAB"/>
    <w:rPr>
      <w:rFonts w:ascii="Tahoma" w:hAnsi="Tahoma"/>
      <w:b/>
      <w:i/>
      <w:kern w:val="28"/>
      <w:sz w:val="22"/>
      <w:szCs w:val="22"/>
      <w:lang w:val="de-AT" w:eastAsia="de-DE" w:bidi="ar-SA"/>
    </w:rPr>
  </w:style>
  <w:style w:type="character" w:customStyle="1" w:styleId="CharChar27">
    <w:name w:val="Char Char27"/>
    <w:locked/>
    <w:rsid w:val="00333FAB"/>
    <w:rPr>
      <w:rFonts w:ascii="Calibri" w:eastAsia="Calibri" w:hAnsi="Calibri"/>
      <w:lang w:val="sq-AL" w:eastAsia="en-US" w:bidi="ar-SA"/>
    </w:rPr>
  </w:style>
  <w:style w:type="character" w:customStyle="1" w:styleId="CharChar24">
    <w:name w:val="Char Char24"/>
    <w:locked/>
    <w:rsid w:val="00333FAB"/>
    <w:rPr>
      <w:rFonts w:ascii="Tahoma" w:hAnsi="Tahoma" w:cs="Tahoma"/>
      <w:sz w:val="22"/>
      <w:szCs w:val="22"/>
      <w:lang w:val="de-AT" w:eastAsia="de-DE" w:bidi="ar-SA"/>
    </w:rPr>
  </w:style>
  <w:style w:type="character" w:customStyle="1" w:styleId="CharChar23">
    <w:name w:val="Char Char23"/>
    <w:locked/>
    <w:rsid w:val="00333FAB"/>
    <w:rPr>
      <w:rFonts w:ascii="Tahoma" w:hAnsi="Tahoma" w:cs="Tahoma"/>
      <w:sz w:val="22"/>
      <w:szCs w:val="22"/>
      <w:lang w:val="de-AT" w:eastAsia="de-DE" w:bidi="ar-SA"/>
    </w:rPr>
  </w:style>
  <w:style w:type="character" w:customStyle="1" w:styleId="CharCharCharChar0">
    <w:name w:val="Char Char Char Char"/>
    <w:locked/>
    <w:rsid w:val="00333FAB"/>
    <w:rPr>
      <w:rFonts w:ascii="Calibri" w:eastAsia="Calibri" w:hAnsi="Calibri"/>
      <w:lang w:val="sq-AL" w:eastAsia="en-US" w:bidi="ar-SA"/>
    </w:rPr>
  </w:style>
  <w:style w:type="character" w:customStyle="1" w:styleId="CharChar22">
    <w:name w:val="Char Char22"/>
    <w:semiHidden/>
    <w:locked/>
    <w:rsid w:val="00333FAB"/>
    <w:rPr>
      <w:rFonts w:ascii="Courier New" w:hAnsi="Courier New" w:cs="Courier New"/>
      <w:sz w:val="22"/>
      <w:szCs w:val="22"/>
      <w:lang w:val="de-DE" w:eastAsia="de-DE" w:bidi="ar-SA"/>
    </w:rPr>
  </w:style>
  <w:style w:type="character" w:customStyle="1" w:styleId="CharChar21">
    <w:name w:val="Char Char21"/>
    <w:locked/>
    <w:rsid w:val="00333FAB"/>
    <w:rPr>
      <w:rFonts w:ascii="Tahoma" w:hAnsi="Tahoma" w:cs="Tahoma"/>
      <w:b/>
      <w:kern w:val="28"/>
      <w:sz w:val="36"/>
      <w:szCs w:val="36"/>
      <w:lang w:val="de-AT" w:eastAsia="de-DE" w:bidi="ar-SA"/>
    </w:rPr>
  </w:style>
  <w:style w:type="character" w:customStyle="1" w:styleId="CharChar12">
    <w:name w:val="Char Char12"/>
    <w:semiHidden/>
    <w:locked/>
    <w:rsid w:val="00333FAB"/>
    <w:rPr>
      <w:rFonts w:ascii="Tahoma" w:hAnsi="Tahoma" w:cs="Tahoma"/>
      <w:sz w:val="22"/>
      <w:szCs w:val="22"/>
      <w:lang w:val="de-AT" w:eastAsia="de-DE" w:bidi="ar-SA"/>
    </w:rPr>
  </w:style>
  <w:style w:type="character" w:customStyle="1" w:styleId="CharChar9">
    <w:name w:val="Char Char9"/>
    <w:semiHidden/>
    <w:locked/>
    <w:rsid w:val="00333FAB"/>
    <w:rPr>
      <w:rFonts w:ascii="Tahoma" w:hAnsi="Tahoma" w:cs="Tahoma"/>
      <w:sz w:val="22"/>
      <w:szCs w:val="22"/>
      <w:lang w:val="de-AT" w:eastAsia="de-DE" w:bidi="ar-SA"/>
    </w:rPr>
  </w:style>
  <w:style w:type="character" w:customStyle="1" w:styleId="CharChar25">
    <w:name w:val="Char Char25"/>
    <w:semiHidden/>
    <w:locked/>
    <w:rsid w:val="00333FAB"/>
    <w:rPr>
      <w:rFonts w:ascii="Tahoma" w:hAnsi="Tahoma" w:cs="Tahoma"/>
      <w:sz w:val="22"/>
      <w:szCs w:val="22"/>
      <w:lang w:val="de-AT" w:eastAsia="de-DE" w:bidi="ar-SA"/>
    </w:rPr>
  </w:style>
  <w:style w:type="character" w:customStyle="1" w:styleId="CharChar15">
    <w:name w:val="Char Char15"/>
    <w:semiHidden/>
    <w:locked/>
    <w:rsid w:val="00333FAB"/>
    <w:rPr>
      <w:rFonts w:ascii="Tahoma" w:hAnsi="Tahoma" w:cs="Tahoma"/>
      <w:sz w:val="22"/>
      <w:szCs w:val="22"/>
      <w:lang w:val="de-AT" w:eastAsia="de-DE" w:bidi="ar-SA"/>
    </w:rPr>
  </w:style>
  <w:style w:type="character" w:customStyle="1" w:styleId="CharChar16">
    <w:name w:val="Char Char16"/>
    <w:semiHidden/>
    <w:locked/>
    <w:rsid w:val="00333FAB"/>
    <w:rPr>
      <w:rFonts w:ascii="Tahoma" w:hAnsi="Tahoma" w:cs="Arial"/>
      <w:sz w:val="24"/>
      <w:szCs w:val="24"/>
      <w:lang w:val="de-AT" w:eastAsia="de-DE" w:bidi="ar-SA"/>
    </w:rPr>
  </w:style>
  <w:style w:type="character" w:customStyle="1" w:styleId="CharChar20">
    <w:name w:val="Char Char20"/>
    <w:locked/>
    <w:rsid w:val="00333FAB"/>
    <w:rPr>
      <w:rFonts w:ascii="Tahoma" w:hAnsi="Tahoma" w:cs="Tahoma"/>
      <w:b/>
      <w:kern w:val="28"/>
      <w:sz w:val="32"/>
      <w:szCs w:val="36"/>
      <w:lang w:val="de-AT" w:eastAsia="de-DE" w:bidi="ar-SA"/>
    </w:rPr>
  </w:style>
  <w:style w:type="character" w:customStyle="1" w:styleId="CharChar13">
    <w:name w:val="Char Char13"/>
    <w:semiHidden/>
    <w:locked/>
    <w:rsid w:val="00333FAB"/>
    <w:rPr>
      <w:rFonts w:ascii="Tahoma" w:hAnsi="Tahoma" w:cs="Tahoma"/>
      <w:sz w:val="22"/>
      <w:szCs w:val="22"/>
      <w:lang w:val="de-AT" w:eastAsia="de-DE" w:bidi="ar-SA"/>
    </w:rPr>
  </w:style>
  <w:style w:type="character" w:customStyle="1" w:styleId="CharChar19">
    <w:name w:val="Char Char19"/>
    <w:semiHidden/>
    <w:locked/>
    <w:rsid w:val="00333FAB"/>
    <w:rPr>
      <w:rFonts w:ascii="Tahoma" w:hAnsi="Tahoma" w:cs="Tahoma"/>
      <w:sz w:val="22"/>
      <w:szCs w:val="22"/>
      <w:lang w:val="de-AT" w:eastAsia="de-DE" w:bidi="ar-SA"/>
    </w:rPr>
  </w:style>
  <w:style w:type="character" w:customStyle="1" w:styleId="CharChar3">
    <w:name w:val="Char Char3"/>
    <w:semiHidden/>
    <w:locked/>
    <w:rsid w:val="00333FAB"/>
  </w:style>
  <w:style w:type="character" w:customStyle="1" w:styleId="CharChar14">
    <w:name w:val="Char Char14"/>
    <w:semiHidden/>
    <w:locked/>
    <w:rsid w:val="00333FAB"/>
  </w:style>
  <w:style w:type="character" w:customStyle="1" w:styleId="CharChar17">
    <w:name w:val="Char Char17"/>
    <w:locked/>
    <w:rsid w:val="00333FAB"/>
    <w:rPr>
      <w:rFonts w:ascii="Tahoma" w:hAnsi="Tahoma" w:cs="Tahoma"/>
      <w:sz w:val="22"/>
      <w:szCs w:val="22"/>
      <w:lang w:val="de-AT" w:eastAsia="de-DE" w:bidi="ar-SA"/>
    </w:rPr>
  </w:style>
  <w:style w:type="character" w:customStyle="1" w:styleId="CharChar7">
    <w:name w:val="Char Char7"/>
    <w:semiHidden/>
    <w:locked/>
    <w:rsid w:val="00333FAB"/>
    <w:rPr>
      <w:rFonts w:ascii="Tahoma" w:hAnsi="Tahoma" w:cs="Tahoma"/>
      <w:sz w:val="22"/>
      <w:szCs w:val="22"/>
      <w:lang w:val="de-AT" w:eastAsia="de-DE" w:bidi="ar-SA"/>
    </w:rPr>
  </w:style>
  <w:style w:type="character" w:customStyle="1" w:styleId="CharChar6">
    <w:name w:val="Char Char6"/>
    <w:semiHidden/>
    <w:locked/>
    <w:rsid w:val="00333FAB"/>
    <w:rPr>
      <w:rFonts w:ascii="Tahoma" w:hAnsi="Tahoma" w:cs="Tahoma"/>
      <w:sz w:val="16"/>
      <w:szCs w:val="16"/>
      <w:lang w:val="de-AT" w:eastAsia="de-DE" w:bidi="ar-SA"/>
    </w:rPr>
  </w:style>
  <w:style w:type="character" w:customStyle="1" w:styleId="CharChar5">
    <w:name w:val="Char Char5"/>
    <w:semiHidden/>
    <w:locked/>
    <w:rsid w:val="00333FAB"/>
    <w:rPr>
      <w:rFonts w:ascii="Tahoma" w:hAnsi="Tahoma" w:cs="Tahoma"/>
      <w:sz w:val="22"/>
      <w:szCs w:val="22"/>
      <w:lang w:val="de-AT" w:eastAsia="de-DE" w:bidi="ar-SA"/>
    </w:rPr>
  </w:style>
  <w:style w:type="character" w:customStyle="1" w:styleId="CharChar4">
    <w:name w:val="Char Char4"/>
    <w:semiHidden/>
    <w:locked/>
    <w:rsid w:val="00333FAB"/>
    <w:rPr>
      <w:rFonts w:ascii="Tahoma" w:hAnsi="Tahoma" w:cs="Tahoma"/>
      <w:sz w:val="16"/>
      <w:szCs w:val="16"/>
      <w:lang w:val="de-AT" w:eastAsia="de-DE" w:bidi="ar-SA"/>
    </w:rPr>
  </w:style>
  <w:style w:type="character" w:customStyle="1" w:styleId="CharChar18">
    <w:name w:val="Char Char18"/>
    <w:semiHidden/>
    <w:locked/>
    <w:rsid w:val="00333FAB"/>
    <w:rPr>
      <w:rFonts w:ascii="Tahoma" w:hAnsi="Tahoma" w:cs="Tahoma"/>
      <w:sz w:val="22"/>
      <w:szCs w:val="22"/>
      <w:lang w:val="de-AT" w:eastAsia="de-DE" w:bidi="ar-SA"/>
    </w:rPr>
  </w:style>
  <w:style w:type="character" w:customStyle="1" w:styleId="CharChar8">
    <w:name w:val="Char Char8"/>
    <w:locked/>
    <w:rsid w:val="00333FAB"/>
    <w:rPr>
      <w:rFonts w:ascii="Tahoma" w:hAnsi="Tahoma" w:cs="Tahoma"/>
      <w:sz w:val="22"/>
      <w:szCs w:val="22"/>
      <w:lang w:val="de-AT" w:eastAsia="de-DE" w:bidi="ar-SA"/>
    </w:rPr>
  </w:style>
  <w:style w:type="character" w:customStyle="1" w:styleId="CharChar2">
    <w:name w:val="Char Char2"/>
    <w:locked/>
    <w:rsid w:val="00333FAB"/>
    <w:rPr>
      <w:rFonts w:ascii="Calibri" w:eastAsia="Calibri" w:hAnsi="Calibri" w:cs="Times New Roman"/>
      <w:b/>
      <w:bCs/>
      <w:sz w:val="20"/>
      <w:szCs w:val="20"/>
      <w:lang w:val="sq-AL" w:eastAsia="en-US" w:bidi="ar-SA"/>
    </w:rPr>
  </w:style>
  <w:style w:type="character" w:customStyle="1" w:styleId="CharChar26">
    <w:name w:val="Char Char26"/>
    <w:semiHidden/>
    <w:locked/>
    <w:rsid w:val="00333FAB"/>
    <w:rPr>
      <w:rFonts w:ascii="Tahoma" w:hAnsi="Tahoma" w:cs="Tahoma"/>
      <w:sz w:val="16"/>
      <w:szCs w:val="16"/>
      <w:lang w:val="sq-AL" w:eastAsia="en-US" w:bidi="ar-SA"/>
    </w:rPr>
  </w:style>
  <w:style w:type="character" w:customStyle="1" w:styleId="CommentTextChar11">
    <w:name w:val="Comment Text Char11"/>
    <w:aliases w:val="Char Char37"/>
    <w:semiHidden/>
    <w:rsid w:val="00333FAB"/>
    <w:rPr>
      <w:rFonts w:ascii="Calibri" w:hAnsi="Calibri" w:hint="default"/>
      <w:lang w:val="sq-AL"/>
    </w:rPr>
  </w:style>
  <w:style w:type="character" w:customStyle="1" w:styleId="NormalIndentChar">
    <w:name w:val="Normal Indent Char"/>
    <w:link w:val="NormalIndent"/>
    <w:rsid w:val="00333FAB"/>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333FAB"/>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333FAB"/>
    <w:pPr>
      <w:tabs>
        <w:tab w:val="num" w:pos="360"/>
        <w:tab w:val="num" w:pos="1935"/>
        <w:tab w:val="num" w:pos="2563"/>
        <w:tab w:val="num" w:pos="3474"/>
      </w:tabs>
      <w:ind w:left="1935" w:hanging="360"/>
      <w:outlineLvl w:val="6"/>
    </w:pPr>
  </w:style>
  <w:style w:type="character" w:customStyle="1" w:styleId="AODefHeadChar">
    <w:name w:val="AODefHead Char"/>
    <w:link w:val="AODefHead"/>
    <w:rsid w:val="00333FAB"/>
    <w:rPr>
      <w:rFonts w:ascii="Times New Roman" w:eastAsia="Times New Roman" w:hAnsi="Times New Roman" w:cs="Times New Roman"/>
      <w:szCs w:val="20"/>
      <w:lang w:val="sq-AL" w:eastAsia="sq-AL" w:bidi="sq-AL"/>
    </w:rPr>
  </w:style>
  <w:style w:type="paragraph" w:customStyle="1" w:styleId="PARA">
    <w:name w:val="PARA"/>
    <w:basedOn w:val="Normal"/>
    <w:locked/>
    <w:rsid w:val="00333FAB"/>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333FAB"/>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333FAB"/>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333FAB"/>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333FAB"/>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333FAB"/>
    <w:rPr>
      <w:color w:val="0000FF"/>
      <w:spacing w:val="0"/>
      <w:u w:val="double"/>
    </w:rPr>
  </w:style>
  <w:style w:type="paragraph" w:customStyle="1" w:styleId="dia">
    <w:name w:val="di(a)"/>
    <w:basedOn w:val="Normal"/>
    <w:rsid w:val="00333FAB"/>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333FAB"/>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333FAB"/>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333FAB"/>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333FAB"/>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333F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semiHidden/>
    <w:rsid w:val="00333FAB"/>
    <w:rPr>
      <w:rFonts w:cs="Times New Roman"/>
      <w:color w:val="808080"/>
    </w:rPr>
  </w:style>
  <w:style w:type="character" w:customStyle="1" w:styleId="az12">
    <w:name w:val="az12"/>
    <w:uiPriority w:val="99"/>
    <w:rsid w:val="00333FAB"/>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333FAB"/>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ED1065"/>
    <w:rPr>
      <w:rFonts w:ascii="Calibri" w:eastAsia="Times New Roman" w:hAnsi="Calibri" w:cs="Times New Roman"/>
      <w:sz w:val="24"/>
      <w:szCs w:val="24"/>
      <w:lang w:val="en-GB" w:eastAsia="en-GB"/>
    </w:rPr>
  </w:style>
  <w:style w:type="paragraph" w:customStyle="1" w:styleId="Paragraf02">
    <w:name w:val="Paragraf 0.2"/>
    <w:basedOn w:val="Paragrafi"/>
    <w:qFormat/>
    <w:rsid w:val="00276956"/>
    <w:pPr>
      <w:tabs>
        <w:tab w:val="left" w:pos="6575"/>
      </w:tabs>
    </w:pPr>
    <w:rPr>
      <w:spacing w:val="-4"/>
    </w:rPr>
  </w:style>
  <w:style w:type="table" w:customStyle="1" w:styleId="TableGrid30">
    <w:name w:val="Table Grid3"/>
    <w:basedOn w:val="TableNormal"/>
    <w:next w:val="TableGrid"/>
    <w:uiPriority w:val="59"/>
    <w:rsid w:val="004D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C3B92"/>
  </w:style>
  <w:style w:type="character" w:styleId="BookTitle">
    <w:name w:val="Book Title"/>
    <w:uiPriority w:val="99"/>
    <w:qFormat/>
    <w:rsid w:val="00BC3B92"/>
    <w:rPr>
      <w:b/>
      <w:bCs/>
      <w:smallCaps/>
      <w:spacing w:val="5"/>
    </w:rPr>
  </w:style>
  <w:style w:type="paragraph" w:customStyle="1" w:styleId="Cover1">
    <w:name w:val="Cover1"/>
    <w:basedOn w:val="Normal"/>
    <w:next w:val="Normal"/>
    <w:rsid w:val="00DC652E"/>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DC652E"/>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DC652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DC652E"/>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DC652E"/>
    <w:rPr>
      <w:rFonts w:ascii="Times New Roman" w:eastAsia="Times New Roman" w:hAnsi="Times New Roman" w:cs="Times New Roman"/>
      <w:szCs w:val="20"/>
      <w:lang w:val="sq-AL"/>
    </w:rPr>
  </w:style>
  <w:style w:type="character" w:customStyle="1" w:styleId="Bodytext0">
    <w:name w:val="Body text_"/>
    <w:link w:val="BodyText1"/>
    <w:rsid w:val="00DC652E"/>
    <w:rPr>
      <w:rFonts w:ascii="Times New Roman" w:hAnsi="Times New Roman"/>
      <w:sz w:val="21"/>
      <w:szCs w:val="21"/>
      <w:shd w:val="clear" w:color="auto" w:fill="FFFFFF"/>
    </w:rPr>
  </w:style>
  <w:style w:type="paragraph" w:customStyle="1" w:styleId="BodyText1">
    <w:name w:val="Body Text1"/>
    <w:basedOn w:val="Normal"/>
    <w:link w:val="Bodytext0"/>
    <w:rsid w:val="00DC652E"/>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DC652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DC652E"/>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FA4CC2"/>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FA4CC2"/>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FA4CC2"/>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07FA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C3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C32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numbering" w:customStyle="1" w:styleId="NoList11">
    <w:name w:val="No List11"/>
    <w:next w:val="NoList"/>
    <w:uiPriority w:val="99"/>
    <w:semiHidden/>
    <w:unhideWhenUsed/>
    <w:rsid w:val="004917DE"/>
  </w:style>
  <w:style w:type="paragraph" w:customStyle="1" w:styleId="Char2">
    <w:name w:val="Char2"/>
    <w:basedOn w:val="Normal"/>
    <w:link w:val="FootnoteReference"/>
    <w:uiPriority w:val="99"/>
    <w:rsid w:val="004917DE"/>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rsid w:val="004917DE"/>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rsid w:val="00CE6942"/>
    <w:pPr>
      <w:keepNext/>
      <w:tabs>
        <w:tab w:val="clear" w:pos="720"/>
      </w:tabs>
      <w:spacing w:before="120"/>
      <w:ind w:left="81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CE6942"/>
    <w:rPr>
      <w:rFonts w:ascii="CG Times" w:eastAsia="MS Mincho" w:hAnsi="CG Times" w:cs="CG Times"/>
      <w:b/>
      <w:bCs/>
      <w:caps/>
      <w:color w:val="000000"/>
      <w:sz w:val="21"/>
      <w:lang w:val="en-GB"/>
    </w:rPr>
  </w:style>
  <w:style w:type="paragraph" w:customStyle="1" w:styleId="Style20">
    <w:name w:val="Style 2"/>
    <w:basedOn w:val="Normal"/>
    <w:uiPriority w:val="99"/>
    <w:qFormat/>
    <w:rsid w:val="00CE6942"/>
    <w:pPr>
      <w:spacing w:before="120"/>
      <w:ind w:firstLine="0"/>
      <w:outlineLvl w:val="0"/>
    </w:pPr>
    <w:rPr>
      <w:rFonts w:ascii="Garamond" w:hAnsi="Garamond"/>
      <w:b/>
      <w:color w:val="0070C0"/>
      <w:sz w:val="36"/>
      <w:szCs w:val="28"/>
      <w:lang w:val="sq-AL"/>
    </w:rPr>
  </w:style>
  <w:style w:type="paragraph" w:customStyle="1" w:styleId="Style30">
    <w:name w:val="Style 3"/>
    <w:basedOn w:val="Style20"/>
    <w:uiPriority w:val="99"/>
    <w:qFormat/>
    <w:rsid w:val="00CE6942"/>
    <w:rPr>
      <w:sz w:val="24"/>
    </w:rPr>
  </w:style>
  <w:style w:type="character" w:customStyle="1" w:styleId="Style2Char">
    <w:name w:val="Style2 Char"/>
    <w:locked/>
    <w:rsid w:val="00CE6942"/>
    <w:rPr>
      <w:rFonts w:ascii="Times New Roman" w:eastAsia="Times New Roman" w:hAnsi="Times New Roman"/>
      <w:color w:val="0070C0"/>
      <w:sz w:val="28"/>
      <w:szCs w:val="24"/>
      <w:lang w:val="sq-AL"/>
    </w:rPr>
  </w:style>
  <w:style w:type="character" w:styleId="IntenseEmphasis">
    <w:name w:val="Intense Emphasis"/>
    <w:uiPriority w:val="99"/>
    <w:qFormat/>
    <w:rsid w:val="00CE6942"/>
    <w:rPr>
      <w:b/>
      <w:bCs/>
      <w:i/>
      <w:iCs/>
      <w:color w:val="4F81BD"/>
      <w:sz w:val="24"/>
    </w:rPr>
  </w:style>
  <w:style w:type="character" w:customStyle="1" w:styleId="longtext1">
    <w:name w:val="long_text1"/>
    <w:rsid w:val="00CE6942"/>
    <w:rPr>
      <w:sz w:val="20"/>
      <w:szCs w:val="20"/>
    </w:rPr>
  </w:style>
  <w:style w:type="character" w:customStyle="1" w:styleId="BodyTextChar1">
    <w:name w:val="Body Text Char1"/>
    <w:uiPriority w:val="99"/>
    <w:rsid w:val="00CE6942"/>
    <w:rPr>
      <w:rFonts w:ascii="Times New Roman" w:eastAsia="Times New Roman" w:hAnsi="Times New Roman"/>
      <w:sz w:val="24"/>
      <w:szCs w:val="24"/>
    </w:rPr>
  </w:style>
  <w:style w:type="character" w:customStyle="1" w:styleId="BodyText3Char1">
    <w:name w:val="Body Text 3 Char1"/>
    <w:uiPriority w:val="99"/>
    <w:semiHidden/>
    <w:rsid w:val="00CE6942"/>
    <w:rPr>
      <w:rFonts w:ascii="Times New Roman" w:eastAsia="Times New Roman" w:hAnsi="Times New Roman"/>
      <w:sz w:val="16"/>
      <w:szCs w:val="16"/>
    </w:rPr>
  </w:style>
  <w:style w:type="character" w:customStyle="1" w:styleId="BodyTextIndent2Char1">
    <w:name w:val="Body Text Indent 2 Char1"/>
    <w:uiPriority w:val="99"/>
    <w:semiHidden/>
    <w:rsid w:val="00CE6942"/>
    <w:rPr>
      <w:rFonts w:ascii="Times New Roman" w:eastAsia="Times New Roman" w:hAnsi="Times New Roman"/>
      <w:sz w:val="24"/>
      <w:szCs w:val="24"/>
    </w:rPr>
  </w:style>
  <w:style w:type="paragraph" w:customStyle="1" w:styleId="xl160">
    <w:name w:val="xl16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1">
    <w:name w:val="xl161"/>
    <w:basedOn w:val="Normal"/>
    <w:rsid w:val="00AC543B"/>
    <w:pPr>
      <w:pBdr>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2">
    <w:name w:val="xl162"/>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3">
    <w:name w:val="xl16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4">
    <w:name w:val="xl16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5">
    <w:name w:val="xl165"/>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6">
    <w:name w:val="xl166"/>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7">
    <w:name w:val="xl16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8">
    <w:name w:val="xl168"/>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9">
    <w:name w:val="xl169"/>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0">
    <w:name w:val="xl170"/>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1">
    <w:name w:val="xl171"/>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2">
    <w:name w:val="xl172"/>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73">
    <w:name w:val="xl173"/>
    <w:basedOn w:val="Normal"/>
    <w:rsid w:val="00AC543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4">
    <w:name w:val="xl17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5">
    <w:name w:val="xl175"/>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6">
    <w:name w:val="xl176"/>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7">
    <w:name w:val="xl17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8">
    <w:name w:val="xl178"/>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9">
    <w:name w:val="xl179"/>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0">
    <w:name w:val="xl18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1">
    <w:name w:val="xl181"/>
    <w:basedOn w:val="Normal"/>
    <w:rsid w:val="00AC543B"/>
    <w:pPr>
      <w:pBdr>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2">
    <w:name w:val="xl182"/>
    <w:basedOn w:val="Normal"/>
    <w:rsid w:val="00AC543B"/>
    <w:pPr>
      <w:pBdr>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3">
    <w:name w:val="xl18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4">
    <w:name w:val="xl184"/>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5">
    <w:name w:val="xl18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6">
    <w:name w:val="xl186"/>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7">
    <w:name w:val="xl187"/>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8">
    <w:name w:val="xl188"/>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9">
    <w:name w:val="xl189"/>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0">
    <w:name w:val="xl19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1">
    <w:name w:val="xl191"/>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2">
    <w:name w:val="xl192"/>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3">
    <w:name w:val="xl193"/>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4">
    <w:name w:val="xl194"/>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5">
    <w:name w:val="xl19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6">
    <w:name w:val="xl196"/>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7">
    <w:name w:val="xl197"/>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8">
    <w:name w:val="xl198"/>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9">
    <w:name w:val="xl199"/>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0">
    <w:name w:val="xl20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1">
    <w:name w:val="xl201"/>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2">
    <w:name w:val="xl202"/>
    <w:basedOn w:val="Normal"/>
    <w:rsid w:val="00AC543B"/>
    <w:pPr>
      <w:pBdr>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3">
    <w:name w:val="xl203"/>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4">
    <w:name w:val="xl204"/>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5">
    <w:name w:val="xl205"/>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6">
    <w:name w:val="xl206"/>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7">
    <w:name w:val="xl207"/>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8">
    <w:name w:val="xl208"/>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9">
    <w:name w:val="xl209"/>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0">
    <w:name w:val="xl210"/>
    <w:basedOn w:val="Normal"/>
    <w:rsid w:val="00AC543B"/>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1">
    <w:name w:val="xl211"/>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2">
    <w:name w:val="xl212"/>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3">
    <w:name w:val="xl213"/>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4">
    <w:name w:val="xl214"/>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5">
    <w:name w:val="xl215"/>
    <w:basedOn w:val="Normal"/>
    <w:rsid w:val="00AC543B"/>
    <w:pPr>
      <w:pBdr>
        <w:top w:val="single" w:sz="4"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6">
    <w:name w:val="xl216"/>
    <w:basedOn w:val="Normal"/>
    <w:rsid w:val="00AC543B"/>
    <w:pPr>
      <w:pBdr>
        <w:top w:val="single" w:sz="4" w:space="0" w:color="auto"/>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7">
    <w:name w:val="xl217"/>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8">
    <w:name w:val="xl218"/>
    <w:basedOn w:val="Normal"/>
    <w:rsid w:val="00AC543B"/>
    <w:pPr>
      <w:pBdr>
        <w:top w:val="single" w:sz="4"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9">
    <w:name w:val="xl219"/>
    <w:basedOn w:val="Normal"/>
    <w:rsid w:val="00AC543B"/>
    <w:pPr>
      <w:pBdr>
        <w:top w:val="double" w:sz="6" w:space="0" w:color="auto"/>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0">
    <w:name w:val="xl220"/>
    <w:basedOn w:val="Normal"/>
    <w:rsid w:val="00AC543B"/>
    <w:pPr>
      <w:pBdr>
        <w:top w:val="double" w:sz="6" w:space="0" w:color="auto"/>
        <w:lef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1">
    <w:name w:val="xl221"/>
    <w:basedOn w:val="Normal"/>
    <w:rsid w:val="00AC543B"/>
    <w:pPr>
      <w:pBdr>
        <w:top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2">
    <w:name w:val="xl222"/>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3">
    <w:name w:val="xl223"/>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4">
    <w:name w:val="xl224"/>
    <w:basedOn w:val="Normal"/>
    <w:rsid w:val="00AC543B"/>
    <w:pPr>
      <w:pBdr>
        <w:left w:val="double" w:sz="6" w:space="0" w:color="auto"/>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5">
    <w:name w:val="xl225"/>
    <w:basedOn w:val="Normal"/>
    <w:rsid w:val="00AC543B"/>
    <w:pPr>
      <w:pBdr>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6">
    <w:name w:val="xl226"/>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7">
    <w:name w:val="xl227"/>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8">
    <w:name w:val="xl228"/>
    <w:basedOn w:val="Normal"/>
    <w:rsid w:val="00AC543B"/>
    <w:pPr>
      <w:pBdr>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9">
    <w:name w:val="xl229"/>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0">
    <w:name w:val="xl230"/>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31">
    <w:name w:val="xl231"/>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2">
    <w:name w:val="xl232"/>
    <w:basedOn w:val="Normal"/>
    <w:rsid w:val="00AC543B"/>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3">
    <w:name w:val="xl233"/>
    <w:basedOn w:val="Normal"/>
    <w:rsid w:val="00AC543B"/>
    <w:pPr>
      <w:pBdr>
        <w:top w:val="double" w:sz="6"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4">
    <w:name w:val="xl234"/>
    <w:basedOn w:val="Normal"/>
    <w:rsid w:val="00AC543B"/>
    <w:pPr>
      <w:pBdr>
        <w:top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5">
    <w:name w:val="xl235"/>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6">
    <w:name w:val="xl236"/>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7">
    <w:name w:val="xl237"/>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38">
    <w:name w:val="xl238"/>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b/>
      <w:bCs/>
      <w:sz w:val="14"/>
      <w:szCs w:val="14"/>
    </w:rPr>
  </w:style>
  <w:style w:type="paragraph" w:customStyle="1" w:styleId="xl239">
    <w:name w:val="xl239"/>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40">
    <w:name w:val="xl240"/>
    <w:basedOn w:val="Normal"/>
    <w:rsid w:val="006E2110"/>
    <w:pPr>
      <w:pBdr>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41">
    <w:name w:val="xl241"/>
    <w:basedOn w:val="Normal"/>
    <w:rsid w:val="006E2110"/>
    <w:pPr>
      <w:pBdr>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2">
    <w:name w:val="xl242"/>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3">
    <w:name w:val="xl243"/>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4">
    <w:name w:val="xl244"/>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5">
    <w:name w:val="xl245"/>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6">
    <w:name w:val="xl246"/>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7">
    <w:name w:val="xl247"/>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8">
    <w:name w:val="xl248"/>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9">
    <w:name w:val="xl249"/>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0">
    <w:name w:val="xl25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1">
    <w:name w:val="xl25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2">
    <w:name w:val="xl25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3">
    <w:name w:val="xl253"/>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4">
    <w:name w:val="xl254"/>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5">
    <w:name w:val="xl255"/>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6">
    <w:name w:val="xl25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7">
    <w:name w:val="xl257"/>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8">
    <w:name w:val="xl25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9">
    <w:name w:val="xl259"/>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60">
    <w:name w:val="xl260"/>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1">
    <w:name w:val="xl26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2">
    <w:name w:val="xl262"/>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3">
    <w:name w:val="xl263"/>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4">
    <w:name w:val="xl264"/>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5">
    <w:name w:val="xl265"/>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6">
    <w:name w:val="xl266"/>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7">
    <w:name w:val="xl267"/>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8">
    <w:name w:val="xl26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9">
    <w:name w:val="xl26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0">
    <w:name w:val="xl270"/>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1">
    <w:name w:val="xl27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2">
    <w:name w:val="xl27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3">
    <w:name w:val="xl273"/>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4">
    <w:name w:val="xl274"/>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5">
    <w:name w:val="xl27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6">
    <w:name w:val="xl276"/>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7">
    <w:name w:val="xl27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8">
    <w:name w:val="xl278"/>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9">
    <w:name w:val="xl27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0">
    <w:name w:val="xl280"/>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1">
    <w:name w:val="xl281"/>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82">
    <w:name w:val="xl28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3">
    <w:name w:val="xl28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4">
    <w:name w:val="xl28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5">
    <w:name w:val="xl28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6">
    <w:name w:val="xl286"/>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7">
    <w:name w:val="xl287"/>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8">
    <w:name w:val="xl288"/>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9">
    <w:name w:val="xl289"/>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90">
    <w:name w:val="xl29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1">
    <w:name w:val="xl291"/>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2">
    <w:name w:val="xl292"/>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3">
    <w:name w:val="xl293"/>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4">
    <w:name w:val="xl294"/>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5">
    <w:name w:val="xl295"/>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6">
    <w:name w:val="xl296"/>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7">
    <w:name w:val="xl297"/>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8">
    <w:name w:val="xl29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9">
    <w:name w:val="xl299"/>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0">
    <w:name w:val="xl30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1">
    <w:name w:val="xl30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2">
    <w:name w:val="xl302"/>
    <w:basedOn w:val="Normal"/>
    <w:rsid w:val="006E2110"/>
    <w:pPr>
      <w:pBdr>
        <w:top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3">
    <w:name w:val="xl303"/>
    <w:basedOn w:val="Normal"/>
    <w:rsid w:val="006E2110"/>
    <w:pPr>
      <w:pBdr>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4">
    <w:name w:val="xl304"/>
    <w:basedOn w:val="Normal"/>
    <w:rsid w:val="006E2110"/>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5">
    <w:name w:val="xl305"/>
    <w:basedOn w:val="Normal"/>
    <w:rsid w:val="006E2110"/>
    <w:pPr>
      <w:pBdr>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6">
    <w:name w:val="xl306"/>
    <w:basedOn w:val="Normal"/>
    <w:rsid w:val="006E2110"/>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7">
    <w:name w:val="xl307"/>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8">
    <w:name w:val="xl308"/>
    <w:basedOn w:val="Normal"/>
    <w:rsid w:val="006E2110"/>
    <w:pPr>
      <w:pBdr>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9">
    <w:name w:val="xl309"/>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0">
    <w:name w:val="xl310"/>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1">
    <w:name w:val="xl31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2">
    <w:name w:val="xl312"/>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3">
    <w:name w:val="xl313"/>
    <w:basedOn w:val="Normal"/>
    <w:rsid w:val="006E2110"/>
    <w:pPr>
      <w:pBdr>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4">
    <w:name w:val="xl314"/>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5">
    <w:name w:val="xl315"/>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6">
    <w:name w:val="xl316"/>
    <w:basedOn w:val="Normal"/>
    <w:rsid w:val="006E2110"/>
    <w:pPr>
      <w:pBdr>
        <w:top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7">
    <w:name w:val="xl317"/>
    <w:basedOn w:val="Normal"/>
    <w:rsid w:val="006E2110"/>
    <w:pPr>
      <w:pBdr>
        <w:top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8">
    <w:name w:val="xl318"/>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19">
    <w:name w:val="xl319"/>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0">
    <w:name w:val="xl320"/>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1">
    <w:name w:val="xl321"/>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22">
    <w:name w:val="xl32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3">
    <w:name w:val="xl323"/>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4">
    <w:name w:val="xl324"/>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5">
    <w:name w:val="xl325"/>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26">
    <w:name w:val="xl326"/>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7">
    <w:name w:val="xl327"/>
    <w:basedOn w:val="Normal"/>
    <w:rsid w:val="006E2110"/>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8">
    <w:name w:val="xl328"/>
    <w:basedOn w:val="Normal"/>
    <w:rsid w:val="006E2110"/>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9">
    <w:name w:val="xl329"/>
    <w:basedOn w:val="Normal"/>
    <w:rsid w:val="006E2110"/>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0">
    <w:name w:val="xl330"/>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1">
    <w:name w:val="xl331"/>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2">
    <w:name w:val="xl332"/>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3">
    <w:name w:val="xl333"/>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4">
    <w:name w:val="xl334"/>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5">
    <w:name w:val="xl335"/>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6">
    <w:name w:val="xl336"/>
    <w:basedOn w:val="Normal"/>
    <w:rsid w:val="006E2110"/>
    <w:pPr>
      <w:pBdr>
        <w:top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7">
    <w:name w:val="xl337"/>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b/>
      <w:bCs/>
      <w:sz w:val="18"/>
      <w:szCs w:val="18"/>
    </w:rPr>
  </w:style>
  <w:style w:type="paragraph" w:customStyle="1" w:styleId="xl338">
    <w:name w:val="xl338"/>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39">
    <w:name w:val="xl339"/>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0">
    <w:name w:val="xl340"/>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1">
    <w:name w:val="xl34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2">
    <w:name w:val="xl34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3">
    <w:name w:val="xl343"/>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4">
    <w:name w:val="xl344"/>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5">
    <w:name w:val="xl34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6">
    <w:name w:val="xl34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7">
    <w:name w:val="xl34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8">
    <w:name w:val="xl34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9">
    <w:name w:val="xl349"/>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0">
    <w:name w:val="xl350"/>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1">
    <w:name w:val="xl35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2">
    <w:name w:val="xl35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3">
    <w:name w:val="xl353"/>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54">
    <w:name w:val="xl354"/>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5">
    <w:name w:val="xl355"/>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6">
    <w:name w:val="xl356"/>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7">
    <w:name w:val="xl357"/>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8">
    <w:name w:val="xl358"/>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9">
    <w:name w:val="xl35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0">
    <w:name w:val="xl36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1">
    <w:name w:val="xl36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2">
    <w:name w:val="xl362"/>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63">
    <w:name w:val="xl36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4">
    <w:name w:val="xl36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5">
    <w:name w:val="xl36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66">
    <w:name w:val="xl366"/>
    <w:basedOn w:val="Normal"/>
    <w:rsid w:val="006E2110"/>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7">
    <w:name w:val="xl367"/>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8">
    <w:name w:val="xl368"/>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9">
    <w:name w:val="xl369"/>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1">
    <w:name w:val="xl37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2">
    <w:name w:val="xl372"/>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73">
    <w:name w:val="xl37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4">
    <w:name w:val="xl374"/>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5">
    <w:name w:val="xl375"/>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6">
    <w:name w:val="xl376"/>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77">
    <w:name w:val="xl377"/>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8">
    <w:name w:val="xl378"/>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9">
    <w:name w:val="xl379"/>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0">
    <w:name w:val="xl380"/>
    <w:basedOn w:val="Normal"/>
    <w:rsid w:val="006E211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1">
    <w:name w:val="xl381"/>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2">
    <w:name w:val="xl382"/>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3">
    <w:name w:val="xl383"/>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4">
    <w:name w:val="xl384"/>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5">
    <w:name w:val="xl385"/>
    <w:basedOn w:val="Normal"/>
    <w:rsid w:val="006E211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6">
    <w:name w:val="xl386"/>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7">
    <w:name w:val="xl387"/>
    <w:basedOn w:val="Normal"/>
    <w:rsid w:val="006E2110"/>
    <w:pP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8">
    <w:name w:val="xl388"/>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9">
    <w:name w:val="xl389"/>
    <w:basedOn w:val="Normal"/>
    <w:rsid w:val="006E2110"/>
    <w:pP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0">
    <w:name w:val="xl390"/>
    <w:basedOn w:val="Normal"/>
    <w:rsid w:val="006E2110"/>
    <w:pPr>
      <w:pBdr>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1">
    <w:name w:val="xl391"/>
    <w:basedOn w:val="Normal"/>
    <w:rsid w:val="006E2110"/>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2">
    <w:name w:val="xl392"/>
    <w:basedOn w:val="Normal"/>
    <w:rsid w:val="006E2110"/>
    <w:pPr>
      <w:pBdr>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3">
    <w:name w:val="xl393"/>
    <w:basedOn w:val="Normal"/>
    <w:rsid w:val="006E2110"/>
    <w:pPr>
      <w:pBdr>
        <w:left w:val="single" w:sz="4" w:space="0"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font7">
    <w:name w:val="font7"/>
    <w:basedOn w:val="Normal"/>
    <w:rsid w:val="006E2110"/>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rsid w:val="006E2110"/>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rsid w:val="009C2B6E"/>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141B6B"/>
    <w:rPr>
      <w:rFonts w:cs="Times New Roman"/>
      <w:sz w:val="19"/>
      <w:szCs w:val="19"/>
      <w:shd w:val="clear" w:color="auto" w:fill="FFFFFF"/>
    </w:rPr>
  </w:style>
  <w:style w:type="character" w:customStyle="1" w:styleId="En-tte1">
    <w:name w:val="En-tête #1_"/>
    <w:basedOn w:val="DefaultParagraphFont"/>
    <w:link w:val="En-tte10"/>
    <w:uiPriority w:val="99"/>
    <w:locked/>
    <w:rsid w:val="00141B6B"/>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141B6B"/>
    <w:rPr>
      <w:rFonts w:cs="Times New Roman"/>
      <w:sz w:val="20"/>
      <w:szCs w:val="20"/>
      <w:shd w:val="clear" w:color="auto" w:fill="FFFFFF"/>
    </w:rPr>
  </w:style>
  <w:style w:type="character" w:customStyle="1" w:styleId="En-tteoupieddepage0">
    <w:name w:val="En-tête ou pied de page"/>
    <w:basedOn w:val="En-tteoupieddepage"/>
    <w:uiPriority w:val="99"/>
    <w:rsid w:val="00141B6B"/>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141B6B"/>
    <w:rPr>
      <w:rFonts w:cs="Times New Roman"/>
      <w:sz w:val="31"/>
      <w:szCs w:val="31"/>
      <w:shd w:val="clear" w:color="auto" w:fill="FFFFFF"/>
    </w:rPr>
  </w:style>
  <w:style w:type="character" w:customStyle="1" w:styleId="Tabledesmatires2">
    <w:name w:val="Table des matières (2)"/>
    <w:basedOn w:val="DefaultParagraphFont"/>
    <w:uiPriority w:val="99"/>
    <w:rsid w:val="00974083"/>
    <w:rPr>
      <w:rFonts w:ascii="Times New Roman" w:eastAsia="Times New Roman" w:hAnsi="Times New Roman" w:cs="Times New Roman"/>
      <w:sz w:val="24"/>
      <w:szCs w:val="24"/>
      <w:lang w:val="sq-AL"/>
    </w:rPr>
  </w:style>
  <w:style w:type="character" w:customStyle="1" w:styleId="Tabledesmatires2NonGras">
    <w:name w:val="Table des matières (2) + Non Gras"/>
    <w:basedOn w:val="DefaultParagraphFont"/>
    <w:uiPriority w:val="99"/>
    <w:rsid w:val="00974083"/>
    <w:rPr>
      <w:rFonts w:ascii="Times New Roman" w:eastAsia="Times New Roman" w:hAnsi="Times New Roman" w:cs="Times New Roman"/>
      <w:b w:val="0"/>
      <w:bCs w:val="0"/>
      <w:sz w:val="24"/>
      <w:szCs w:val="24"/>
      <w:lang w:val="sq-AL" w:eastAsia="sq-AL"/>
    </w:rPr>
  </w:style>
  <w:style w:type="character" w:customStyle="1" w:styleId="Corpsdutexte3">
    <w:name w:val="Corps du texte (3)_"/>
    <w:basedOn w:val="DefaultParagraphFont"/>
    <w:link w:val="Corpsdutexte30"/>
    <w:uiPriority w:val="99"/>
    <w:locked/>
    <w:rsid w:val="00141B6B"/>
    <w:rPr>
      <w:rFonts w:cs="Times New Roman"/>
      <w:b/>
      <w:bCs/>
      <w:sz w:val="30"/>
      <w:szCs w:val="30"/>
      <w:shd w:val="clear" w:color="auto" w:fill="FFFFFF"/>
    </w:rPr>
  </w:style>
  <w:style w:type="character" w:customStyle="1" w:styleId="En-tte3">
    <w:name w:val="En-tête #3_"/>
    <w:basedOn w:val="DefaultParagraphFont"/>
    <w:link w:val="En-tte30"/>
    <w:uiPriority w:val="99"/>
    <w:locked/>
    <w:rsid w:val="00141B6B"/>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141B6B"/>
    <w:rPr>
      <w:rFonts w:cs="Times New Roman"/>
      <w:shd w:val="clear" w:color="auto" w:fill="FFFFFF"/>
    </w:rPr>
  </w:style>
  <w:style w:type="character" w:customStyle="1" w:styleId="Corpsdutexte0">
    <w:name w:val="Corps du texte"/>
    <w:basedOn w:val="Corpsdutexte"/>
    <w:uiPriority w:val="99"/>
    <w:rsid w:val="00141B6B"/>
    <w:rPr>
      <w:rFonts w:cs="Times New Roman"/>
      <w:u w:val="single"/>
      <w:shd w:val="clear" w:color="auto" w:fill="FFFFFF"/>
    </w:rPr>
  </w:style>
  <w:style w:type="paragraph" w:customStyle="1" w:styleId="Notedebasdepage0">
    <w:name w:val="Note de bas de page"/>
    <w:basedOn w:val="Normal"/>
    <w:link w:val="Notedebasdepage"/>
    <w:uiPriority w:val="99"/>
    <w:rsid w:val="00141B6B"/>
    <w:pPr>
      <w:shd w:val="clear" w:color="auto" w:fill="FFFFFF"/>
      <w:spacing w:after="0" w:line="182" w:lineRule="exact"/>
      <w:ind w:left="562" w:right="40" w:hanging="539"/>
    </w:pPr>
    <w:rPr>
      <w:rFonts w:asciiTheme="minorHAnsi" w:eastAsiaTheme="minorHAnsi" w:hAnsiTheme="minorHAnsi"/>
      <w:sz w:val="19"/>
      <w:szCs w:val="19"/>
    </w:rPr>
  </w:style>
  <w:style w:type="paragraph" w:customStyle="1" w:styleId="En-tte10">
    <w:name w:val="En-tête #1"/>
    <w:basedOn w:val="Normal"/>
    <w:link w:val="En-tte1"/>
    <w:uiPriority w:val="99"/>
    <w:rsid w:val="00141B6B"/>
    <w:pPr>
      <w:shd w:val="clear" w:color="auto" w:fill="FFFFFF"/>
      <w:spacing w:after="240" w:line="240" w:lineRule="atLeast"/>
      <w:ind w:left="562" w:right="40" w:hanging="539"/>
      <w:outlineLvl w:val="0"/>
    </w:pPr>
    <w:rPr>
      <w:rFonts w:asciiTheme="minorHAnsi" w:eastAsiaTheme="minorHAnsi" w:hAnsiTheme="minorHAnsi"/>
      <w:b/>
      <w:bCs/>
      <w:sz w:val="30"/>
      <w:szCs w:val="30"/>
    </w:rPr>
  </w:style>
  <w:style w:type="paragraph" w:customStyle="1" w:styleId="En-tteoupieddepage1">
    <w:name w:val="En-tête ou pied de page1"/>
    <w:basedOn w:val="Normal"/>
    <w:link w:val="En-tteoupieddepage"/>
    <w:uiPriority w:val="99"/>
    <w:rsid w:val="00141B6B"/>
    <w:pPr>
      <w:shd w:val="clear" w:color="auto" w:fill="FFFFFF"/>
      <w:spacing w:after="0" w:line="274" w:lineRule="exact"/>
      <w:ind w:left="562" w:right="40" w:hanging="539"/>
    </w:pPr>
    <w:rPr>
      <w:rFonts w:asciiTheme="minorHAnsi" w:eastAsiaTheme="minorHAnsi" w:hAnsiTheme="minorHAnsi"/>
      <w:sz w:val="20"/>
      <w:szCs w:val="20"/>
    </w:rPr>
  </w:style>
  <w:style w:type="paragraph" w:customStyle="1" w:styleId="Corpsdutexte20">
    <w:name w:val="Corps du texte (2)"/>
    <w:basedOn w:val="Normal"/>
    <w:link w:val="Corpsdutexte2"/>
    <w:uiPriority w:val="99"/>
    <w:rsid w:val="00141B6B"/>
    <w:pPr>
      <w:shd w:val="clear" w:color="auto" w:fill="FFFFFF"/>
      <w:spacing w:before="240" w:after="480" w:line="240" w:lineRule="atLeast"/>
      <w:ind w:left="562" w:right="40" w:hanging="539"/>
    </w:pPr>
    <w:rPr>
      <w:rFonts w:asciiTheme="minorHAnsi" w:eastAsiaTheme="minorHAnsi" w:hAnsiTheme="minorHAnsi"/>
      <w:sz w:val="31"/>
      <w:szCs w:val="31"/>
    </w:rPr>
  </w:style>
  <w:style w:type="paragraph" w:customStyle="1" w:styleId="Corpsdutexte30">
    <w:name w:val="Corps du texte (3)"/>
    <w:basedOn w:val="Normal"/>
    <w:link w:val="Corpsdutexte3"/>
    <w:uiPriority w:val="99"/>
    <w:rsid w:val="00141B6B"/>
    <w:pPr>
      <w:shd w:val="clear" w:color="auto" w:fill="FFFFFF"/>
      <w:spacing w:after="0" w:line="475" w:lineRule="exact"/>
      <w:ind w:left="562" w:right="40" w:hanging="539"/>
      <w:jc w:val="center"/>
    </w:pPr>
    <w:rPr>
      <w:rFonts w:asciiTheme="minorHAnsi" w:eastAsiaTheme="minorHAnsi" w:hAnsiTheme="minorHAnsi"/>
      <w:b/>
      <w:bCs/>
      <w:sz w:val="30"/>
      <w:szCs w:val="30"/>
    </w:rPr>
  </w:style>
  <w:style w:type="paragraph" w:customStyle="1" w:styleId="En-tte30">
    <w:name w:val="En-tête #3"/>
    <w:basedOn w:val="Normal"/>
    <w:link w:val="En-tte3"/>
    <w:uiPriority w:val="99"/>
    <w:rsid w:val="00141B6B"/>
    <w:pPr>
      <w:shd w:val="clear" w:color="auto" w:fill="FFFFFF"/>
      <w:spacing w:after="180" w:line="240" w:lineRule="atLeast"/>
      <w:ind w:left="562" w:right="40" w:hanging="720"/>
      <w:outlineLvl w:val="2"/>
    </w:pPr>
    <w:rPr>
      <w:rFonts w:asciiTheme="minorHAnsi" w:eastAsiaTheme="minorHAnsi" w:hAnsiTheme="minorHAnsi"/>
      <w:b/>
      <w:bCs/>
      <w:sz w:val="20"/>
      <w:szCs w:val="20"/>
    </w:rPr>
  </w:style>
  <w:style w:type="paragraph" w:customStyle="1" w:styleId="Corpsdutexte1">
    <w:name w:val="Corps du texte1"/>
    <w:basedOn w:val="Normal"/>
    <w:link w:val="Corpsdutexte"/>
    <w:uiPriority w:val="99"/>
    <w:rsid w:val="00141B6B"/>
    <w:pPr>
      <w:shd w:val="clear" w:color="auto" w:fill="FFFFFF"/>
      <w:spacing w:before="180" w:after="60" w:line="274" w:lineRule="exact"/>
      <w:ind w:left="562" w:right="40" w:hanging="840"/>
    </w:pPr>
    <w:rPr>
      <w:rFonts w:asciiTheme="minorHAnsi" w:eastAsiaTheme="minorHAnsi" w:hAnsiTheme="minorHAnsi"/>
    </w:rPr>
  </w:style>
  <w:style w:type="paragraph" w:customStyle="1" w:styleId="Text3">
    <w:name w:val="Text 3"/>
    <w:basedOn w:val="Normal"/>
    <w:rsid w:val="00141B6B"/>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numbering" w:customStyle="1" w:styleId="Style3">
    <w:name w:val="Style3"/>
    <w:rsid w:val="00141B6B"/>
    <w:pPr>
      <w:numPr>
        <w:numId w:val="15"/>
      </w:numPr>
    </w:pPr>
  </w:style>
  <w:style w:type="paragraph" w:customStyle="1" w:styleId="ListNumberLevel2">
    <w:name w:val="List Number (Level 2)"/>
    <w:basedOn w:val="Normal"/>
    <w:rsid w:val="00141B6B"/>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character" w:customStyle="1" w:styleId="NumPar1Char">
    <w:name w:val="NumPar 1 Char"/>
    <w:basedOn w:val="DefaultParagraphFont"/>
    <w:link w:val="NumPar1"/>
    <w:locked/>
    <w:rsid w:val="00141B6B"/>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141B6B"/>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rsid w:val="00141B6B"/>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character" w:customStyle="1" w:styleId="super">
    <w:name w:val="super"/>
    <w:basedOn w:val="DefaultParagraphFont"/>
    <w:rsid w:val="00141B6B"/>
  </w:style>
  <w:style w:type="paragraph" w:customStyle="1" w:styleId="Normal2">
    <w:name w:val="Normal2"/>
    <w:basedOn w:val="Normal"/>
    <w:rsid w:val="00141B6B"/>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character" w:customStyle="1" w:styleId="italic">
    <w:name w:val="italic"/>
    <w:basedOn w:val="DefaultParagraphFont"/>
    <w:rsid w:val="00141B6B"/>
  </w:style>
  <w:style w:type="paragraph" w:customStyle="1" w:styleId="en-tte300">
    <w:name w:val="en-tte30"/>
    <w:basedOn w:val="Normal"/>
    <w:rsid w:val="00141B6B"/>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rsid w:val="00141B6B"/>
    <w:pPr>
      <w:numPr>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rsid w:val="00141B6B"/>
    <w:pPr>
      <w:numPr>
        <w:ilvl w:val="2"/>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rsid w:val="00141B6B"/>
    <w:pPr>
      <w:numPr>
        <w:ilvl w:val="4"/>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rsid w:val="00141B6B"/>
    <w:pPr>
      <w:numPr>
        <w:ilvl w:val="6"/>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rsid w:val="00141B6B"/>
    <w:pPr>
      <w:numPr>
        <w:ilvl w:val="1"/>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rsid w:val="00141B6B"/>
    <w:pPr>
      <w:numPr>
        <w:ilvl w:val="3"/>
        <w:numId w:val="16"/>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rsid w:val="00141B6B"/>
    <w:pPr>
      <w:numPr>
        <w:ilvl w:val="5"/>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rsid w:val="00141B6B"/>
    <w:pPr>
      <w:numPr>
        <w:ilvl w:val="7"/>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rsid w:val="00141B6B"/>
    <w:pPr>
      <w:numPr>
        <w:ilvl w:val="8"/>
        <w:numId w:val="16"/>
      </w:numPr>
      <w:spacing w:before="120" w:after="120" w:line="240" w:lineRule="auto"/>
    </w:pPr>
    <w:rPr>
      <w:rFonts w:ascii="Times New Roman" w:eastAsia="Times New Roman" w:hAnsi="Times New Roman"/>
      <w:sz w:val="24"/>
      <w:szCs w:val="24"/>
      <w:lang w:val="sq-AL" w:eastAsia="sq-AL" w:bidi="sq-AL"/>
    </w:rPr>
  </w:style>
  <w:style w:type="character" w:customStyle="1" w:styleId="shorttext">
    <w:name w:val="short_text"/>
    <w:basedOn w:val="DefaultParagraphFont"/>
    <w:rsid w:val="00AD54B2"/>
  </w:style>
  <w:style w:type="character" w:customStyle="1" w:styleId="Bodytext20">
    <w:name w:val="Body text (2)_"/>
    <w:link w:val="Bodytext24"/>
    <w:rsid w:val="00AD54B2"/>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AD54B2"/>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rsid w:val="00AD54B2"/>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AD54B2"/>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AD54B2"/>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AD54B2"/>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AD54B2"/>
    <w:pPr>
      <w:spacing w:before="100" w:beforeAutospacing="1" w:after="100" w:afterAutospacing="1" w:line="240" w:lineRule="auto"/>
      <w:ind w:firstLine="0"/>
      <w:jc w:val="left"/>
    </w:pPr>
    <w:rPr>
      <w:rFonts w:ascii="Times New Roman" w:hAnsi="Times New Roman"/>
      <w:sz w:val="24"/>
      <w:szCs w:val="24"/>
    </w:rPr>
  </w:style>
  <w:style w:type="paragraph" w:customStyle="1" w:styleId="Definition">
    <w:name w:val="Definition"/>
    <w:basedOn w:val="Normal"/>
    <w:link w:val="DefinitionChar"/>
    <w:rsid w:val="00505A5B"/>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rsid w:val="00505A5B"/>
    <w:pPr>
      <w:spacing w:before="0"/>
    </w:pPr>
  </w:style>
  <w:style w:type="paragraph" w:customStyle="1" w:styleId="Definition1a">
    <w:name w:val="Definition 1a"/>
    <w:basedOn w:val="Definition"/>
    <w:next w:val="Definition1b"/>
    <w:rsid w:val="00505A5B"/>
    <w:pPr>
      <w:keepNext/>
    </w:pPr>
  </w:style>
  <w:style w:type="paragraph" w:customStyle="1" w:styleId="Paragraph1">
    <w:name w:val="Paragraph (1)"/>
    <w:basedOn w:val="Normal"/>
    <w:link w:val="Paragraph1Char"/>
    <w:rsid w:val="00505A5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rsid w:val="00505A5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rsid w:val="00505A5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rsid w:val="00505A5B"/>
    <w:pPr>
      <w:tabs>
        <w:tab w:val="clear" w:pos="2835"/>
      </w:tabs>
      <w:ind w:firstLine="0"/>
    </w:pPr>
  </w:style>
  <w:style w:type="paragraph" w:customStyle="1" w:styleId="Definition3">
    <w:name w:val="Definition 3"/>
    <w:basedOn w:val="Definition2"/>
    <w:rsid w:val="00505A5B"/>
    <w:pPr>
      <w:tabs>
        <w:tab w:val="clear" w:pos="3402"/>
      </w:tabs>
      <w:ind w:left="3402"/>
    </w:pPr>
  </w:style>
  <w:style w:type="paragraph" w:customStyle="1" w:styleId="Definition4">
    <w:name w:val="Definition 4"/>
    <w:basedOn w:val="Definition3"/>
    <w:rsid w:val="00505A5B"/>
    <w:pPr>
      <w:tabs>
        <w:tab w:val="clear" w:pos="3969"/>
      </w:tabs>
      <w:ind w:left="3969"/>
    </w:pPr>
  </w:style>
  <w:style w:type="paragraph" w:customStyle="1" w:styleId="Paragraphi">
    <w:name w:val="Paragraph (i)"/>
    <w:basedOn w:val="Normal"/>
    <w:rsid w:val="00505A5B"/>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customStyle="1" w:styleId="ScheduleHeading">
    <w:name w:val="Schedule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505A5B"/>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505A5B"/>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5F1C64"/>
    <w:pPr>
      <w:spacing w:after="160" w:line="240" w:lineRule="exact"/>
      <w:ind w:firstLine="0"/>
      <w:jc w:val="left"/>
    </w:pPr>
    <w:rPr>
      <w:rFonts w:ascii="Tahoma" w:eastAsia="Times New Roman" w:hAnsi="Tahoma"/>
      <w:sz w:val="20"/>
      <w:szCs w:val="20"/>
    </w:rPr>
  </w:style>
  <w:style w:type="paragraph" w:customStyle="1" w:styleId="Bodytext4">
    <w:name w:val="Body text (4)"/>
    <w:basedOn w:val="Normal"/>
    <w:link w:val="Bodytext40"/>
    <w:rsid w:val="0093479D"/>
    <w:pPr>
      <w:widowControl w:val="0"/>
      <w:shd w:val="clear" w:color="auto" w:fill="FFFFFF"/>
      <w:spacing w:after="180" w:line="230" w:lineRule="exact"/>
      <w:ind w:firstLine="0"/>
    </w:pPr>
    <w:rPr>
      <w:rFonts w:ascii="Arial" w:hAnsi="Arial"/>
      <w:b/>
      <w:bCs/>
      <w:i/>
      <w:iCs/>
      <w:sz w:val="19"/>
      <w:szCs w:val="19"/>
    </w:rPr>
  </w:style>
  <w:style w:type="character" w:customStyle="1" w:styleId="Bodytext40">
    <w:name w:val="Body text (4)_"/>
    <w:link w:val="Bodytext4"/>
    <w:rsid w:val="0093479D"/>
    <w:rPr>
      <w:rFonts w:ascii="Arial" w:eastAsia="Calibri" w:hAnsi="Arial" w:cs="Times New Roman"/>
      <w:b/>
      <w:bCs/>
      <w:i/>
      <w:iCs/>
      <w:sz w:val="19"/>
      <w:szCs w:val="19"/>
      <w:shd w:val="clear" w:color="auto" w:fill="FFFFFF"/>
    </w:rPr>
  </w:style>
  <w:style w:type="paragraph" w:customStyle="1" w:styleId="wfxFaxNum">
    <w:name w:val="&quot;wfxFaxNum&quot;"/>
    <w:rsid w:val="0093479D"/>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character" w:customStyle="1" w:styleId="CommentTextChar1">
    <w:name w:val="Comment Text Char1"/>
    <w:basedOn w:val="DefaultParagraphFont"/>
    <w:rsid w:val="0093479D"/>
    <w:rPr>
      <w:rFonts w:ascii="Calibri" w:eastAsia="MS Mincho" w:hAnsi="Calibri" w:cs="Times New Roman"/>
      <w:color w:val="000000"/>
      <w:sz w:val="20"/>
      <w:szCs w:val="20"/>
      <w:lang w:val="sq-AL"/>
    </w:rPr>
  </w:style>
  <w:style w:type="paragraph" w:customStyle="1" w:styleId="Default0">
    <w:name w:val="&quot;Defaul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93479D"/>
  </w:style>
  <w:style w:type="paragraph" w:customStyle="1" w:styleId="ListParagraph0">
    <w:name w:val="&quot;List Paragraph&quot;"/>
    <w:rsid w:val="0093479D"/>
    <w:pPr>
      <w:ind w:left="720"/>
    </w:pPr>
    <w:rPr>
      <w:rFonts w:ascii="Calibri" w:eastAsia="Times New Roman" w:hAnsi="Calibri" w:cs="Times New Roman"/>
      <w:lang w:val="sq-AL"/>
    </w:rPr>
  </w:style>
  <w:style w:type="paragraph" w:customStyle="1" w:styleId="NoSpacing0">
    <w:name w:val="&quot;No Spacing&quot;"/>
    <w:rsid w:val="0093479D"/>
    <w:pPr>
      <w:spacing w:after="0" w:line="240" w:lineRule="auto"/>
    </w:pPr>
    <w:rPr>
      <w:rFonts w:ascii="Calibri" w:eastAsia="Times New Roman" w:hAnsi="Calibri" w:cs="Times New Roman"/>
      <w:lang w:val="sq-AL"/>
    </w:rPr>
  </w:style>
  <w:style w:type="paragraph" w:customStyle="1" w:styleId="BodyText30">
    <w:name w:val="&quot;Body Text 3&quot;"/>
    <w:rsid w:val="0093479D"/>
    <w:pPr>
      <w:spacing w:after="120" w:line="240" w:lineRule="auto"/>
    </w:pPr>
    <w:rPr>
      <w:rFonts w:ascii="Times New Roman" w:eastAsia="Times New Roman" w:hAnsi="Times New Roman" w:cs="Times New Roman"/>
      <w:sz w:val="16"/>
      <w:szCs w:val="16"/>
      <w:lang w:val="sq-AL"/>
    </w:rPr>
  </w:style>
  <w:style w:type="paragraph" w:customStyle="1" w:styleId="tableoffigures0">
    <w:name w:val="&quot;table of figures&quot;"/>
    <w:rsid w:val="0093479D"/>
    <w:pPr>
      <w:spacing w:after="120" w:line="240" w:lineRule="auto"/>
    </w:pPr>
    <w:rPr>
      <w:rFonts w:ascii="Calibri" w:eastAsia="Calibri" w:hAnsi="Calibri" w:cs="Times New Roman"/>
      <w:sz w:val="21"/>
      <w:szCs w:val="20"/>
    </w:rPr>
  </w:style>
  <w:style w:type="paragraph" w:customStyle="1" w:styleId="Normal10">
    <w:name w:val="&quot;Normal1&quot;"/>
    <w:rsid w:val="0093479D"/>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93479D"/>
    <w:pPr>
      <w:spacing w:after="0" w:line="240" w:lineRule="auto"/>
    </w:pPr>
    <w:rPr>
      <w:rFonts w:ascii="Calibri" w:eastAsia="Calibri" w:hAnsi="Calibri" w:cs="Times New Roman" w:hint="eastAsia"/>
      <w:sz w:val="21"/>
      <w:szCs w:val="20"/>
    </w:rPr>
  </w:style>
  <w:style w:type="paragraph" w:customStyle="1" w:styleId="Statuti">
    <w:name w:val="Statuti"/>
    <w:basedOn w:val="Normal"/>
    <w:rsid w:val="0093479D"/>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boldface">
    <w:name w:val="boldface"/>
    <w:basedOn w:val="DefaultParagraphFont"/>
    <w:rsid w:val="00442464"/>
  </w:style>
  <w:style w:type="paragraph" w:customStyle="1" w:styleId="title-annex-1">
    <w:name w:val="title-annex-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italics">
    <w:name w:val="italics"/>
    <w:basedOn w:val="DefaultParagraphFont"/>
    <w:rsid w:val="00442464"/>
  </w:style>
  <w:style w:type="paragraph" w:customStyle="1" w:styleId="modref">
    <w:name w:val="modref"/>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erscript">
    <w:name w:val="superscript"/>
    <w:basedOn w:val="DefaultParagraphFont"/>
    <w:rsid w:val="00442464"/>
  </w:style>
  <w:style w:type="paragraph" w:customStyle="1" w:styleId="title-gr-seq-level-1">
    <w:name w:val="title-gr-seq-level-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Hyperlink">
    <w:name w:val="Hyperlink"/>
    <w:uiPriority w:val="99"/>
    <w:unhideWhenUsed/>
    <w:rsid w:val="00E33805"/>
    <w:rPr>
      <w:color w:val="0000FF"/>
      <w:u w:val="single"/>
    </w:rPr>
  </w:style>
  <w:style w:type="paragraph" w:customStyle="1" w:styleId="xl100">
    <w:name w:val="xl100"/>
    <w:basedOn w:val="Normal"/>
    <w:rsid w:val="00E33805"/>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E33805"/>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E3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E33805"/>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rsid w:val="00E33805"/>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E33805"/>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E3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E3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E33805"/>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E3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E3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E33805"/>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rsid w:val="00E33805"/>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99"/>
    <w:unhideWhenUsed/>
    <w:qFormat/>
    <w:rsid w:val="00E33805"/>
    <w:pPr>
      <w:keepLines/>
      <w:spacing w:before="480" w:after="0" w:line="276" w:lineRule="auto"/>
      <w:ind w:firstLine="0"/>
      <w:jc w:val="left"/>
      <w:outlineLvl w:val="9"/>
    </w:pPr>
    <w:rPr>
      <w:rFonts w:ascii="Cambria" w:eastAsia="Times New Roman" w:hAnsi="Cambria" w:cs="Times New Roman"/>
      <w:color w:val="365F91"/>
      <w:kern w:val="0"/>
      <w:sz w:val="28"/>
      <w:szCs w:val="28"/>
      <w:lang w:eastAsia="ja-JP"/>
    </w:rPr>
  </w:style>
  <w:style w:type="paragraph" w:styleId="TOC1">
    <w:name w:val="toc 1"/>
    <w:basedOn w:val="Normal"/>
    <w:next w:val="Normal"/>
    <w:autoRedefine/>
    <w:uiPriority w:val="39"/>
    <w:unhideWhenUsed/>
    <w:qFormat/>
    <w:rsid w:val="00E33805"/>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E33805"/>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iPriority w:val="39"/>
    <w:unhideWhenUsed/>
    <w:qFormat/>
    <w:rsid w:val="00E33805"/>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iPriority w:val="99"/>
    <w:unhideWhenUsed/>
    <w:rsid w:val="00E33805"/>
    <w:pPr>
      <w:spacing w:after="100"/>
      <w:ind w:left="660" w:firstLine="0"/>
      <w:jc w:val="left"/>
    </w:pPr>
    <w:rPr>
      <w:rFonts w:eastAsia="Times New Roman"/>
    </w:rPr>
  </w:style>
  <w:style w:type="paragraph" w:styleId="TOC5">
    <w:name w:val="toc 5"/>
    <w:basedOn w:val="Normal"/>
    <w:next w:val="Normal"/>
    <w:autoRedefine/>
    <w:uiPriority w:val="99"/>
    <w:unhideWhenUsed/>
    <w:rsid w:val="00E33805"/>
    <w:pPr>
      <w:spacing w:after="100"/>
      <w:ind w:left="880" w:firstLine="0"/>
      <w:jc w:val="left"/>
    </w:pPr>
    <w:rPr>
      <w:rFonts w:eastAsia="Times New Roman"/>
    </w:rPr>
  </w:style>
  <w:style w:type="paragraph" w:styleId="TOC6">
    <w:name w:val="toc 6"/>
    <w:basedOn w:val="Normal"/>
    <w:next w:val="Normal"/>
    <w:autoRedefine/>
    <w:uiPriority w:val="99"/>
    <w:unhideWhenUsed/>
    <w:rsid w:val="00E33805"/>
    <w:pPr>
      <w:spacing w:after="100"/>
      <w:ind w:left="1100" w:firstLine="0"/>
      <w:jc w:val="left"/>
    </w:pPr>
    <w:rPr>
      <w:rFonts w:eastAsia="Times New Roman"/>
    </w:rPr>
  </w:style>
  <w:style w:type="paragraph" w:styleId="TOC7">
    <w:name w:val="toc 7"/>
    <w:basedOn w:val="Normal"/>
    <w:next w:val="Normal"/>
    <w:autoRedefine/>
    <w:uiPriority w:val="99"/>
    <w:unhideWhenUsed/>
    <w:rsid w:val="00E33805"/>
    <w:pPr>
      <w:spacing w:after="100"/>
      <w:ind w:left="1320" w:firstLine="0"/>
      <w:jc w:val="left"/>
    </w:pPr>
    <w:rPr>
      <w:rFonts w:eastAsia="Times New Roman"/>
    </w:rPr>
  </w:style>
  <w:style w:type="paragraph" w:styleId="TOC8">
    <w:name w:val="toc 8"/>
    <w:basedOn w:val="Normal"/>
    <w:next w:val="Normal"/>
    <w:autoRedefine/>
    <w:uiPriority w:val="99"/>
    <w:unhideWhenUsed/>
    <w:rsid w:val="00E33805"/>
    <w:pPr>
      <w:spacing w:after="100"/>
      <w:ind w:left="1540" w:firstLine="0"/>
      <w:jc w:val="left"/>
    </w:pPr>
    <w:rPr>
      <w:rFonts w:eastAsia="Times New Roman"/>
    </w:rPr>
  </w:style>
  <w:style w:type="paragraph" w:styleId="TOC9">
    <w:name w:val="toc 9"/>
    <w:basedOn w:val="Normal"/>
    <w:next w:val="Normal"/>
    <w:autoRedefine/>
    <w:uiPriority w:val="99"/>
    <w:unhideWhenUsed/>
    <w:rsid w:val="00E33805"/>
    <w:pPr>
      <w:spacing w:after="100"/>
      <w:ind w:left="1760" w:firstLine="0"/>
      <w:jc w:val="left"/>
    </w:pPr>
    <w:rPr>
      <w:rFonts w:eastAsia="Times New Roman"/>
    </w:rPr>
  </w:style>
  <w:style w:type="paragraph" w:customStyle="1" w:styleId="Level1">
    <w:name w:val="_Level 1"/>
    <w:basedOn w:val="Normal"/>
    <w:uiPriority w:val="99"/>
    <w:qFormat/>
    <w:rsid w:val="00E33805"/>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rsid w:val="00E33805"/>
    <w:pPr>
      <w:spacing w:before="360" w:after="360" w:line="240" w:lineRule="auto"/>
      <w:ind w:firstLine="0"/>
      <w:jc w:val="center"/>
    </w:pPr>
    <w:rPr>
      <w:rFonts w:ascii="Times New Roman" w:eastAsia="Times New Roman" w:hAnsi="Times New Roman"/>
      <w:b/>
      <w:bCs/>
      <w:sz w:val="24"/>
      <w:szCs w:val="24"/>
      <w:lang w:val="en-GB" w:eastAsia="en-GB"/>
    </w:rPr>
  </w:style>
  <w:style w:type="character" w:customStyle="1" w:styleId="ParagrafiCharChar">
    <w:name w:val="Paragrafi Char Char"/>
    <w:rsid w:val="00E33805"/>
    <w:rPr>
      <w:rFonts w:ascii="CG Times" w:hAnsi="CG Times"/>
      <w:sz w:val="22"/>
      <w:lang w:val="en-US" w:eastAsia="en-US" w:bidi="ar-SA"/>
    </w:rPr>
  </w:style>
  <w:style w:type="paragraph" w:styleId="Index1">
    <w:name w:val="index 1"/>
    <w:basedOn w:val="Normal"/>
    <w:next w:val="Normal"/>
    <w:autoRedefine/>
    <w:uiPriority w:val="99"/>
    <w:semiHidden/>
    <w:rsid w:val="00E33805"/>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uiPriority w:val="99"/>
    <w:semiHidden/>
    <w:rsid w:val="00E33805"/>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uiPriority w:val="99"/>
    <w:semiHidden/>
    <w:rsid w:val="00E33805"/>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uiPriority w:val="99"/>
    <w:semiHidden/>
    <w:rsid w:val="00E33805"/>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uiPriority w:val="99"/>
    <w:semiHidden/>
    <w:rsid w:val="00E33805"/>
    <w:pPr>
      <w:tabs>
        <w:tab w:val="right" w:pos="2659"/>
      </w:tabs>
      <w:spacing w:after="0" w:line="240" w:lineRule="auto"/>
      <w:ind w:left="1100" w:hanging="221"/>
      <w:jc w:val="left"/>
    </w:pPr>
    <w:rPr>
      <w:rFonts w:ascii="Tahoma" w:eastAsia="Times New Roman" w:hAnsi="Tahoma"/>
      <w:sz w:val="20"/>
      <w:lang w:val="de-AT" w:eastAsia="de-DE"/>
    </w:rPr>
  </w:style>
  <w:style w:type="numbering" w:styleId="111111">
    <w:name w:val="Outline List 2"/>
    <w:basedOn w:val="NoList"/>
    <w:uiPriority w:val="99"/>
    <w:semiHidden/>
    <w:rsid w:val="00E33805"/>
    <w:pPr>
      <w:numPr>
        <w:numId w:val="17"/>
      </w:numPr>
    </w:pPr>
  </w:style>
  <w:style w:type="character" w:styleId="HTMLAcronym">
    <w:name w:val="HTML Acronym"/>
    <w:uiPriority w:val="99"/>
    <w:semiHidden/>
    <w:rsid w:val="00E33805"/>
  </w:style>
  <w:style w:type="character" w:styleId="HTMLSample">
    <w:name w:val="HTML Sample"/>
    <w:uiPriority w:val="99"/>
    <w:semiHidden/>
    <w:rsid w:val="00E33805"/>
    <w:rPr>
      <w:rFonts w:ascii="Courier New" w:hAnsi="Courier New" w:cs="Courier New"/>
    </w:rPr>
  </w:style>
  <w:style w:type="character" w:styleId="HTMLDefinition">
    <w:name w:val="HTML Definition"/>
    <w:uiPriority w:val="99"/>
    <w:semiHidden/>
    <w:rsid w:val="00E33805"/>
    <w:rPr>
      <w:i/>
      <w:iCs/>
    </w:rPr>
  </w:style>
  <w:style w:type="character" w:styleId="HTMLTypewriter">
    <w:name w:val="HTML Typewriter"/>
    <w:uiPriority w:val="99"/>
    <w:semiHidden/>
    <w:rsid w:val="00E33805"/>
    <w:rPr>
      <w:rFonts w:ascii="Courier New" w:hAnsi="Courier New" w:cs="Courier New"/>
      <w:sz w:val="20"/>
      <w:szCs w:val="20"/>
    </w:rPr>
  </w:style>
  <w:style w:type="character" w:styleId="HTMLKeyboard">
    <w:name w:val="HTML Keyboard"/>
    <w:uiPriority w:val="99"/>
    <w:semiHidden/>
    <w:rsid w:val="00E33805"/>
    <w:rPr>
      <w:rFonts w:ascii="Courier New" w:hAnsi="Courier New" w:cs="Courier New"/>
      <w:sz w:val="20"/>
      <w:szCs w:val="20"/>
    </w:rPr>
  </w:style>
  <w:style w:type="character" w:styleId="HTMLVariable">
    <w:name w:val="HTML Variable"/>
    <w:uiPriority w:val="99"/>
    <w:semiHidden/>
    <w:rsid w:val="00E33805"/>
    <w:rPr>
      <w:i/>
      <w:iCs/>
    </w:rPr>
  </w:style>
  <w:style w:type="paragraph" w:styleId="HTMLPreformatted">
    <w:name w:val="HTML Preformatted"/>
    <w:basedOn w:val="Normal"/>
    <w:link w:val="HTMLPreformattedChar"/>
    <w:uiPriority w:val="99"/>
    <w:rsid w:val="00E33805"/>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E33805"/>
    <w:rPr>
      <w:rFonts w:ascii="Courier New" w:eastAsia="Times New Roman" w:hAnsi="Courier New" w:cs="Times New Roman"/>
      <w:sz w:val="20"/>
      <w:lang w:val="de-AT" w:eastAsia="de-DE"/>
    </w:rPr>
  </w:style>
  <w:style w:type="character" w:customStyle="1" w:styleId="FooterChar1">
    <w:name w:val="Footer Char1"/>
    <w:uiPriority w:val="99"/>
    <w:semiHidden/>
    <w:rsid w:val="00E33805"/>
    <w:rPr>
      <w:rFonts w:ascii="Tahoma" w:eastAsia="Times New Roman" w:hAnsi="Tahoma" w:cs="Tahoma"/>
      <w:sz w:val="24"/>
      <w:szCs w:val="20"/>
    </w:rPr>
  </w:style>
  <w:style w:type="paragraph" w:customStyle="1" w:styleId="ListParagraph1">
    <w:name w:val="List Paragraph1"/>
    <w:basedOn w:val="Normal"/>
    <w:uiPriority w:val="34"/>
    <w:qFormat/>
    <w:rsid w:val="00E33805"/>
    <w:pPr>
      <w:ind w:left="720" w:firstLine="0"/>
      <w:contextualSpacing/>
    </w:pPr>
  </w:style>
  <w:style w:type="paragraph" w:customStyle="1" w:styleId="ReturnAddress">
    <w:name w:val="Return Address"/>
    <w:basedOn w:val="Normal"/>
    <w:rsid w:val="00E33805"/>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rsid w:val="00E33805"/>
    <w:pPr>
      <w:numPr>
        <w:numId w:val="0"/>
      </w:numPr>
      <w:spacing w:before="240"/>
      <w:jc w:val="left"/>
    </w:pPr>
    <w:rPr>
      <w:rFonts w:ascii="Tahoma" w:hAnsi="Tahoma" w:cs="Times New Roman"/>
      <w:b/>
      <w:color w:val="808080"/>
      <w:spacing w:val="-5"/>
      <w:sz w:val="22"/>
      <w:szCs w:val="22"/>
      <w:lang w:val="el-GR"/>
    </w:rPr>
  </w:style>
  <w:style w:type="paragraph" w:customStyle="1" w:styleId="CharCharCharCharCharCharCharCharCharCharChar">
    <w:name w:val="Char Char Char Char Char Char Char Char Char Char Char"/>
    <w:basedOn w:val="Normal"/>
    <w:rsid w:val="00E33805"/>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rsid w:val="00E33805"/>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E33805"/>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rsid w:val="00E33805"/>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rsid w:val="00E33805"/>
    <w:pPr>
      <w:numPr>
        <w:ilvl w:val="1"/>
      </w:numPr>
      <w:tabs>
        <w:tab w:val="num" w:pos="720"/>
      </w:tabs>
      <w:ind w:left="720" w:hanging="360"/>
    </w:pPr>
  </w:style>
  <w:style w:type="paragraph" w:customStyle="1" w:styleId="CharCharCharCharCharCharCharCharCharCharChar1">
    <w:name w:val="Char Char Char Char Char Char Char Char Char Char Char1"/>
    <w:basedOn w:val="Normal"/>
    <w:rsid w:val="00E33805"/>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rsid w:val="00E33805"/>
    <w:pPr>
      <w:spacing w:after="160" w:line="240" w:lineRule="exact"/>
      <w:ind w:firstLine="0"/>
      <w:jc w:val="left"/>
    </w:pPr>
    <w:rPr>
      <w:rFonts w:asciiTheme="minorHAnsi" w:eastAsiaTheme="minorHAnsi" w:hAnsiTheme="minorHAnsi" w:cstheme="minorBidi"/>
      <w:vertAlign w:val="superscript"/>
    </w:rPr>
  </w:style>
  <w:style w:type="character" w:customStyle="1" w:styleId="st">
    <w:name w:val="st"/>
    <w:basedOn w:val="DefaultParagraphFont"/>
    <w:rsid w:val="00E33805"/>
  </w:style>
  <w:style w:type="numbering" w:customStyle="1" w:styleId="NoList6">
    <w:name w:val="No List6"/>
    <w:next w:val="NoList"/>
    <w:uiPriority w:val="99"/>
    <w:semiHidden/>
    <w:unhideWhenUsed/>
    <w:rsid w:val="00E33805"/>
  </w:style>
  <w:style w:type="paragraph" w:customStyle="1" w:styleId="CharCharCharCharCharCharCharCharCharCharCharCharCharCharCharChar">
    <w:name w:val="Char Char Char Char Char Char Char Char Char Char Char Char Char Char Char Char"/>
    <w:basedOn w:val="Normal"/>
    <w:rsid w:val="00E33805"/>
    <w:pPr>
      <w:spacing w:after="160" w:line="240" w:lineRule="exact"/>
      <w:ind w:firstLine="0"/>
      <w:jc w:val="left"/>
    </w:pPr>
    <w:rPr>
      <w:rFonts w:ascii="Tahoma" w:eastAsia="MS Mincho" w:hAnsi="Tahoma"/>
      <w:sz w:val="20"/>
      <w:szCs w:val="20"/>
    </w:rPr>
  </w:style>
  <w:style w:type="character" w:customStyle="1" w:styleId="TitleChar2">
    <w:name w:val="Title Char2"/>
    <w:uiPriority w:val="99"/>
    <w:locked/>
    <w:rsid w:val="00E33805"/>
    <w:rPr>
      <w:rFonts w:ascii="Arrus BT" w:eastAsia="MS Mincho" w:hAnsi="Arrus BT" w:cs="Arrus BT"/>
      <w:b/>
      <w:bCs/>
      <w:sz w:val="32"/>
      <w:szCs w:val="32"/>
      <w:lang w:val="en-US" w:eastAsia="en-US"/>
    </w:rPr>
  </w:style>
  <w:style w:type="character" w:customStyle="1" w:styleId="TitleChar1">
    <w:name w:val="Title Char1"/>
    <w:locked/>
    <w:rsid w:val="00E33805"/>
    <w:rPr>
      <w:rFonts w:ascii="Arrus BT" w:eastAsia="MS Mincho" w:hAnsi="Arrus BT" w:cs="Arrus BT"/>
      <w:b/>
      <w:bCs/>
      <w:sz w:val="32"/>
      <w:szCs w:val="32"/>
      <w:lang w:val="en-US"/>
    </w:rPr>
  </w:style>
  <w:style w:type="paragraph" w:customStyle="1" w:styleId="Style5">
    <w:name w:val="Style5"/>
    <w:basedOn w:val="Normal"/>
    <w:rsid w:val="00E33805"/>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rsid w:val="00E33805"/>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customStyle="1" w:styleId="MessageHeaderFirst">
    <w:name w:val="Message Header First"/>
    <w:basedOn w:val="MessageHeader"/>
    <w:next w:val="MessageHeader"/>
    <w:rsid w:val="00E33805"/>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eastAsia="en-US"/>
    </w:rPr>
  </w:style>
  <w:style w:type="character" w:customStyle="1" w:styleId="MessageHeaderLabel">
    <w:name w:val="Message Header Label"/>
    <w:rsid w:val="00E33805"/>
    <w:rPr>
      <w:rFonts w:ascii="Arial Black" w:hAnsi="Arial Black"/>
      <w:spacing w:val="-10"/>
      <w:sz w:val="18"/>
    </w:rPr>
  </w:style>
  <w:style w:type="paragraph" w:customStyle="1" w:styleId="MessageHeaderLast">
    <w:name w:val="Message Header Last"/>
    <w:basedOn w:val="MessageHeader"/>
    <w:next w:val="BodyText"/>
    <w:rsid w:val="00E33805"/>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eastAsia="en-US"/>
    </w:rPr>
  </w:style>
  <w:style w:type="table" w:styleId="LightGrid-Accent2">
    <w:name w:val="Light Grid Accent 2"/>
    <w:basedOn w:val="TableNormal"/>
    <w:uiPriority w:val="99"/>
    <w:rsid w:val="00E33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ubtleEmphasis">
    <w:name w:val="Subtle Emphasis"/>
    <w:uiPriority w:val="99"/>
    <w:qFormat/>
    <w:rsid w:val="00E33805"/>
    <w:rPr>
      <w:i/>
      <w:iCs/>
      <w:color w:val="404040"/>
    </w:rPr>
  </w:style>
  <w:style w:type="paragraph" w:customStyle="1" w:styleId="ColorfulList-Accent11">
    <w:name w:val="Colorful List - Accent 11"/>
    <w:basedOn w:val="Normal"/>
    <w:qFormat/>
    <w:rsid w:val="00E33805"/>
    <w:pPr>
      <w:ind w:left="720" w:firstLine="0"/>
      <w:contextualSpacing/>
      <w:jc w:val="left"/>
    </w:pPr>
    <w:rPr>
      <w:rFonts w:eastAsia="MS Mincho"/>
    </w:rPr>
  </w:style>
  <w:style w:type="paragraph" w:customStyle="1" w:styleId="Style54">
    <w:name w:val="Style54"/>
    <w:basedOn w:val="Normal"/>
    <w:uiPriority w:val="99"/>
    <w:rsid w:val="00E33805"/>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rsid w:val="00E33805"/>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character" w:customStyle="1" w:styleId="FontStyle85">
    <w:name w:val="Font Style85"/>
    <w:basedOn w:val="DefaultParagraphFont"/>
    <w:uiPriority w:val="99"/>
    <w:rsid w:val="00E33805"/>
    <w:rPr>
      <w:rFonts w:ascii="Garamond" w:hAnsi="Garamond" w:cs="Garamond"/>
      <w:sz w:val="22"/>
      <w:szCs w:val="22"/>
    </w:rPr>
  </w:style>
  <w:style w:type="paragraph" w:customStyle="1" w:styleId="ModelNrmlDouble">
    <w:name w:val="ModelNrmlDouble"/>
    <w:basedOn w:val="Normal"/>
    <w:rsid w:val="00E33805"/>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rsid w:val="00E33805"/>
    <w:pPr>
      <w:ind w:firstLine="0"/>
    </w:pPr>
    <w:rPr>
      <w:u w:val="single"/>
    </w:rPr>
  </w:style>
  <w:style w:type="character" w:customStyle="1" w:styleId="Paragraph1Char">
    <w:name w:val="Paragraph (1) Char"/>
    <w:link w:val="Paragraph1"/>
    <w:rsid w:val="00E33805"/>
    <w:rPr>
      <w:rFonts w:ascii="Times New Roman" w:eastAsia="Times New Roman" w:hAnsi="Times New Roman" w:cs="Times New Roman"/>
      <w:sz w:val="24"/>
      <w:szCs w:val="20"/>
      <w:lang w:val="en-GB" w:eastAsia="en-GB"/>
    </w:rPr>
  </w:style>
  <w:style w:type="paragraph" w:customStyle="1" w:styleId="Indenta">
    <w:name w:val="Indent (a)"/>
    <w:basedOn w:val="Normal"/>
    <w:rsid w:val="00E33805"/>
    <w:pPr>
      <w:spacing w:before="240" w:after="0" w:line="240" w:lineRule="auto"/>
      <w:ind w:left="3969" w:hanging="567"/>
    </w:pPr>
    <w:rPr>
      <w:rFonts w:ascii="Times New Roman" w:hAnsi="Times New Roman"/>
      <w:sz w:val="24"/>
      <w:szCs w:val="24"/>
      <w:lang w:val="en-GB" w:eastAsia="en-GB"/>
    </w:rPr>
  </w:style>
  <w:style w:type="numbering" w:customStyle="1" w:styleId="aAhs">
    <w:name w:val="aAhs"/>
    <w:uiPriority w:val="99"/>
    <w:rsid w:val="00E33805"/>
    <w:pPr>
      <w:numPr>
        <w:numId w:val="18"/>
      </w:numPr>
    </w:pPr>
  </w:style>
  <w:style w:type="paragraph" w:customStyle="1" w:styleId="CharCharChar">
    <w:name w:val="Char Char Char"/>
    <w:basedOn w:val="Normal"/>
    <w:rsid w:val="00E33805"/>
    <w:pPr>
      <w:spacing w:after="160" w:line="240" w:lineRule="exact"/>
      <w:ind w:firstLine="0"/>
      <w:jc w:val="left"/>
    </w:pPr>
    <w:rPr>
      <w:rFonts w:ascii="Tahoma" w:eastAsia="Times New Roman" w:hAnsi="Tahoma"/>
      <w:sz w:val="20"/>
      <w:szCs w:val="20"/>
      <w:lang w:val="sq-AL"/>
    </w:rPr>
  </w:style>
  <w:style w:type="character" w:customStyle="1" w:styleId="arial14">
    <w:name w:val="arial14"/>
    <w:rsid w:val="00E33805"/>
  </w:style>
  <w:style w:type="character" w:customStyle="1" w:styleId="ju-005fpara--char">
    <w:name w:val="ju-005fpara--char"/>
    <w:basedOn w:val="DefaultParagraphFont"/>
    <w:rsid w:val="00E33805"/>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rsid w:val="00E33805"/>
    <w:pPr>
      <w:spacing w:after="160" w:line="240" w:lineRule="exact"/>
      <w:ind w:firstLine="0"/>
      <w:jc w:val="left"/>
    </w:pPr>
    <w:rPr>
      <w:sz w:val="20"/>
      <w:szCs w:val="20"/>
      <w:vertAlign w:val="superscript"/>
    </w:rPr>
  </w:style>
  <w:style w:type="character" w:customStyle="1" w:styleId="eheadnotes">
    <w:name w:val="eheadnotes"/>
    <w:rsid w:val="00E33805"/>
    <w:rPr>
      <w:rFonts w:cs="Times New Roman"/>
    </w:rPr>
  </w:style>
  <w:style w:type="character" w:customStyle="1" w:styleId="edate">
    <w:name w:val="edate"/>
    <w:rsid w:val="00E33805"/>
    <w:rPr>
      <w:rFonts w:cs="Times New Roman"/>
    </w:rPr>
  </w:style>
  <w:style w:type="character" w:customStyle="1" w:styleId="enumber">
    <w:name w:val="enumber"/>
    <w:rsid w:val="00E33805"/>
    <w:rPr>
      <w:rFonts w:cs="Times New Roman"/>
    </w:rPr>
  </w:style>
  <w:style w:type="character" w:customStyle="1" w:styleId="ColorfulList-Accent1Char">
    <w:name w:val="Colorful List - Accent 1 Char"/>
    <w:link w:val="ColorfulList-Accent1"/>
    <w:uiPriority w:val="1"/>
    <w:rsid w:val="00E33805"/>
    <w:rPr>
      <w:rFonts w:ascii="Times New Roman" w:eastAsia="MS Mincho" w:hAnsi="Times New Roman"/>
      <w:sz w:val="24"/>
      <w:szCs w:val="24"/>
      <w:lang w:val="sq-AL"/>
    </w:rPr>
  </w:style>
  <w:style w:type="table" w:styleId="ColorfulList-Accent1">
    <w:name w:val="Colorful List Accent 1"/>
    <w:basedOn w:val="TableNormal"/>
    <w:link w:val="ColorfulList-Accent1Char"/>
    <w:uiPriority w:val="99"/>
    <w:rsid w:val="00E33805"/>
    <w:pPr>
      <w:spacing w:after="0" w:line="240" w:lineRule="auto"/>
    </w:pPr>
    <w:rPr>
      <w:rFonts w:ascii="Times New Roman" w:eastAsia="MS Mincho" w:hAnsi="Times New Roman"/>
      <w:sz w:val="24"/>
      <w:szCs w:val="24"/>
      <w:lang w:val="sq-AL"/>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2">
    <w:name w:val="default"/>
    <w:basedOn w:val="Normal"/>
    <w:rsid w:val="00E33805"/>
    <w:pPr>
      <w:spacing w:before="100" w:beforeAutospacing="1" w:after="100" w:afterAutospacing="1" w:line="240" w:lineRule="auto"/>
      <w:ind w:firstLine="0"/>
      <w:jc w:val="left"/>
    </w:pPr>
    <w:rPr>
      <w:rFonts w:ascii="Times New Roman" w:hAnsi="Times New Roman"/>
      <w:sz w:val="24"/>
      <w:szCs w:val="24"/>
    </w:rPr>
  </w:style>
  <w:style w:type="character" w:styleId="IntenseReference">
    <w:name w:val="Intense Reference"/>
    <w:basedOn w:val="DefaultParagraphFont"/>
    <w:uiPriority w:val="99"/>
    <w:qFormat/>
    <w:rsid w:val="00E33805"/>
    <w:rPr>
      <w:b/>
      <w:bCs/>
      <w:smallCaps/>
      <w:color w:val="4F81BD" w:themeColor="accent1"/>
      <w:spacing w:val="5"/>
    </w:rPr>
  </w:style>
  <w:style w:type="character" w:customStyle="1" w:styleId="DefaultChar">
    <w:name w:val="Default Char"/>
    <w:link w:val="Default"/>
    <w:rsid w:val="00E33805"/>
    <w:rPr>
      <w:rFonts w:ascii="Times New Roman" w:eastAsia="Calibri" w:hAnsi="Times New Roman" w:cs="Times New Roman"/>
      <w:color w:val="000000"/>
      <w:sz w:val="24"/>
      <w:szCs w:val="24"/>
    </w:rPr>
  </w:style>
  <w:style w:type="paragraph" w:customStyle="1" w:styleId="TableHeading">
    <w:name w:val="Table Heading"/>
    <w:basedOn w:val="Normal"/>
    <w:rsid w:val="00C05673"/>
    <w:pPr>
      <w:keepLines/>
      <w:overflowPunct w:val="0"/>
      <w:autoSpaceDE w:val="0"/>
      <w:autoSpaceDN w:val="0"/>
      <w:adjustRightInd w:val="0"/>
      <w:spacing w:before="120" w:after="120" w:line="240" w:lineRule="auto"/>
      <w:ind w:firstLine="0"/>
      <w:jc w:val="left"/>
      <w:textAlignment w:val="baseline"/>
    </w:pPr>
    <w:rPr>
      <w:rFonts w:ascii="Book Antiqua" w:eastAsia="Times New Roman" w:hAnsi="Book Antiqua"/>
      <w:b/>
      <w:sz w:val="16"/>
      <w:szCs w:val="20"/>
    </w:rPr>
  </w:style>
  <w:style w:type="paragraph" w:customStyle="1" w:styleId="Numberedparagraph">
    <w:name w:val="Numbered paragraph"/>
    <w:basedOn w:val="Normal"/>
    <w:rsid w:val="00C05673"/>
    <w:pPr>
      <w:tabs>
        <w:tab w:val="right" w:pos="360"/>
        <w:tab w:val="left" w:pos="720"/>
      </w:tabs>
      <w:spacing w:before="120" w:after="0" w:line="240" w:lineRule="exact"/>
      <w:ind w:left="720" w:hanging="720"/>
    </w:pPr>
    <w:rPr>
      <w:rFonts w:ascii="Times New Roman" w:eastAsia="Times New Roman" w:hAnsi="Times New Roman"/>
      <w:sz w:val="20"/>
      <w:szCs w:val="20"/>
    </w:rPr>
  </w:style>
  <w:style w:type="table" w:customStyle="1" w:styleId="LightShading1">
    <w:name w:val="Light Shading1"/>
    <w:basedOn w:val="TableNormal"/>
    <w:uiPriority w:val="60"/>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99"/>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uCase">
    <w:name w:val="Ju_Case"/>
    <w:basedOn w:val="Normal"/>
    <w:next w:val="JuPara"/>
    <w:uiPriority w:val="10"/>
    <w:rsid w:val="007E21F3"/>
    <w:pPr>
      <w:spacing w:after="0" w:line="240" w:lineRule="auto"/>
    </w:pPr>
    <w:rPr>
      <w:rFonts w:ascii="Times New Roman" w:eastAsia="MS Mincho" w:hAnsi="Times New Roman"/>
      <w:b/>
      <w:sz w:val="24"/>
      <w:lang w:val="en-GB"/>
    </w:rPr>
  </w:style>
  <w:style w:type="paragraph" w:customStyle="1" w:styleId="jupara0">
    <w:name w:val="jupara"/>
    <w:basedOn w:val="Normal"/>
    <w:rsid w:val="007E21F3"/>
    <w:pPr>
      <w:spacing w:after="0" w:line="240" w:lineRule="auto"/>
    </w:pPr>
    <w:rPr>
      <w:rFonts w:ascii="Times New Roman" w:eastAsia="Times New Roman" w:hAnsi="Times New Roman"/>
      <w:sz w:val="24"/>
      <w:szCs w:val="24"/>
      <w:lang w:val="en-GB" w:eastAsia="en-GB"/>
    </w:rPr>
  </w:style>
  <w:style w:type="paragraph" w:customStyle="1" w:styleId="jucase0">
    <w:name w:val="jucase"/>
    <w:basedOn w:val="Normal"/>
    <w:rsid w:val="007E21F3"/>
    <w:pPr>
      <w:spacing w:after="0" w:line="240" w:lineRule="auto"/>
    </w:pPr>
    <w:rPr>
      <w:rFonts w:ascii="Times New Roman" w:eastAsia="Times New Roman" w:hAnsi="Times New Roman"/>
      <w:b/>
      <w:bCs/>
      <w:sz w:val="24"/>
      <w:szCs w:val="24"/>
      <w:lang w:val="en-GB" w:eastAsia="en-GB"/>
    </w:rPr>
  </w:style>
  <w:style w:type="paragraph" w:customStyle="1" w:styleId="ECHRHeader">
    <w:name w:val="ECHR_Header"/>
    <w:aliases w:val="Ju_Header"/>
    <w:basedOn w:val="Header"/>
    <w:uiPriority w:val="4"/>
    <w:qFormat/>
    <w:rsid w:val="00395112"/>
    <w:pPr>
      <w:tabs>
        <w:tab w:val="clear" w:pos="4680"/>
        <w:tab w:val="clear" w:pos="9360"/>
        <w:tab w:val="center" w:pos="3686"/>
        <w:tab w:val="right" w:pos="7371"/>
      </w:tabs>
      <w:ind w:firstLine="0"/>
      <w:jc w:val="left"/>
    </w:pPr>
    <w:rPr>
      <w:rFonts w:ascii="Times New Roman" w:eastAsia="Times New Roman" w:hAnsi="Times New Roman"/>
      <w:sz w:val="18"/>
      <w:szCs w:val="20"/>
      <w:lang w:val="en-GB"/>
    </w:rPr>
  </w:style>
  <w:style w:type="paragraph" w:customStyle="1" w:styleId="ECHRFooter">
    <w:name w:val="ECHR_Footer"/>
    <w:aliases w:val="Footer_ECHR"/>
    <w:basedOn w:val="Footer"/>
    <w:uiPriority w:val="57"/>
    <w:semiHidden/>
    <w:rsid w:val="00395112"/>
    <w:pPr>
      <w:tabs>
        <w:tab w:val="clear" w:pos="4680"/>
        <w:tab w:val="clear" w:pos="9360"/>
        <w:tab w:val="center" w:pos="4536"/>
        <w:tab w:val="right" w:pos="9696"/>
      </w:tabs>
      <w:ind w:left="-680" w:right="-680" w:firstLine="0"/>
      <w:jc w:val="left"/>
    </w:pPr>
    <w:rPr>
      <w:rFonts w:ascii="Times New Roman" w:eastAsia="Times New Roman" w:hAnsi="Times New Roman"/>
      <w:sz w:val="8"/>
      <w:szCs w:val="20"/>
      <w:lang w:val="en-GB"/>
    </w:rPr>
  </w:style>
  <w:style w:type="paragraph" w:customStyle="1" w:styleId="ECHRFooterLine">
    <w:name w:val="ECHR_Footer_Line"/>
    <w:aliases w:val="Footer_Line"/>
    <w:basedOn w:val="Normal"/>
    <w:next w:val="ECHRFooter"/>
    <w:uiPriority w:val="57"/>
    <w:semiHidden/>
    <w:rsid w:val="00395112"/>
    <w:pPr>
      <w:pBdr>
        <w:top w:val="single" w:sz="6" w:space="1" w:color="5F5F5F"/>
      </w:pBdr>
      <w:tabs>
        <w:tab w:val="center" w:pos="4536"/>
        <w:tab w:val="right" w:pos="9696"/>
      </w:tabs>
      <w:spacing w:after="0" w:line="240" w:lineRule="auto"/>
      <w:ind w:left="-680" w:right="-680" w:firstLine="0"/>
      <w:jc w:val="left"/>
    </w:pPr>
    <w:rPr>
      <w:rFonts w:ascii="Times New Roman" w:eastAsia="MS Mincho" w:hAnsi="Times New Roman"/>
      <w:color w:val="5F5F5F"/>
      <w:sz w:val="24"/>
      <w:lang w:val="en-GB"/>
    </w:rPr>
  </w:style>
  <w:style w:type="paragraph" w:customStyle="1" w:styleId="DecHTitle">
    <w:name w:val="Dec_H_Title"/>
    <w:basedOn w:val="ECHRTitleCentre1"/>
    <w:uiPriority w:val="7"/>
    <w:semiHidden/>
    <w:qFormat/>
    <w:rsid w:val="00395112"/>
  </w:style>
  <w:style w:type="paragraph" w:customStyle="1" w:styleId="DecList">
    <w:name w:val="Dec_List"/>
    <w:basedOn w:val="Normal"/>
    <w:uiPriority w:val="9"/>
    <w:semiHidden/>
    <w:qFormat/>
    <w:rsid w:val="00395112"/>
    <w:pPr>
      <w:spacing w:before="240" w:after="0" w:line="240" w:lineRule="auto"/>
      <w:ind w:left="284" w:firstLine="0"/>
    </w:pPr>
    <w:rPr>
      <w:rFonts w:ascii="Times New Roman" w:eastAsia="MS Mincho" w:hAnsi="Times New Roman"/>
      <w:sz w:val="24"/>
      <w:lang w:val="en-GB"/>
    </w:rPr>
  </w:style>
  <w:style w:type="paragraph" w:customStyle="1" w:styleId="DummyStyle">
    <w:name w:val="Dummy_Style"/>
    <w:basedOn w:val="Normal"/>
    <w:semiHidden/>
    <w:qFormat/>
    <w:rsid w:val="00395112"/>
    <w:pPr>
      <w:spacing w:after="0" w:line="240" w:lineRule="auto"/>
      <w:ind w:firstLine="0"/>
    </w:pPr>
    <w:rPr>
      <w:rFonts w:ascii="Times New Roman" w:eastAsia="MS Mincho" w:hAnsi="Times New Roman"/>
      <w:color w:val="00B050"/>
      <w:sz w:val="24"/>
      <w:lang w:val="en-GB"/>
    </w:rPr>
  </w:style>
  <w:style w:type="paragraph" w:customStyle="1" w:styleId="ECHRTitleCentre3">
    <w:name w:val="ECHR_Title_Centre_3"/>
    <w:aliases w:val="Ju_H_Article"/>
    <w:basedOn w:val="Normal"/>
    <w:next w:val="ECHRParaQuote"/>
    <w:uiPriority w:val="27"/>
    <w:qFormat/>
    <w:rsid w:val="00395112"/>
    <w:pPr>
      <w:keepNext/>
      <w:keepLines/>
      <w:spacing w:before="240" w:after="120" w:line="240" w:lineRule="auto"/>
      <w:ind w:firstLine="0"/>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5112"/>
    <w:pPr>
      <w:keepNext/>
      <w:keepLines/>
      <w:spacing w:after="240" w:line="240" w:lineRule="auto"/>
      <w:ind w:firstLine="0"/>
      <w:jc w:val="center"/>
      <w:outlineLvl w:val="0"/>
    </w:pPr>
    <w:rPr>
      <w:rFonts w:ascii="Times New Roman" w:eastAsia="MS Mincho" w:hAnsi="Times New Roman"/>
      <w:sz w:val="28"/>
      <w:lang w:val="en-GB"/>
    </w:rPr>
  </w:style>
  <w:style w:type="paragraph" w:customStyle="1" w:styleId="JuAppQuestion">
    <w:name w:val="Ju_App_Question"/>
    <w:basedOn w:val="Normal"/>
    <w:uiPriority w:val="5"/>
    <w:semiHidden/>
    <w:qFormat/>
    <w:rsid w:val="00395112"/>
    <w:pPr>
      <w:numPr>
        <w:numId w:val="382"/>
      </w:numPr>
      <w:spacing w:after="0" w:line="240" w:lineRule="auto"/>
      <w:jc w:val="left"/>
    </w:pPr>
    <w:rPr>
      <w:rFonts w:ascii="Times New Roman" w:eastAsia="MS Mincho" w:hAnsi="Times New Roman"/>
      <w:b/>
      <w:sz w:val="24"/>
      <w:lang w:val="en-GB"/>
    </w:rPr>
  </w:style>
  <w:style w:type="paragraph" w:customStyle="1" w:styleId="JuHeaderLandscape">
    <w:name w:val="Ju_Header_Landscape"/>
    <w:basedOn w:val="ECHRHeader"/>
    <w:uiPriority w:val="4"/>
    <w:qFormat/>
    <w:rsid w:val="00395112"/>
    <w:pPr>
      <w:tabs>
        <w:tab w:val="clear" w:pos="3686"/>
        <w:tab w:val="clear" w:pos="7371"/>
        <w:tab w:val="center" w:pos="6146"/>
        <w:tab w:val="right" w:pos="12293"/>
      </w:tabs>
    </w:pPr>
  </w:style>
  <w:style w:type="paragraph" w:customStyle="1" w:styleId="JuInitialled">
    <w:name w:val="Ju_Initialled"/>
    <w:basedOn w:val="Normal"/>
    <w:uiPriority w:val="31"/>
    <w:qFormat/>
    <w:rsid w:val="00395112"/>
    <w:pPr>
      <w:tabs>
        <w:tab w:val="center" w:pos="6407"/>
      </w:tabs>
      <w:spacing w:before="720" w:after="0" w:line="240" w:lineRule="auto"/>
      <w:ind w:firstLine="0"/>
      <w:jc w:val="right"/>
    </w:pPr>
    <w:rPr>
      <w:rFonts w:ascii="Times New Roman" w:eastAsia="MS Mincho" w:hAnsi="Times New Roman"/>
      <w:sz w:val="24"/>
      <w:lang w:val="en-GB"/>
    </w:rPr>
  </w:style>
  <w:style w:type="paragraph" w:customStyle="1" w:styleId="ECHRTitleCentre2">
    <w:name w:val="ECHR_Title_Centre_2"/>
    <w:aliases w:val="Dec_H_Case"/>
    <w:basedOn w:val="Normal"/>
    <w:next w:val="JuPara"/>
    <w:uiPriority w:val="8"/>
    <w:qFormat/>
    <w:rsid w:val="00395112"/>
    <w:pPr>
      <w:spacing w:after="240" w:line="240" w:lineRule="auto"/>
      <w:ind w:firstLine="0"/>
      <w:jc w:val="center"/>
      <w:outlineLvl w:val="0"/>
    </w:pPr>
    <w:rPr>
      <w:rFonts w:ascii="Times New Roman" w:eastAsia="MS Mincho" w:hAnsi="Times New Roman"/>
      <w:sz w:val="24"/>
      <w:lang w:val="en-GB"/>
    </w:rPr>
  </w:style>
  <w:style w:type="character" w:customStyle="1" w:styleId="JuITMark">
    <w:name w:val="Ju_ITMark"/>
    <w:uiPriority w:val="38"/>
    <w:qFormat/>
    <w:rsid w:val="00395112"/>
    <w:rPr>
      <w:vanish w:val="0"/>
      <w:color w:val="auto"/>
      <w:sz w:val="14"/>
      <w:bdr w:val="none" w:sz="0" w:space="0" w:color="auto"/>
      <w:shd w:val="clear" w:color="auto" w:fill="BEE5FF"/>
    </w:rPr>
  </w:style>
  <w:style w:type="paragraph" w:customStyle="1" w:styleId="ECHRHeading3">
    <w:name w:val="ECHR_Heading_3"/>
    <w:aliases w:val="Ju_H_1."/>
    <w:basedOn w:val="Heading3"/>
    <w:next w:val="JuPara"/>
    <w:uiPriority w:val="21"/>
    <w:qFormat/>
    <w:rsid w:val="00395112"/>
    <w:pPr>
      <w:keepNext/>
      <w:keepLines/>
      <w:tabs>
        <w:tab w:val="clear" w:pos="1080"/>
        <w:tab w:val="left" w:pos="731"/>
      </w:tabs>
      <w:spacing w:before="240" w:after="120" w:line="240" w:lineRule="auto"/>
      <w:ind w:left="732" w:hanging="301"/>
    </w:pPr>
    <w:rPr>
      <w:rFonts w:ascii="Times New Roman" w:eastAsia="MS Gothic" w:hAnsi="Times New Roman" w:cs="Times New Roman"/>
      <w:b w:val="0"/>
      <w:i/>
      <w:szCs w:val="20"/>
      <w:lang w:val="en-GB"/>
    </w:rPr>
  </w:style>
  <w:style w:type="paragraph" w:customStyle="1" w:styleId="ECHRHeading4">
    <w:name w:val="ECHR_Heading_4"/>
    <w:aliases w:val="Ju_H_a"/>
    <w:basedOn w:val="Heading4"/>
    <w:next w:val="JuPara"/>
    <w:uiPriority w:val="22"/>
    <w:qFormat/>
    <w:rsid w:val="00395112"/>
    <w:pPr>
      <w:keepNext/>
      <w:keepLines/>
      <w:tabs>
        <w:tab w:val="clear" w:pos="1440"/>
        <w:tab w:val="left" w:pos="975"/>
      </w:tabs>
      <w:spacing w:before="240" w:after="120"/>
      <w:ind w:left="975" w:hanging="340"/>
    </w:pPr>
    <w:rPr>
      <w:rFonts w:ascii="Times New Roman" w:eastAsia="MS Gothic" w:hAnsi="Times New Roman" w:cs="Times New Roman"/>
      <w:i w:val="0"/>
      <w:sz w:val="20"/>
      <w:szCs w:val="20"/>
      <w:lang w:val="en-GB"/>
    </w:rPr>
  </w:style>
  <w:style w:type="paragraph" w:customStyle="1" w:styleId="ECHRHeading5">
    <w:name w:val="ECHR_Heading_5"/>
    <w:aliases w:val="Ju_H_i"/>
    <w:basedOn w:val="Heading5"/>
    <w:next w:val="JuPara"/>
    <w:uiPriority w:val="23"/>
    <w:qFormat/>
    <w:rsid w:val="00395112"/>
    <w:pPr>
      <w:keepNext/>
      <w:keepLines/>
      <w:tabs>
        <w:tab w:val="clear" w:pos="1800"/>
        <w:tab w:val="left" w:pos="1191"/>
      </w:tabs>
      <w:spacing w:before="240" w:after="120"/>
      <w:ind w:left="1190" w:hanging="357"/>
    </w:pPr>
    <w:rPr>
      <w:rFonts w:ascii="Times New Roman" w:eastAsia="MS Gothic" w:hAnsi="Times New Roman" w:cs="Times New Roman"/>
      <w:b w:val="0"/>
      <w:i/>
      <w:color w:val="auto"/>
      <w:sz w:val="20"/>
      <w:szCs w:val="20"/>
      <w:lang w:val="en-GB"/>
    </w:rPr>
  </w:style>
  <w:style w:type="paragraph" w:customStyle="1" w:styleId="ECHRHeading6">
    <w:name w:val="ECHR_Heading_6"/>
    <w:aliases w:val="Ju_H_alpha"/>
    <w:basedOn w:val="Heading6"/>
    <w:next w:val="JuPara"/>
    <w:uiPriority w:val="24"/>
    <w:qFormat/>
    <w:rsid w:val="00395112"/>
    <w:pPr>
      <w:keepNext/>
      <w:keepLines/>
      <w:tabs>
        <w:tab w:val="clear" w:pos="2160"/>
        <w:tab w:val="left" w:pos="1372"/>
      </w:tabs>
      <w:spacing w:before="240" w:after="120" w:line="240" w:lineRule="auto"/>
      <w:ind w:left="1373" w:hanging="335"/>
    </w:pPr>
    <w:rPr>
      <w:rFonts w:ascii="Times New Roman" w:eastAsia="MS Gothic" w:hAnsi="Times New Roman" w:cs="Times New Roman"/>
      <w:b w:val="0"/>
      <w:i w:val="0"/>
      <w:color w:val="auto"/>
      <w:sz w:val="20"/>
      <w:szCs w:val="20"/>
      <w:lang w:val="en-GB" w:bidi="en-US"/>
    </w:rPr>
  </w:style>
  <w:style w:type="paragraph" w:customStyle="1" w:styleId="ECHRHeading7">
    <w:name w:val="ECHR_Heading_7"/>
    <w:aliases w:val="Ju_H_–"/>
    <w:basedOn w:val="Heading7"/>
    <w:next w:val="JuPara"/>
    <w:uiPriority w:val="25"/>
    <w:qFormat/>
    <w:rsid w:val="00395112"/>
    <w:pPr>
      <w:keepNext/>
      <w:keepLines/>
      <w:tabs>
        <w:tab w:val="clear" w:pos="2520"/>
      </w:tabs>
      <w:spacing w:before="240" w:after="120"/>
      <w:ind w:left="1236" w:firstLine="0"/>
    </w:pPr>
    <w:rPr>
      <w:rFonts w:ascii="Times New Roman" w:eastAsia="MS Gothic" w:hAnsi="Times New Roman" w:cs="Times New Roman"/>
      <w:sz w:val="20"/>
      <w:szCs w:val="20"/>
      <w:lang w:val="en-GB" w:bidi="en-US"/>
    </w:rPr>
  </w:style>
  <w:style w:type="paragraph" w:customStyle="1" w:styleId="JuQuotSub">
    <w:name w:val="Ju_Quot_Sub"/>
    <w:basedOn w:val="ECHRParaQuote"/>
    <w:uiPriority w:val="15"/>
    <w:qFormat/>
    <w:rsid w:val="00395112"/>
    <w:pPr>
      <w:ind w:left="567"/>
    </w:pPr>
  </w:style>
  <w:style w:type="character" w:customStyle="1" w:styleId="JUNAMES">
    <w:name w:val="JU_NAMES"/>
    <w:uiPriority w:val="17"/>
    <w:qFormat/>
    <w:rsid w:val="00395112"/>
    <w:rPr>
      <w:caps w:val="0"/>
      <w:smallCaps/>
    </w:rPr>
  </w:style>
  <w:style w:type="paragraph" w:customStyle="1" w:styleId="JuParaSub">
    <w:name w:val="Ju_Para_Sub"/>
    <w:basedOn w:val="JuPara"/>
    <w:uiPriority w:val="13"/>
    <w:qFormat/>
    <w:rsid w:val="00395112"/>
    <w:pPr>
      <w:suppressAutoHyphens w:val="0"/>
      <w:ind w:left="284"/>
    </w:pPr>
    <w:rPr>
      <w:rFonts w:ascii="Times New Roman" w:eastAsia="MS Mincho" w:hAnsi="Times New Roman" w:cs="Times New Roman"/>
      <w:szCs w:val="20"/>
    </w:rPr>
  </w:style>
  <w:style w:type="paragraph" w:customStyle="1" w:styleId="ECHRHeading1">
    <w:name w:val="ECHR_Heading_1"/>
    <w:aliases w:val="Ju_H_I_Roman"/>
    <w:basedOn w:val="Heading1"/>
    <w:next w:val="JuPara"/>
    <w:uiPriority w:val="19"/>
    <w:qFormat/>
    <w:rsid w:val="00395112"/>
    <w:pPr>
      <w:keepLines/>
      <w:tabs>
        <w:tab w:val="clear" w:pos="360"/>
        <w:tab w:val="left" w:pos="357"/>
      </w:tabs>
      <w:spacing w:before="360" w:after="240"/>
      <w:ind w:left="357" w:hanging="357"/>
    </w:pPr>
    <w:rPr>
      <w:rFonts w:ascii="Times New Roman" w:eastAsia="MS Gothic" w:hAnsi="Times New Roman" w:cs="Times New Roman"/>
      <w:b w:val="0"/>
      <w:kern w:val="0"/>
      <w:sz w:val="24"/>
      <w:szCs w:val="28"/>
      <w:lang w:val="en-GB"/>
    </w:rPr>
  </w:style>
  <w:style w:type="paragraph" w:customStyle="1" w:styleId="ECHRHeading2">
    <w:name w:val="ECHR_Heading_2"/>
    <w:aliases w:val="Ju_H_A"/>
    <w:basedOn w:val="Heading2"/>
    <w:next w:val="JuPara"/>
    <w:uiPriority w:val="20"/>
    <w:qFormat/>
    <w:rsid w:val="00395112"/>
    <w:pPr>
      <w:keepNext/>
      <w:keepLines/>
      <w:tabs>
        <w:tab w:val="clear" w:pos="720"/>
        <w:tab w:val="left" w:pos="584"/>
      </w:tabs>
      <w:spacing w:before="360" w:after="240"/>
      <w:ind w:left="584" w:hanging="352"/>
    </w:pPr>
    <w:rPr>
      <w:rFonts w:ascii="Times New Roman" w:eastAsia="MS Gothic" w:hAnsi="Times New Roman" w:cs="Times New Roman"/>
      <w:sz w:val="24"/>
      <w:lang w:val="en-GB"/>
    </w:rPr>
  </w:style>
  <w:style w:type="paragraph" w:customStyle="1" w:styleId="JuTitle">
    <w:name w:val="Ju_Title"/>
    <w:basedOn w:val="Normal"/>
    <w:next w:val="JuPara"/>
    <w:uiPriority w:val="3"/>
    <w:semiHidden/>
    <w:qFormat/>
    <w:rsid w:val="00395112"/>
    <w:pPr>
      <w:spacing w:before="720" w:after="240" w:line="240" w:lineRule="auto"/>
      <w:ind w:firstLine="0"/>
      <w:jc w:val="center"/>
      <w:outlineLvl w:val="0"/>
    </w:pPr>
    <w:rPr>
      <w:rFonts w:ascii="Times New Roman" w:eastAsia="MS Mincho" w:hAnsi="Times New Roman"/>
      <w:b/>
      <w:caps/>
      <w:sz w:val="24"/>
      <w:lang w:val="en-GB"/>
    </w:rPr>
  </w:style>
  <w:style w:type="table" w:customStyle="1" w:styleId="ECHRTable">
    <w:name w:val="ECHR_Table"/>
    <w:basedOn w:val="TableNormal"/>
    <w:rsid w:val="00395112"/>
    <w:pPr>
      <w:spacing w:after="0" w:line="240" w:lineRule="auto"/>
    </w:pPr>
    <w:rPr>
      <w:rFonts w:ascii="Times New Roman" w:eastAsia="Times New Roman" w:hAnsi="Times New Roman" w:cs="Times New Roman"/>
      <w:sz w:val="20"/>
      <w:szCs w:val="20"/>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5112"/>
    <w:pPr>
      <w:spacing w:after="0" w:line="240" w:lineRule="auto"/>
    </w:pPr>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JuPara"/>
    <w:uiPriority w:val="18"/>
    <w:qFormat/>
    <w:rsid w:val="00395112"/>
    <w:pPr>
      <w:keepNext/>
      <w:keepLines/>
      <w:spacing w:before="720" w:after="240" w:line="240" w:lineRule="auto"/>
      <w:ind w:firstLine="0"/>
      <w:outlineLvl w:val="0"/>
    </w:pPr>
    <w:rPr>
      <w:rFonts w:ascii="Times New Roman" w:eastAsia="MS Mincho" w:hAnsi="Times New Roman"/>
      <w:sz w:val="28"/>
      <w:lang w:val="en-GB"/>
    </w:rPr>
  </w:style>
  <w:style w:type="paragraph" w:styleId="IntenseQuote">
    <w:name w:val="Intense Quote"/>
    <w:basedOn w:val="Normal"/>
    <w:next w:val="Normal"/>
    <w:link w:val="IntenseQuoteChar"/>
    <w:uiPriority w:val="99"/>
    <w:qFormat/>
    <w:rsid w:val="00395112"/>
    <w:pPr>
      <w:pBdr>
        <w:bottom w:val="single" w:sz="4" w:space="1" w:color="auto"/>
      </w:pBdr>
      <w:spacing w:before="200" w:after="280" w:line="240" w:lineRule="auto"/>
      <w:ind w:left="1008" w:right="1152" w:firstLine="0"/>
    </w:pPr>
    <w:rPr>
      <w:rFonts w:ascii="Times New Roman" w:eastAsia="MS Mincho" w:hAnsi="Times New Roman"/>
      <w:b/>
      <w:bCs/>
      <w:i/>
      <w:iCs/>
      <w:sz w:val="20"/>
      <w:szCs w:val="20"/>
      <w:lang w:bidi="en-US"/>
    </w:rPr>
  </w:style>
  <w:style w:type="character" w:customStyle="1" w:styleId="IntenseQuoteChar">
    <w:name w:val="Intense Quote Char"/>
    <w:basedOn w:val="DefaultParagraphFont"/>
    <w:link w:val="IntenseQuote"/>
    <w:uiPriority w:val="99"/>
    <w:rsid w:val="00395112"/>
    <w:rPr>
      <w:rFonts w:ascii="Times New Roman" w:eastAsia="MS Mincho" w:hAnsi="Times New Roman" w:cs="Times New Roman"/>
      <w:b/>
      <w:bCs/>
      <w:i/>
      <w:iCs/>
      <w:sz w:val="20"/>
      <w:szCs w:val="20"/>
      <w:lang w:bidi="en-US"/>
    </w:rPr>
  </w:style>
  <w:style w:type="table" w:customStyle="1" w:styleId="LtrTableAddress">
    <w:name w:val="Ltr_Table_Address"/>
    <w:basedOn w:val="TableNormal"/>
    <w:uiPriority w:val="99"/>
    <w:rsid w:val="00395112"/>
    <w:pPr>
      <w:spacing w:after="0" w:line="240" w:lineRule="auto"/>
    </w:pPr>
    <w:rPr>
      <w:rFonts w:ascii="Times New Roman" w:eastAsia="Times New Roman" w:hAnsi="Times New Roman" w:cs="Times New Roman"/>
      <w:sz w:val="20"/>
      <w:szCs w:val="20"/>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395112"/>
    <w:pPr>
      <w:spacing w:before="200" w:after="0" w:line="240" w:lineRule="auto"/>
      <w:ind w:left="360" w:right="360" w:firstLine="0"/>
    </w:pPr>
    <w:rPr>
      <w:rFonts w:ascii="Times New Roman" w:eastAsia="MS Mincho" w:hAnsi="Times New Roman"/>
      <w:i/>
      <w:iCs/>
      <w:sz w:val="20"/>
      <w:szCs w:val="20"/>
      <w:lang w:bidi="en-US"/>
    </w:rPr>
  </w:style>
  <w:style w:type="character" w:customStyle="1" w:styleId="QuoteChar">
    <w:name w:val="Quote Char"/>
    <w:basedOn w:val="DefaultParagraphFont"/>
    <w:link w:val="Quote"/>
    <w:uiPriority w:val="99"/>
    <w:rsid w:val="00395112"/>
    <w:rPr>
      <w:rFonts w:ascii="Times New Roman" w:eastAsia="MS Mincho" w:hAnsi="Times New Roman" w:cs="Times New Roman"/>
      <w:i/>
      <w:iCs/>
      <w:sz w:val="20"/>
      <w:szCs w:val="20"/>
      <w:lang w:bidi="en-US"/>
    </w:rPr>
  </w:style>
  <w:style w:type="character" w:styleId="SubtleReference">
    <w:name w:val="Subtle Reference"/>
    <w:uiPriority w:val="99"/>
    <w:qFormat/>
    <w:rsid w:val="00395112"/>
    <w:rPr>
      <w:smallCaps/>
    </w:rPr>
  </w:style>
  <w:style w:type="table" w:customStyle="1" w:styleId="UGTable">
    <w:name w:val="UG_Table"/>
    <w:basedOn w:val="TableNormal"/>
    <w:uiPriority w:val="99"/>
    <w:rsid w:val="00395112"/>
    <w:pPr>
      <w:spacing w:after="0" w:line="240" w:lineRule="auto"/>
    </w:pPr>
    <w:rPr>
      <w:rFonts w:ascii="Times New Roman" w:eastAsia="MS Mincho" w:hAnsi="Times New Roman" w:cs="Times New Roman"/>
      <w:sz w:val="20"/>
      <w:szCs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5112"/>
    <w:pPr>
      <w:spacing w:after="0" w:line="240" w:lineRule="auto"/>
    </w:pPr>
    <w:rPr>
      <w:rFonts w:ascii="Times New Roman" w:eastAsia="MS Mincho" w:hAnsi="Times New Roman" w:cs="Times New Roman"/>
      <w:sz w:val="20"/>
      <w:szCs w:val="20"/>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5112"/>
    <w:pPr>
      <w:spacing w:after="0" w:line="240" w:lineRule="auto"/>
    </w:pPr>
    <w:rPr>
      <w:rFonts w:ascii="Times New Roman" w:eastAsia="Times New Roman" w:hAnsi="Times New Roman" w:cs="Times New Roman"/>
      <w:color w:val="000000"/>
      <w:sz w:val="18"/>
      <w:szCs w:val="20"/>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5112"/>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395112"/>
    <w:pPr>
      <w:spacing w:after="0" w:line="240" w:lineRule="auto"/>
    </w:pPr>
    <w:rPr>
      <w:rFonts w:ascii="Times New Roman" w:eastAsia="Times New Roman" w:hAnsi="Times New Roman" w:cs="Times New Roman"/>
      <w:sz w:val="20"/>
      <w:szCs w:val="20"/>
    </w:rPr>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5112"/>
    <w:pPr>
      <w:spacing w:after="0" w:line="240" w:lineRule="auto"/>
    </w:pPr>
    <w:rPr>
      <w:rFonts w:ascii="Times New Roman" w:eastAsia="Times New Roman" w:hAnsi="Times New Roman" w:cs="Times New Roman"/>
      <w:sz w:val="20"/>
      <w:szCs w:val="20"/>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5112"/>
    <w:pPr>
      <w:keepNext/>
      <w:keepLines/>
      <w:spacing w:before="240" w:after="0" w:line="240" w:lineRule="auto"/>
      <w:ind w:firstLine="0"/>
      <w:contextualSpacing/>
      <w:jc w:val="center"/>
    </w:pPr>
    <w:rPr>
      <w:rFonts w:ascii="Times New Roman" w:eastAsia="MS Gothic" w:hAnsi="Times New Roman"/>
      <w:b/>
      <w:bCs/>
      <w:color w:val="474747"/>
      <w:sz w:val="28"/>
      <w:szCs w:val="24"/>
      <w:lang w:val="en-GB"/>
    </w:rPr>
  </w:style>
  <w:style w:type="paragraph" w:customStyle="1" w:styleId="ECHRParaQuote">
    <w:name w:val="ECHR_Para_Quote"/>
    <w:aliases w:val="Ju_Quotl"/>
    <w:basedOn w:val="Normal"/>
    <w:uiPriority w:val="14"/>
    <w:qFormat/>
    <w:rsid w:val="00395112"/>
    <w:pPr>
      <w:spacing w:before="120" w:after="120" w:line="240" w:lineRule="auto"/>
      <w:ind w:left="425" w:firstLine="142"/>
    </w:pPr>
    <w:rPr>
      <w:rFonts w:ascii="Times New Roman" w:eastAsia="MS Mincho" w:hAnsi="Times New Roman"/>
      <w:sz w:val="20"/>
      <w:lang w:val="en-GB"/>
    </w:rPr>
  </w:style>
  <w:style w:type="table" w:customStyle="1" w:styleId="ECHRTableSimpleBox">
    <w:name w:val="ECHR_Table_Simple_Box"/>
    <w:basedOn w:val="TableNormal"/>
    <w:uiPriority w:val="99"/>
    <w:rsid w:val="00395112"/>
    <w:pPr>
      <w:spacing w:after="0" w:line="240" w:lineRule="auto"/>
    </w:pPr>
    <w:rPr>
      <w:rFonts w:ascii="Times New Roman" w:eastAsia="Times New Roman" w:hAnsi="Times New Roman" w:cs="Times New Roman"/>
      <w:sz w:val="20"/>
      <w:szCs w:val="20"/>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395112"/>
    <w:pPr>
      <w:spacing w:after="0" w:line="240" w:lineRule="auto"/>
    </w:pPr>
    <w:rPr>
      <w:rFonts w:ascii="Times New Roman" w:eastAsia="Times New Roman" w:hAnsi="Times New Roman" w:cs="Times New Roman"/>
      <w:sz w:val="20"/>
      <w:szCs w:val="20"/>
    </w:rPr>
    <w:tblPr>
      <w:tblInd w:w="0" w:type="dxa"/>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395112"/>
    <w:pPr>
      <w:spacing w:after="0" w:line="240" w:lineRule="auto"/>
    </w:pPr>
    <w:rPr>
      <w:rFonts w:ascii="Times New Roman" w:eastAsia="Times New Roman" w:hAnsi="Times New Roman" w:cs="Times New Roman"/>
      <w:color w:val="636363"/>
      <w:sz w:val="18"/>
      <w:szCs w:val="20"/>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5112"/>
    <w:pPr>
      <w:spacing w:after="0" w:line="240" w:lineRule="auto"/>
    </w:pPr>
    <w:rPr>
      <w:rFonts w:ascii="Times New Roman" w:eastAsia="Times New Roman" w:hAnsi="Times New Roman" w:cs="Times New Roman"/>
      <w:sz w:val="20"/>
      <w:szCs w:val="20"/>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395112"/>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39511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395112"/>
    <w:pPr>
      <w:tabs>
        <w:tab w:val="left" w:pos="567"/>
        <w:tab w:val="left" w:pos="1134"/>
      </w:tabs>
      <w:spacing w:after="0" w:line="240" w:lineRule="auto"/>
      <w:ind w:firstLine="0"/>
      <w:jc w:val="left"/>
    </w:pPr>
    <w:rPr>
      <w:rFonts w:ascii="Times New Roman" w:eastAsia="MS Mincho" w:hAnsi="Times New Roman"/>
      <w:sz w:val="24"/>
      <w:lang w:val="en-GB"/>
    </w:rPr>
  </w:style>
  <w:style w:type="table" w:customStyle="1" w:styleId="ECHRHeaderTableReduced">
    <w:name w:val="ECHR_Header_Table_Reduced"/>
    <w:basedOn w:val="TableNormal"/>
    <w:uiPriority w:val="99"/>
    <w:rsid w:val="00395112"/>
    <w:pPr>
      <w:spacing w:after="0" w:line="240" w:lineRule="auto"/>
    </w:pPr>
    <w:rPr>
      <w:rFonts w:ascii="Times New Roman" w:eastAsia="Times New Roman" w:hAnsi="Times New Roman" w:cs="Times New Roman"/>
      <w:sz w:val="20"/>
      <w:szCs w:val="20"/>
    </w:rPr>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395112"/>
    <w:pPr>
      <w:spacing w:after="0" w:line="240" w:lineRule="auto"/>
      <w:ind w:left="340" w:hanging="340"/>
    </w:pPr>
    <w:rPr>
      <w:rFonts w:ascii="Times New Roman" w:eastAsia="MS Mincho" w:hAnsi="Times New Roman"/>
      <w:sz w:val="24"/>
      <w:lang w:val="en-GB"/>
    </w:rPr>
  </w:style>
  <w:style w:type="paragraph" w:customStyle="1" w:styleId="JuSigned">
    <w:name w:val="Ju_Signed"/>
    <w:basedOn w:val="Normal"/>
    <w:next w:val="JuParaLast"/>
    <w:uiPriority w:val="32"/>
    <w:qFormat/>
    <w:rsid w:val="00395112"/>
    <w:pPr>
      <w:tabs>
        <w:tab w:val="center" w:pos="851"/>
        <w:tab w:val="center" w:pos="6407"/>
      </w:tabs>
      <w:spacing w:before="720" w:after="0" w:line="240" w:lineRule="auto"/>
      <w:ind w:firstLine="0"/>
      <w:jc w:val="left"/>
    </w:pPr>
    <w:rPr>
      <w:rFonts w:ascii="Times New Roman" w:eastAsia="MS Mincho" w:hAnsi="Times New Roman"/>
      <w:sz w:val="24"/>
      <w:lang w:val="en-GB"/>
    </w:rPr>
  </w:style>
  <w:style w:type="paragraph" w:customStyle="1" w:styleId="JuParaLast">
    <w:name w:val="Ju_Para_Last"/>
    <w:basedOn w:val="Normal"/>
    <w:next w:val="JuPara"/>
    <w:uiPriority w:val="30"/>
    <w:qFormat/>
    <w:rsid w:val="00395112"/>
    <w:pPr>
      <w:keepNext/>
      <w:keepLines/>
      <w:spacing w:before="240" w:after="0" w:line="240" w:lineRule="auto"/>
    </w:pPr>
    <w:rPr>
      <w:rFonts w:ascii="Times New Roman" w:eastAsia="MS Mincho" w:hAnsi="Times New Roman"/>
      <w:sz w:val="24"/>
      <w:lang w:val="en-GB"/>
    </w:rPr>
  </w:style>
  <w:style w:type="paragraph" w:customStyle="1" w:styleId="JuCourt">
    <w:name w:val="Ju_Court"/>
    <w:basedOn w:val="Normal"/>
    <w:next w:val="Normal"/>
    <w:uiPriority w:val="16"/>
    <w:qFormat/>
    <w:rsid w:val="00395112"/>
    <w:pPr>
      <w:tabs>
        <w:tab w:val="left" w:pos="907"/>
        <w:tab w:val="left" w:pos="1701"/>
        <w:tab w:val="right" w:pos="7371"/>
      </w:tabs>
      <w:spacing w:before="240" w:after="0" w:line="240" w:lineRule="auto"/>
      <w:ind w:left="397" w:hanging="397"/>
      <w:jc w:val="left"/>
    </w:pPr>
    <w:rPr>
      <w:rFonts w:ascii="Times New Roman" w:eastAsia="MS Mincho" w:hAnsi="Times New Roman"/>
      <w:sz w:val="24"/>
      <w:lang w:val="en-GB" w:bidi="en-US"/>
    </w:rPr>
  </w:style>
  <w:style w:type="paragraph" w:customStyle="1" w:styleId="JuLista">
    <w:name w:val="Ju_List_a"/>
    <w:basedOn w:val="JuList"/>
    <w:uiPriority w:val="28"/>
    <w:qFormat/>
    <w:rsid w:val="00395112"/>
    <w:pPr>
      <w:ind w:left="346" w:firstLine="0"/>
    </w:pPr>
  </w:style>
  <w:style w:type="paragraph" w:customStyle="1" w:styleId="JuListi">
    <w:name w:val="Ju_List_i"/>
    <w:basedOn w:val="Normal"/>
    <w:next w:val="JuLista"/>
    <w:uiPriority w:val="28"/>
    <w:qFormat/>
    <w:rsid w:val="00395112"/>
    <w:pPr>
      <w:spacing w:after="0" w:line="240" w:lineRule="auto"/>
      <w:ind w:left="794" w:firstLine="0"/>
    </w:pPr>
    <w:rPr>
      <w:rFonts w:ascii="Times New Roman" w:eastAsia="MS Mincho" w:hAnsi="Times New Roman"/>
      <w:sz w:val="24"/>
      <w:lang w:val="en-GB"/>
    </w:rPr>
  </w:style>
  <w:style w:type="character" w:customStyle="1" w:styleId="JuNames0">
    <w:name w:val="Ju_Names"/>
    <w:rsid w:val="00395112"/>
    <w:rPr>
      <w:smallCaps/>
    </w:rPr>
  </w:style>
  <w:style w:type="paragraph" w:customStyle="1" w:styleId="OpiH1">
    <w:name w:val="Opi_H_1"/>
    <w:basedOn w:val="ECHRHeading2"/>
    <w:uiPriority w:val="42"/>
    <w:qFormat/>
    <w:rsid w:val="00395112"/>
    <w:pPr>
      <w:ind w:left="635" w:hanging="357"/>
      <w:outlineLvl w:val="2"/>
    </w:pPr>
  </w:style>
  <w:style w:type="paragraph" w:styleId="Bibliography">
    <w:name w:val="Bibliography"/>
    <w:basedOn w:val="Normal"/>
    <w:next w:val="Normal"/>
    <w:uiPriority w:val="99"/>
    <w:semiHidden/>
    <w:unhideWhenUsed/>
    <w:rsid w:val="00395112"/>
    <w:pPr>
      <w:spacing w:after="0" w:line="240" w:lineRule="auto"/>
      <w:ind w:firstLine="0"/>
    </w:pPr>
    <w:rPr>
      <w:rFonts w:ascii="Times New Roman" w:eastAsia="MS Mincho" w:hAnsi="Times New Roman"/>
      <w:sz w:val="24"/>
      <w:lang w:val="en-GB"/>
    </w:rPr>
  </w:style>
  <w:style w:type="table" w:styleId="ColorfulGrid">
    <w:name w:val="Colorful Grid"/>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2">
    <w:name w:val="Colorful List Accent 2"/>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rsid w:val="00395112"/>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styleId="LightGrid">
    <w:name w:val="Light Grid"/>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3">
    <w:name w:val="Light Grid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Accent1">
    <w:name w:val="Light Shading Accent 1"/>
    <w:basedOn w:val="TableNormal"/>
    <w:uiPriority w:val="99"/>
    <w:rsid w:val="00395112"/>
    <w:pPr>
      <w:spacing w:after="0" w:line="240" w:lineRule="auto"/>
    </w:pPr>
    <w:rPr>
      <w:rFonts w:ascii="Times New Roman" w:eastAsia="Times New Roman" w:hAnsi="Times New Roman" w:cs="Times New Roman"/>
      <w:color w:val="00548C"/>
      <w:sz w:val="20"/>
      <w:szCs w:val="20"/>
      <w:lang w:val="fr-FR" w:eastAsia="fr-FR"/>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rsid w:val="00395112"/>
    <w:pPr>
      <w:spacing w:after="0" w:line="240" w:lineRule="auto"/>
    </w:pPr>
    <w:rPr>
      <w:rFonts w:ascii="Times New Roman" w:eastAsia="Times New Roman" w:hAnsi="Times New Roman" w:cs="Times New Roman"/>
      <w:color w:val="8F0000"/>
      <w:sz w:val="20"/>
      <w:szCs w:val="20"/>
      <w:lang w:val="fr-FR" w:eastAsia="fr-FR"/>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rsid w:val="00395112"/>
    <w:pPr>
      <w:spacing w:after="0" w:line="240" w:lineRule="auto"/>
    </w:pPr>
    <w:rPr>
      <w:rFonts w:ascii="Times New Roman" w:eastAsia="Times New Roman" w:hAnsi="Times New Roman" w:cs="Times New Roman"/>
      <w:color w:val="474747"/>
      <w:sz w:val="20"/>
      <w:szCs w:val="2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rsid w:val="00395112"/>
    <w:pPr>
      <w:spacing w:after="0" w:line="240" w:lineRule="auto"/>
    </w:pPr>
    <w:rPr>
      <w:rFonts w:ascii="Times New Roman" w:eastAsia="Times New Roman" w:hAnsi="Times New Roman" w:cs="Times New Roman"/>
      <w:color w:val="707070"/>
      <w:sz w:val="20"/>
      <w:szCs w:val="20"/>
      <w:lang w:val="fr-FR" w:eastAsia="fr-FR"/>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rsid w:val="00395112"/>
    <w:pPr>
      <w:spacing w:after="0" w:line="240" w:lineRule="auto"/>
    </w:pPr>
    <w:rPr>
      <w:rFonts w:ascii="Times New Roman" w:eastAsia="Times New Roman" w:hAnsi="Times New Roman" w:cs="Times New Roman"/>
      <w:color w:val="474747"/>
      <w:sz w:val="20"/>
      <w:szCs w:val="2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rsid w:val="00395112"/>
    <w:pPr>
      <w:spacing w:after="0" w:line="240" w:lineRule="auto"/>
    </w:pPr>
    <w:rPr>
      <w:rFonts w:ascii="Times New Roman" w:eastAsia="Times New Roman" w:hAnsi="Times New Roman" w:cs="Times New Roman"/>
      <w:color w:val="393939"/>
      <w:sz w:val="20"/>
      <w:szCs w:val="20"/>
      <w:lang w:val="fr-FR" w:eastAsia="fr-FR"/>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styleId="MediumGrid1">
    <w:name w:val="Medium Grid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rsid w:val="00395112"/>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rsid w:val="00395112"/>
    <w:pPr>
      <w:spacing w:after="0" w:line="240" w:lineRule="auto"/>
    </w:pPr>
    <w:rPr>
      <w:rFonts w:ascii="Times New Roman" w:eastAsia="MS Gothic" w:hAnsi="Times New Roman" w:cs="Times New Roman"/>
      <w:color w:val="000000"/>
      <w:sz w:val="20"/>
      <w:szCs w:val="2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TableofAuthorities">
    <w:name w:val="table of authorities"/>
    <w:basedOn w:val="Normal"/>
    <w:next w:val="Normal"/>
    <w:uiPriority w:val="99"/>
    <w:semiHidden/>
    <w:rsid w:val="00395112"/>
    <w:pPr>
      <w:spacing w:after="0" w:line="240" w:lineRule="auto"/>
      <w:ind w:left="240" w:hanging="240"/>
    </w:pPr>
    <w:rPr>
      <w:rFonts w:ascii="Times New Roman" w:eastAsia="MS Mincho" w:hAnsi="Times New Roman"/>
      <w:sz w:val="24"/>
      <w:lang w:val="en-GB"/>
    </w:rPr>
  </w:style>
  <w:style w:type="paragraph" w:customStyle="1" w:styleId="OpiHa">
    <w:name w:val="Opi_H_a"/>
    <w:basedOn w:val="ECHRHeading3"/>
    <w:uiPriority w:val="43"/>
    <w:qFormat/>
    <w:rsid w:val="00395112"/>
    <w:pPr>
      <w:ind w:left="833" w:hanging="357"/>
      <w:outlineLvl w:val="3"/>
    </w:pPr>
    <w:rPr>
      <w:b/>
      <w:i w:val="0"/>
      <w:sz w:val="20"/>
    </w:rPr>
  </w:style>
  <w:style w:type="paragraph" w:customStyle="1" w:styleId="OpiHA0">
    <w:name w:val="Opi_H_A"/>
    <w:basedOn w:val="ECHRHeading1"/>
    <w:next w:val="OpiPara"/>
    <w:uiPriority w:val="41"/>
    <w:qFormat/>
    <w:rsid w:val="00395112"/>
    <w:pPr>
      <w:tabs>
        <w:tab w:val="clear" w:pos="357"/>
      </w:tabs>
      <w:outlineLvl w:val="1"/>
    </w:pPr>
    <w:rPr>
      <w:b/>
    </w:rPr>
  </w:style>
  <w:style w:type="paragraph" w:customStyle="1" w:styleId="OpiHi">
    <w:name w:val="Opi_H_i"/>
    <w:basedOn w:val="ECHRHeading4"/>
    <w:uiPriority w:val="44"/>
    <w:qFormat/>
    <w:rsid w:val="00395112"/>
    <w:pPr>
      <w:ind w:left="1037" w:hanging="357"/>
      <w:outlineLvl w:val="4"/>
    </w:pPr>
    <w:rPr>
      <w:b w:val="0"/>
      <w:i/>
    </w:rPr>
  </w:style>
  <w:style w:type="paragraph" w:customStyle="1" w:styleId="OpiPara">
    <w:name w:val="Opi_Para"/>
    <w:basedOn w:val="JuPara"/>
    <w:uiPriority w:val="46"/>
    <w:qFormat/>
    <w:rsid w:val="00395112"/>
    <w:pPr>
      <w:suppressAutoHyphens w:val="0"/>
    </w:pPr>
    <w:rPr>
      <w:rFonts w:ascii="Times New Roman" w:eastAsia="MS Mincho" w:hAnsi="Times New Roman" w:cs="Times New Roman"/>
      <w:szCs w:val="20"/>
    </w:rPr>
  </w:style>
  <w:style w:type="paragraph" w:customStyle="1" w:styleId="OpiParaSub">
    <w:name w:val="Opi_Para_Sub"/>
    <w:basedOn w:val="JuParaSub"/>
    <w:uiPriority w:val="47"/>
    <w:qFormat/>
    <w:rsid w:val="00395112"/>
  </w:style>
  <w:style w:type="paragraph" w:customStyle="1" w:styleId="OpiQuot">
    <w:name w:val="Opi_Quot"/>
    <w:basedOn w:val="ECHRParaQuote"/>
    <w:uiPriority w:val="48"/>
    <w:qFormat/>
    <w:rsid w:val="00395112"/>
  </w:style>
  <w:style w:type="paragraph" w:customStyle="1" w:styleId="OpiQuotSub">
    <w:name w:val="Opi_Quot_Sub"/>
    <w:basedOn w:val="JuQuotSub"/>
    <w:uiPriority w:val="49"/>
    <w:qFormat/>
    <w:rsid w:val="00395112"/>
  </w:style>
  <w:style w:type="paragraph" w:customStyle="1" w:styleId="OpiTranslation">
    <w:name w:val="Opi_Translation"/>
    <w:basedOn w:val="Normal"/>
    <w:next w:val="OpiPara"/>
    <w:uiPriority w:val="40"/>
    <w:qFormat/>
    <w:rsid w:val="00395112"/>
    <w:pPr>
      <w:spacing w:after="0" w:line="240" w:lineRule="auto"/>
      <w:ind w:firstLine="0"/>
      <w:jc w:val="center"/>
      <w:outlineLvl w:val="0"/>
    </w:pPr>
    <w:rPr>
      <w:rFonts w:ascii="Times New Roman" w:eastAsia="MS Mincho" w:hAnsi="Times New Roman"/>
      <w:i/>
      <w:sz w:val="24"/>
      <w:lang w:val="en-GB"/>
    </w:rPr>
  </w:style>
  <w:style w:type="character" w:customStyle="1" w:styleId="ECHRParaChar">
    <w:name w:val="ECHR_Para Char"/>
    <w:aliases w:val="Ju_Para Char"/>
    <w:uiPriority w:val="12"/>
    <w:rsid w:val="00395112"/>
    <w:rPr>
      <w:rFonts w:ascii="Times New Roman" w:eastAsia="MS Mincho" w:hAnsi="Times New Roman" w:cs="Times New Roman"/>
      <w:sz w:val="24"/>
      <w:szCs w:val="20"/>
      <w:lang w:val="en-GB"/>
    </w:rPr>
  </w:style>
  <w:style w:type="table" w:customStyle="1" w:styleId="ECHRListTable1">
    <w:name w:val="ECHR_List_Table1"/>
    <w:basedOn w:val="TableNormal"/>
    <w:uiPriority w:val="99"/>
    <w:rsid w:val="00395112"/>
    <w:pPr>
      <w:spacing w:after="0" w:line="240" w:lineRule="auto"/>
    </w:pPr>
    <w:rPr>
      <w:rFonts w:ascii="Times New Roman" w:eastAsia="Times New Roman" w:hAnsi="Times New Roman" w:cs="Times New Roman"/>
      <w:sz w:val="20"/>
      <w:szCs w:val="20"/>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ListTable2">
    <w:name w:val="ECHR_List_Table2"/>
    <w:basedOn w:val="TableNormal"/>
    <w:uiPriority w:val="99"/>
    <w:rsid w:val="00395112"/>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7547">
      <w:bodyDiv w:val="1"/>
      <w:marLeft w:val="0"/>
      <w:marRight w:val="0"/>
      <w:marTop w:val="0"/>
      <w:marBottom w:val="0"/>
      <w:divBdr>
        <w:top w:val="none" w:sz="0" w:space="0" w:color="auto"/>
        <w:left w:val="none" w:sz="0" w:space="0" w:color="auto"/>
        <w:bottom w:val="none" w:sz="0" w:space="0" w:color="auto"/>
        <w:right w:val="none" w:sz="0" w:space="0" w:color="auto"/>
      </w:divBdr>
    </w:div>
    <w:div w:id="261646919">
      <w:bodyDiv w:val="1"/>
      <w:marLeft w:val="0"/>
      <w:marRight w:val="0"/>
      <w:marTop w:val="0"/>
      <w:marBottom w:val="0"/>
      <w:divBdr>
        <w:top w:val="none" w:sz="0" w:space="0" w:color="auto"/>
        <w:left w:val="none" w:sz="0" w:space="0" w:color="auto"/>
        <w:bottom w:val="none" w:sz="0" w:space="0" w:color="auto"/>
        <w:right w:val="none" w:sz="0" w:space="0" w:color="auto"/>
      </w:divBdr>
      <w:divsChild>
        <w:div w:id="1795370952">
          <w:marLeft w:val="0"/>
          <w:marRight w:val="0"/>
          <w:marTop w:val="0"/>
          <w:marBottom w:val="0"/>
          <w:divBdr>
            <w:top w:val="none" w:sz="0" w:space="0" w:color="auto"/>
            <w:left w:val="none" w:sz="0" w:space="0" w:color="auto"/>
            <w:bottom w:val="none" w:sz="0" w:space="0" w:color="auto"/>
            <w:right w:val="none" w:sz="0" w:space="0" w:color="auto"/>
          </w:divBdr>
        </w:div>
      </w:divsChild>
    </w:div>
    <w:div w:id="445928935">
      <w:bodyDiv w:val="1"/>
      <w:marLeft w:val="0"/>
      <w:marRight w:val="0"/>
      <w:marTop w:val="0"/>
      <w:marBottom w:val="0"/>
      <w:divBdr>
        <w:top w:val="none" w:sz="0" w:space="0" w:color="auto"/>
        <w:left w:val="none" w:sz="0" w:space="0" w:color="auto"/>
        <w:bottom w:val="none" w:sz="0" w:space="0" w:color="auto"/>
        <w:right w:val="none" w:sz="0" w:space="0" w:color="auto"/>
      </w:divBdr>
      <w:divsChild>
        <w:div w:id="685131211">
          <w:marLeft w:val="0"/>
          <w:marRight w:val="0"/>
          <w:marTop w:val="0"/>
          <w:marBottom w:val="0"/>
          <w:divBdr>
            <w:top w:val="none" w:sz="0" w:space="0" w:color="auto"/>
            <w:left w:val="none" w:sz="0" w:space="0" w:color="auto"/>
            <w:bottom w:val="none" w:sz="0" w:space="0" w:color="auto"/>
            <w:right w:val="none" w:sz="0" w:space="0" w:color="auto"/>
          </w:divBdr>
        </w:div>
      </w:divsChild>
    </w:div>
    <w:div w:id="582954139">
      <w:bodyDiv w:val="1"/>
      <w:marLeft w:val="0"/>
      <w:marRight w:val="0"/>
      <w:marTop w:val="0"/>
      <w:marBottom w:val="0"/>
      <w:divBdr>
        <w:top w:val="none" w:sz="0" w:space="0" w:color="auto"/>
        <w:left w:val="none" w:sz="0" w:space="0" w:color="auto"/>
        <w:bottom w:val="none" w:sz="0" w:space="0" w:color="auto"/>
        <w:right w:val="none" w:sz="0" w:space="0" w:color="auto"/>
      </w:divBdr>
    </w:div>
    <w:div w:id="80886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8434">
          <w:marLeft w:val="0"/>
          <w:marRight w:val="0"/>
          <w:marTop w:val="0"/>
          <w:marBottom w:val="0"/>
          <w:divBdr>
            <w:top w:val="none" w:sz="0" w:space="0" w:color="auto"/>
            <w:left w:val="none" w:sz="0" w:space="0" w:color="auto"/>
            <w:bottom w:val="none" w:sz="0" w:space="0" w:color="auto"/>
            <w:right w:val="none" w:sz="0" w:space="0" w:color="auto"/>
          </w:divBdr>
        </w:div>
      </w:divsChild>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1196964624">
      <w:bodyDiv w:val="1"/>
      <w:marLeft w:val="0"/>
      <w:marRight w:val="0"/>
      <w:marTop w:val="0"/>
      <w:marBottom w:val="0"/>
      <w:divBdr>
        <w:top w:val="none" w:sz="0" w:space="0" w:color="auto"/>
        <w:left w:val="none" w:sz="0" w:space="0" w:color="auto"/>
        <w:bottom w:val="none" w:sz="0" w:space="0" w:color="auto"/>
        <w:right w:val="none" w:sz="0" w:space="0" w:color="auto"/>
      </w:divBdr>
    </w:div>
    <w:div w:id="1204097043">
      <w:bodyDiv w:val="1"/>
      <w:marLeft w:val="0"/>
      <w:marRight w:val="0"/>
      <w:marTop w:val="0"/>
      <w:marBottom w:val="0"/>
      <w:divBdr>
        <w:top w:val="none" w:sz="0" w:space="0" w:color="auto"/>
        <w:left w:val="none" w:sz="0" w:space="0" w:color="auto"/>
        <w:bottom w:val="none" w:sz="0" w:space="0" w:color="auto"/>
        <w:right w:val="none" w:sz="0" w:space="0" w:color="auto"/>
      </w:divBdr>
    </w:div>
    <w:div w:id="1204100384">
      <w:bodyDiv w:val="1"/>
      <w:marLeft w:val="0"/>
      <w:marRight w:val="0"/>
      <w:marTop w:val="0"/>
      <w:marBottom w:val="0"/>
      <w:divBdr>
        <w:top w:val="none" w:sz="0" w:space="0" w:color="auto"/>
        <w:left w:val="none" w:sz="0" w:space="0" w:color="auto"/>
        <w:bottom w:val="none" w:sz="0" w:space="0" w:color="auto"/>
        <w:right w:val="none" w:sz="0" w:space="0" w:color="auto"/>
      </w:divBdr>
    </w:div>
    <w:div w:id="1442845489">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9028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E4E6-ACED-495A-9845-51C3102E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24118</Words>
  <Characters>137474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161270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2018-08-13T09:27:00Z</cp:lastPrinted>
  <dcterms:created xsi:type="dcterms:W3CDTF">2020-07-06T08:04:00Z</dcterms:created>
  <dcterms:modified xsi:type="dcterms:W3CDTF">2020-07-06T08:04:00Z</dcterms:modified>
</cp:coreProperties>
</file>