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28" w:rsidRPr="006F11E3" w:rsidRDefault="00592428" w:rsidP="00592428">
      <w:pPr>
        <w:pStyle w:val="NoSpacing"/>
        <w:spacing w:line="276" w:lineRule="auto"/>
        <w:jc w:val="center"/>
        <w:rPr>
          <w:rFonts w:ascii="Times New Roman" w:hAnsi="Times New Roman"/>
          <w:sz w:val="24"/>
          <w:szCs w:val="24"/>
          <w:lang w:val="sq-AL"/>
        </w:rPr>
      </w:pPr>
      <w:bookmarkStart w:id="0" w:name="_GoBack"/>
      <w:bookmarkEnd w:id="0"/>
      <w:r w:rsidRPr="006F11E3">
        <w:rPr>
          <w:rFonts w:ascii="Times New Roman" w:hAnsi="Times New Roman"/>
          <w:sz w:val="24"/>
          <w:szCs w:val="24"/>
          <w:lang w:val="sq-AL"/>
        </w:rPr>
        <w:t>GJYKATA EUROPIANE E TË DREJTAVE TË NJERIUT</w:t>
      </w: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r w:rsidRPr="006F11E3">
        <w:rPr>
          <w:rFonts w:ascii="Times New Roman" w:hAnsi="Times New Roman"/>
          <w:sz w:val="24"/>
          <w:szCs w:val="24"/>
          <w:lang w:val="sq-AL"/>
        </w:rPr>
        <w:t>SEKSIONI I KATËRT</w:t>
      </w: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b/>
          <w:sz w:val="24"/>
          <w:szCs w:val="24"/>
          <w:lang w:val="sq-AL"/>
        </w:rPr>
      </w:pPr>
      <w:r w:rsidRPr="006F11E3">
        <w:rPr>
          <w:rFonts w:ascii="Times New Roman" w:hAnsi="Times New Roman"/>
          <w:b/>
          <w:sz w:val="24"/>
          <w:szCs w:val="24"/>
          <w:lang w:val="sq-AL"/>
        </w:rPr>
        <w:t xml:space="preserve">ÇËSHTJA </w:t>
      </w:r>
      <w:r>
        <w:rPr>
          <w:rFonts w:ascii="Times New Roman" w:hAnsi="Times New Roman"/>
          <w:b/>
          <w:sz w:val="24"/>
          <w:szCs w:val="24"/>
          <w:lang w:val="sq-AL"/>
        </w:rPr>
        <w:t>SILIQI DHE TË TJERËT</w:t>
      </w:r>
      <w:r w:rsidRPr="006F11E3">
        <w:rPr>
          <w:rFonts w:ascii="Times New Roman" w:hAnsi="Times New Roman"/>
          <w:b/>
          <w:sz w:val="24"/>
          <w:szCs w:val="24"/>
          <w:lang w:val="sq-AL"/>
        </w:rPr>
        <w:t xml:space="preserve"> KUNDËR SHQIPËRISË</w:t>
      </w: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D5178E" w:rsidRDefault="00592428" w:rsidP="00592428">
      <w:pPr>
        <w:pStyle w:val="NoSpacing"/>
        <w:spacing w:line="276" w:lineRule="auto"/>
        <w:jc w:val="center"/>
        <w:rPr>
          <w:rFonts w:ascii="Times New Roman" w:hAnsi="Times New Roman"/>
          <w:i/>
          <w:sz w:val="24"/>
          <w:szCs w:val="24"/>
          <w:lang w:val="sq-AL"/>
        </w:rPr>
      </w:pPr>
      <w:r w:rsidRPr="00D5178E">
        <w:rPr>
          <w:rFonts w:ascii="Times New Roman" w:hAnsi="Times New Roman"/>
          <w:i/>
          <w:sz w:val="24"/>
          <w:szCs w:val="24"/>
          <w:lang w:val="sq-AL"/>
        </w:rPr>
        <w:t>(Ankimet nr.</w:t>
      </w:r>
      <w:r>
        <w:rPr>
          <w:rFonts w:ascii="Times New Roman" w:hAnsi="Times New Roman"/>
          <w:i/>
          <w:sz w:val="24"/>
          <w:szCs w:val="24"/>
          <w:lang w:val="sq-AL"/>
        </w:rPr>
        <w:t xml:space="preserve"> 37295/05 dhe 42228/05</w:t>
      </w:r>
      <w:r w:rsidRPr="00D5178E">
        <w:rPr>
          <w:rFonts w:ascii="Times New Roman" w:hAnsi="Times New Roman"/>
          <w:i/>
          <w:sz w:val="24"/>
          <w:szCs w:val="24"/>
          <w:lang w:val="sq-AL"/>
        </w:rPr>
        <w:t>)</w:t>
      </w:r>
    </w:p>
    <w:p w:rsidR="00592428" w:rsidRDefault="00592428" w:rsidP="00592428">
      <w:pPr>
        <w:pStyle w:val="NoSpacing"/>
        <w:spacing w:line="276" w:lineRule="auto"/>
        <w:jc w:val="center"/>
        <w:rPr>
          <w:rFonts w:ascii="Times New Roman" w:hAnsi="Times New Roman"/>
          <w:sz w:val="24"/>
          <w:szCs w:val="24"/>
          <w:lang w:val="sq-AL"/>
        </w:rPr>
      </w:pPr>
    </w:p>
    <w:p w:rsidR="00592428"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r w:rsidRPr="006F11E3">
        <w:rPr>
          <w:rFonts w:ascii="Times New Roman" w:hAnsi="Times New Roman"/>
          <w:sz w:val="24"/>
          <w:szCs w:val="24"/>
          <w:lang w:val="sq-AL"/>
        </w:rPr>
        <w:t>VENDIM</w:t>
      </w: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Default="00592428" w:rsidP="00592428">
      <w:pPr>
        <w:pStyle w:val="NoSpacing"/>
        <w:spacing w:line="276" w:lineRule="auto"/>
        <w:jc w:val="center"/>
        <w:rPr>
          <w:rFonts w:ascii="Times New Roman" w:hAnsi="Times New Roman"/>
          <w:sz w:val="24"/>
          <w:szCs w:val="24"/>
          <w:lang w:val="sq-AL"/>
        </w:rPr>
      </w:pPr>
      <w:r w:rsidRPr="006F11E3">
        <w:rPr>
          <w:rFonts w:ascii="Times New Roman" w:hAnsi="Times New Roman"/>
          <w:sz w:val="24"/>
          <w:szCs w:val="24"/>
          <w:lang w:val="sq-AL"/>
        </w:rPr>
        <w:t>STRASBURG</w:t>
      </w: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r>
        <w:rPr>
          <w:rFonts w:ascii="Times New Roman" w:hAnsi="Times New Roman"/>
          <w:sz w:val="24"/>
          <w:szCs w:val="24"/>
          <w:lang w:val="sq-AL"/>
        </w:rPr>
        <w:t>10 Mars 2015</w:t>
      </w: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Pr="006F11E3" w:rsidRDefault="00592428" w:rsidP="00592428">
      <w:pPr>
        <w:pStyle w:val="NoSpacing"/>
        <w:spacing w:line="276" w:lineRule="auto"/>
        <w:jc w:val="center"/>
        <w:rPr>
          <w:rFonts w:ascii="Times New Roman" w:hAnsi="Times New Roman"/>
          <w:sz w:val="24"/>
          <w:szCs w:val="24"/>
          <w:lang w:val="sq-AL"/>
        </w:rPr>
      </w:pPr>
    </w:p>
    <w:p w:rsidR="00592428" w:rsidRDefault="00592428" w:rsidP="00592428">
      <w:pPr>
        <w:pStyle w:val="NoSpacing"/>
        <w:spacing w:line="276" w:lineRule="auto"/>
        <w:jc w:val="center"/>
        <w:rPr>
          <w:rFonts w:ascii="Times New Roman" w:hAnsi="Times New Roman"/>
          <w:i/>
          <w:sz w:val="24"/>
          <w:szCs w:val="24"/>
          <w:lang w:val="sq-AL"/>
        </w:rPr>
      </w:pPr>
      <w:r w:rsidRPr="006F11E3">
        <w:rPr>
          <w:rFonts w:ascii="Times New Roman" w:hAnsi="Times New Roman"/>
          <w:i/>
          <w:sz w:val="24"/>
          <w:szCs w:val="24"/>
          <w:lang w:val="sq-AL"/>
        </w:rPr>
        <w:t xml:space="preserve">Ky vendim </w:t>
      </w:r>
      <w:r>
        <w:rPr>
          <w:rFonts w:ascii="Times New Roman" w:hAnsi="Times New Roman"/>
          <w:i/>
          <w:sz w:val="24"/>
          <w:szCs w:val="24"/>
          <w:lang w:val="sq-AL"/>
        </w:rPr>
        <w:t>ë</w:t>
      </w:r>
      <w:r w:rsidRPr="006F11E3">
        <w:rPr>
          <w:rFonts w:ascii="Times New Roman" w:hAnsi="Times New Roman"/>
          <w:i/>
          <w:sz w:val="24"/>
          <w:szCs w:val="24"/>
          <w:lang w:val="sq-AL"/>
        </w:rPr>
        <w:t>sht</w:t>
      </w:r>
      <w:r>
        <w:rPr>
          <w:rFonts w:ascii="Times New Roman" w:hAnsi="Times New Roman"/>
          <w:i/>
          <w:sz w:val="24"/>
          <w:szCs w:val="24"/>
          <w:lang w:val="sq-AL"/>
        </w:rPr>
        <w:t>ë</w:t>
      </w:r>
      <w:r w:rsidRPr="006F11E3">
        <w:rPr>
          <w:rFonts w:ascii="Times New Roman" w:hAnsi="Times New Roman"/>
          <w:i/>
          <w:sz w:val="24"/>
          <w:szCs w:val="24"/>
          <w:lang w:val="sq-AL"/>
        </w:rPr>
        <w:t xml:space="preserve"> i form</w:t>
      </w:r>
      <w:r>
        <w:rPr>
          <w:rFonts w:ascii="Times New Roman" w:hAnsi="Times New Roman"/>
          <w:i/>
          <w:sz w:val="24"/>
          <w:szCs w:val="24"/>
          <w:lang w:val="sq-AL"/>
        </w:rPr>
        <w:t>ë</w:t>
      </w:r>
      <w:r w:rsidRPr="006F11E3">
        <w:rPr>
          <w:rFonts w:ascii="Times New Roman" w:hAnsi="Times New Roman"/>
          <w:i/>
          <w:sz w:val="24"/>
          <w:szCs w:val="24"/>
          <w:lang w:val="sq-AL"/>
        </w:rPr>
        <w:t>s s</w:t>
      </w:r>
      <w:r>
        <w:rPr>
          <w:rFonts w:ascii="Times New Roman" w:hAnsi="Times New Roman"/>
          <w:i/>
          <w:sz w:val="24"/>
          <w:szCs w:val="24"/>
          <w:lang w:val="sq-AL"/>
        </w:rPr>
        <w:t>ë</w:t>
      </w:r>
      <w:r w:rsidRPr="006F11E3">
        <w:rPr>
          <w:rFonts w:ascii="Times New Roman" w:hAnsi="Times New Roman"/>
          <w:i/>
          <w:sz w:val="24"/>
          <w:szCs w:val="24"/>
          <w:lang w:val="sq-AL"/>
        </w:rPr>
        <w:t xml:space="preserve"> prerë, por mund t’i nënshtrohet rishikimit redaktues.</w:t>
      </w:r>
    </w:p>
    <w:p w:rsidR="00592428" w:rsidRDefault="00592428" w:rsidP="00592428">
      <w:pPr>
        <w:pStyle w:val="NoSpacing"/>
        <w:spacing w:line="276" w:lineRule="auto"/>
        <w:rPr>
          <w:rFonts w:ascii="Times New Roman" w:hAnsi="Times New Roman"/>
          <w:sz w:val="18"/>
          <w:szCs w:val="18"/>
          <w:lang w:val="sq-AL"/>
        </w:rPr>
      </w:pPr>
    </w:p>
    <w:p w:rsidR="00592428" w:rsidRDefault="00592428" w:rsidP="00592428">
      <w:pPr>
        <w:pStyle w:val="NoSpacing"/>
        <w:spacing w:line="276" w:lineRule="auto"/>
        <w:jc w:val="center"/>
        <w:rPr>
          <w:rFonts w:ascii="Times New Roman" w:hAnsi="Times New Roman"/>
          <w:i/>
          <w:sz w:val="24"/>
          <w:szCs w:val="24"/>
          <w:lang w:val="sq-AL"/>
        </w:rPr>
      </w:pPr>
      <w:r>
        <w:rPr>
          <w:rFonts w:ascii="Times New Roman" w:hAnsi="Times New Roman"/>
          <w:sz w:val="18"/>
          <w:szCs w:val="18"/>
          <w:lang w:val="sq-AL"/>
        </w:rPr>
        <w:t>VENDIMI SILIQI DHE TË TJERËT KUNDËR SHQIPËRISË</w:t>
      </w:r>
    </w:p>
    <w:p w:rsidR="00592428" w:rsidRPr="000E3290" w:rsidRDefault="00592428" w:rsidP="00592428">
      <w:pPr>
        <w:pStyle w:val="NoSpacing"/>
        <w:spacing w:line="276" w:lineRule="auto"/>
        <w:jc w:val="both"/>
        <w:rPr>
          <w:rFonts w:ascii="Times New Roman" w:hAnsi="Times New Roman"/>
          <w:b/>
          <w:sz w:val="24"/>
          <w:szCs w:val="24"/>
          <w:lang w:val="sq-AL"/>
        </w:rPr>
      </w:pPr>
    </w:p>
    <w:p w:rsidR="00592428" w:rsidRPr="000E3290" w:rsidRDefault="00592428" w:rsidP="00592428">
      <w:pPr>
        <w:pStyle w:val="NoSpacing"/>
        <w:spacing w:line="276" w:lineRule="auto"/>
        <w:jc w:val="both"/>
        <w:rPr>
          <w:rFonts w:ascii="Times New Roman" w:hAnsi="Times New Roman"/>
          <w:sz w:val="24"/>
          <w:szCs w:val="24"/>
          <w:lang w:val="sq-AL"/>
        </w:rPr>
      </w:pPr>
      <w:r w:rsidRPr="000E3290">
        <w:rPr>
          <w:rFonts w:ascii="Times New Roman" w:hAnsi="Times New Roman"/>
          <w:b/>
          <w:sz w:val="24"/>
          <w:szCs w:val="24"/>
          <w:lang w:val="sq-AL"/>
        </w:rPr>
        <w:t xml:space="preserve">Në çështjen Siliqi dhe të Tjerët kundër Shqipërisë, </w:t>
      </w:r>
    </w:p>
    <w:p w:rsidR="00592428" w:rsidRPr="000E3290" w:rsidRDefault="00592428" w:rsidP="00592428">
      <w:pPr>
        <w:pStyle w:val="NoSpacing"/>
        <w:spacing w:line="276" w:lineRule="auto"/>
        <w:jc w:val="both"/>
        <w:rPr>
          <w:rFonts w:ascii="Times New Roman" w:hAnsi="Times New Roman"/>
          <w:sz w:val="24"/>
          <w:szCs w:val="24"/>
          <w:lang w:val="sq-AL"/>
        </w:rPr>
      </w:pPr>
      <w:r w:rsidRPr="000E3290">
        <w:rPr>
          <w:rFonts w:ascii="Times New Roman" w:hAnsi="Times New Roman"/>
          <w:sz w:val="24"/>
          <w:szCs w:val="24"/>
          <w:lang w:val="sq-AL"/>
        </w:rPr>
        <w:t xml:space="preserve">Gjykata Europiane e të Drejtave të Njeriut (Seksioni i Katërt), e mbledhur si një Komitet i përbërë nga: </w:t>
      </w:r>
    </w:p>
    <w:p w:rsidR="00592428" w:rsidRDefault="00592428" w:rsidP="00592428">
      <w:pPr>
        <w:pStyle w:val="NoSpacing"/>
        <w:spacing w:line="276" w:lineRule="auto"/>
        <w:jc w:val="both"/>
        <w:rPr>
          <w:rFonts w:ascii="Times New Roman" w:hAnsi="Times New Roman"/>
          <w:sz w:val="24"/>
          <w:szCs w:val="24"/>
        </w:rPr>
      </w:pPr>
      <w:r>
        <w:rPr>
          <w:rFonts w:ascii="Times New Roman" w:hAnsi="Times New Roman"/>
          <w:sz w:val="24"/>
          <w:szCs w:val="24"/>
        </w:rPr>
        <w:t xml:space="preserve">George Nicolaou, </w:t>
      </w:r>
      <w:r>
        <w:rPr>
          <w:rFonts w:ascii="Times New Roman" w:hAnsi="Times New Roman"/>
          <w:i/>
          <w:sz w:val="24"/>
          <w:szCs w:val="24"/>
        </w:rPr>
        <w:t>President,</w:t>
      </w:r>
      <w:r>
        <w:rPr>
          <w:rFonts w:ascii="Times New Roman" w:hAnsi="Times New Roman"/>
          <w:sz w:val="24"/>
          <w:szCs w:val="24"/>
        </w:rPr>
        <w:t xml:space="preserve"> </w:t>
      </w:r>
    </w:p>
    <w:p w:rsidR="00592428" w:rsidRDefault="00592428" w:rsidP="00592428">
      <w:pPr>
        <w:pStyle w:val="NoSpacing"/>
        <w:spacing w:line="276" w:lineRule="auto"/>
        <w:jc w:val="both"/>
        <w:rPr>
          <w:rFonts w:ascii="Times New Roman" w:hAnsi="Times New Roman"/>
          <w:sz w:val="24"/>
          <w:szCs w:val="24"/>
        </w:rPr>
      </w:pPr>
      <w:r>
        <w:rPr>
          <w:rFonts w:ascii="Times New Roman" w:hAnsi="Times New Roman"/>
          <w:sz w:val="24"/>
          <w:szCs w:val="24"/>
        </w:rPr>
        <w:t xml:space="preserve">Ledi Bianku, </w:t>
      </w:r>
    </w:p>
    <w:p w:rsidR="00592428" w:rsidRDefault="00592428" w:rsidP="00592428">
      <w:pPr>
        <w:pStyle w:val="NoSpacing"/>
        <w:spacing w:line="276" w:lineRule="auto"/>
        <w:jc w:val="both"/>
        <w:rPr>
          <w:rFonts w:ascii="Times New Roman" w:hAnsi="Times New Roman"/>
          <w:i/>
          <w:sz w:val="24"/>
          <w:szCs w:val="24"/>
        </w:rPr>
      </w:pPr>
      <w:r>
        <w:rPr>
          <w:rFonts w:ascii="Times New Roman" w:hAnsi="Times New Roman"/>
          <w:sz w:val="24"/>
          <w:szCs w:val="24"/>
        </w:rPr>
        <w:t xml:space="preserve">Krzysztof Wojtyczek, </w:t>
      </w:r>
      <w:r>
        <w:rPr>
          <w:rFonts w:ascii="Times New Roman" w:hAnsi="Times New Roman"/>
          <w:i/>
          <w:sz w:val="24"/>
          <w:szCs w:val="24"/>
        </w:rPr>
        <w:t xml:space="preserve">gjyqtarë, </w:t>
      </w:r>
    </w:p>
    <w:p w:rsidR="00592428" w:rsidRDefault="00592428" w:rsidP="00592428">
      <w:pPr>
        <w:pStyle w:val="NoSpacing"/>
        <w:spacing w:line="276" w:lineRule="auto"/>
        <w:jc w:val="both"/>
        <w:rPr>
          <w:rFonts w:ascii="Times New Roman" w:hAnsi="Times New Roman"/>
          <w:i/>
          <w:sz w:val="24"/>
          <w:szCs w:val="24"/>
        </w:rPr>
      </w:pPr>
      <w:proofErr w:type="gramStart"/>
      <w:r>
        <w:rPr>
          <w:rFonts w:ascii="Times New Roman" w:hAnsi="Times New Roman"/>
          <w:sz w:val="24"/>
          <w:szCs w:val="24"/>
        </w:rPr>
        <w:t>dhe</w:t>
      </w:r>
      <w:proofErr w:type="gramEnd"/>
      <w:r>
        <w:rPr>
          <w:rFonts w:ascii="Times New Roman" w:hAnsi="Times New Roman"/>
          <w:sz w:val="24"/>
          <w:szCs w:val="24"/>
        </w:rPr>
        <w:t xml:space="preserve"> Fatoş Aracɪ, </w:t>
      </w:r>
      <w:r>
        <w:rPr>
          <w:rFonts w:ascii="Times New Roman" w:hAnsi="Times New Roman"/>
          <w:i/>
          <w:sz w:val="24"/>
          <w:szCs w:val="24"/>
        </w:rPr>
        <w:t>Zëvendës Sekretar i Seksionit</w:t>
      </w:r>
    </w:p>
    <w:p w:rsidR="00592428" w:rsidRDefault="00592428" w:rsidP="00592428">
      <w:pPr>
        <w:pStyle w:val="NoSpacing"/>
        <w:spacing w:line="276" w:lineRule="auto"/>
        <w:jc w:val="both"/>
        <w:rPr>
          <w:rFonts w:ascii="Times New Roman" w:hAnsi="Times New Roman"/>
          <w:sz w:val="24"/>
          <w:szCs w:val="24"/>
        </w:rPr>
      </w:pPr>
      <w:r w:rsidRPr="00AD0715">
        <w:rPr>
          <w:rFonts w:ascii="Times New Roman" w:hAnsi="Times New Roman"/>
          <w:sz w:val="24"/>
          <w:szCs w:val="24"/>
        </w:rPr>
        <w:t>Pasi ka diskutuar me dyer t</w:t>
      </w:r>
      <w:r>
        <w:rPr>
          <w:rFonts w:ascii="Times New Roman" w:hAnsi="Times New Roman"/>
          <w:sz w:val="24"/>
          <w:szCs w:val="24"/>
        </w:rPr>
        <w:t>ë</w:t>
      </w:r>
      <w:r w:rsidRPr="00AD0715">
        <w:rPr>
          <w:rFonts w:ascii="Times New Roman" w:hAnsi="Times New Roman"/>
          <w:sz w:val="24"/>
          <w:szCs w:val="24"/>
        </w:rPr>
        <w:t xml:space="preserve"> mbyllura m</w:t>
      </w:r>
      <w:r>
        <w:rPr>
          <w:rFonts w:ascii="Times New Roman" w:hAnsi="Times New Roman"/>
          <w:sz w:val="24"/>
          <w:szCs w:val="24"/>
        </w:rPr>
        <w:t>ë 17 Shkurt 2015</w:t>
      </w:r>
      <w:r w:rsidRPr="00AD0715">
        <w:rPr>
          <w:rFonts w:ascii="Times New Roman" w:hAnsi="Times New Roman"/>
          <w:sz w:val="24"/>
          <w:szCs w:val="24"/>
        </w:rPr>
        <w:t xml:space="preserve">, </w:t>
      </w:r>
    </w:p>
    <w:p w:rsidR="00592428" w:rsidRDefault="00592428" w:rsidP="00592428">
      <w:pPr>
        <w:pStyle w:val="NoSpacing"/>
        <w:spacing w:line="276" w:lineRule="auto"/>
        <w:jc w:val="both"/>
        <w:rPr>
          <w:rFonts w:ascii="Times New Roman" w:hAnsi="Times New Roman"/>
          <w:sz w:val="24"/>
          <w:szCs w:val="24"/>
        </w:rPr>
      </w:pPr>
      <w:r>
        <w:rPr>
          <w:rFonts w:ascii="Times New Roman" w:hAnsi="Times New Roman"/>
          <w:sz w:val="24"/>
          <w:szCs w:val="24"/>
        </w:rPr>
        <w:t>Shpall</w:t>
      </w:r>
      <w:r w:rsidRPr="00AD0715">
        <w:rPr>
          <w:rFonts w:ascii="Times New Roman" w:hAnsi="Times New Roman"/>
          <w:sz w:val="24"/>
          <w:szCs w:val="24"/>
        </w:rPr>
        <w:t xml:space="preserve"> vendimin e m</w:t>
      </w:r>
      <w:r>
        <w:rPr>
          <w:rFonts w:ascii="Times New Roman" w:hAnsi="Times New Roman"/>
          <w:sz w:val="24"/>
          <w:szCs w:val="24"/>
        </w:rPr>
        <w:t>ë</w:t>
      </w:r>
      <w:r w:rsidRPr="00AD0715">
        <w:rPr>
          <w:rFonts w:ascii="Times New Roman" w:hAnsi="Times New Roman"/>
          <w:sz w:val="24"/>
          <w:szCs w:val="24"/>
        </w:rPr>
        <w:t>posht</w:t>
      </w:r>
      <w:r>
        <w:rPr>
          <w:rFonts w:ascii="Times New Roman" w:hAnsi="Times New Roman"/>
          <w:sz w:val="24"/>
          <w:szCs w:val="24"/>
        </w:rPr>
        <w:t>ë</w:t>
      </w:r>
      <w:r w:rsidRPr="00AD0715">
        <w:rPr>
          <w:rFonts w:ascii="Times New Roman" w:hAnsi="Times New Roman"/>
          <w:sz w:val="24"/>
          <w:szCs w:val="24"/>
        </w:rPr>
        <w:t>m, i cili u miratua n</w:t>
      </w:r>
      <w:r>
        <w:rPr>
          <w:rFonts w:ascii="Times New Roman" w:hAnsi="Times New Roman"/>
          <w:sz w:val="24"/>
          <w:szCs w:val="24"/>
        </w:rPr>
        <w:t>ë datën e sipërpërmendur</w:t>
      </w:r>
      <w:r w:rsidRPr="00AD0715">
        <w:rPr>
          <w:rFonts w:ascii="Times New Roman" w:hAnsi="Times New Roman"/>
          <w:sz w:val="24"/>
          <w:szCs w:val="24"/>
        </w:rPr>
        <w:t>:</w:t>
      </w:r>
    </w:p>
    <w:p w:rsidR="00592428" w:rsidRDefault="00592428" w:rsidP="00592428">
      <w:pPr>
        <w:pStyle w:val="NoSpacing"/>
        <w:spacing w:line="276" w:lineRule="auto"/>
        <w:jc w:val="both"/>
        <w:rPr>
          <w:rFonts w:ascii="Times New Roman" w:hAnsi="Times New Roman"/>
          <w:sz w:val="24"/>
          <w:szCs w:val="24"/>
        </w:rPr>
      </w:pPr>
    </w:p>
    <w:p w:rsidR="00592428" w:rsidRPr="008E65E3" w:rsidRDefault="00592428" w:rsidP="00592428">
      <w:pPr>
        <w:pStyle w:val="NoSpacing"/>
        <w:spacing w:line="276" w:lineRule="auto"/>
        <w:jc w:val="both"/>
        <w:rPr>
          <w:rFonts w:ascii="Times New Roman" w:hAnsi="Times New Roman"/>
          <w:sz w:val="24"/>
          <w:szCs w:val="24"/>
          <w:lang w:val="sq-AL"/>
        </w:rPr>
      </w:pPr>
      <w:r w:rsidRPr="008E65E3">
        <w:rPr>
          <w:rFonts w:ascii="Times New Roman" w:hAnsi="Times New Roman"/>
          <w:sz w:val="24"/>
          <w:szCs w:val="24"/>
          <w:lang w:val="sq-AL"/>
        </w:rPr>
        <w:t>PROCEDURA</w:t>
      </w:r>
    </w:p>
    <w:p w:rsidR="00592428" w:rsidRPr="008E65E3" w:rsidRDefault="00592428" w:rsidP="00592428">
      <w:pPr>
        <w:pStyle w:val="NoSpacing"/>
        <w:spacing w:line="276" w:lineRule="auto"/>
        <w:jc w:val="both"/>
        <w:rPr>
          <w:rFonts w:ascii="Times New Roman" w:hAnsi="Times New Roman"/>
          <w:sz w:val="24"/>
          <w:szCs w:val="24"/>
          <w:lang w:val="sq-AL"/>
        </w:rPr>
      </w:pPr>
    </w:p>
    <w:p w:rsidR="00592428" w:rsidRPr="008E65E3" w:rsidRDefault="00592428" w:rsidP="00592428">
      <w:pPr>
        <w:pStyle w:val="NoSpacing"/>
        <w:numPr>
          <w:ilvl w:val="0"/>
          <w:numId w:val="8"/>
        </w:numPr>
        <w:spacing w:line="276" w:lineRule="auto"/>
        <w:jc w:val="both"/>
        <w:rPr>
          <w:rFonts w:ascii="Times New Roman" w:hAnsi="Times New Roman"/>
          <w:sz w:val="24"/>
          <w:szCs w:val="24"/>
          <w:lang w:val="sq-AL"/>
        </w:rPr>
      </w:pPr>
      <w:r w:rsidRPr="008E65E3">
        <w:rPr>
          <w:rFonts w:ascii="Times New Roman" w:hAnsi="Times New Roman"/>
          <w:sz w:val="24"/>
          <w:szCs w:val="24"/>
          <w:lang w:val="sq-AL"/>
        </w:rPr>
        <w:t>Ç</w:t>
      </w:r>
      <w:r>
        <w:rPr>
          <w:rFonts w:ascii="Times New Roman" w:hAnsi="Times New Roman"/>
          <w:sz w:val="24"/>
          <w:szCs w:val="24"/>
          <w:lang w:val="sq-AL"/>
        </w:rPr>
        <w:t>ë</w:t>
      </w:r>
      <w:r w:rsidRPr="008E65E3">
        <w:rPr>
          <w:rFonts w:ascii="Times New Roman" w:hAnsi="Times New Roman"/>
          <w:sz w:val="24"/>
          <w:szCs w:val="24"/>
          <w:lang w:val="sq-AL"/>
        </w:rPr>
        <w:t>shtja nisi me dy ankesa (nr. 37295 dhe 42228/05) kund</w:t>
      </w:r>
      <w:r>
        <w:rPr>
          <w:rFonts w:ascii="Times New Roman" w:hAnsi="Times New Roman"/>
          <w:sz w:val="24"/>
          <w:szCs w:val="24"/>
          <w:lang w:val="sq-AL"/>
        </w:rPr>
        <w:t>ë</w:t>
      </w:r>
      <w:r w:rsidRPr="008E65E3">
        <w:rPr>
          <w:rFonts w:ascii="Times New Roman" w:hAnsi="Times New Roman"/>
          <w:sz w:val="24"/>
          <w:szCs w:val="24"/>
          <w:lang w:val="sq-AL"/>
        </w:rPr>
        <w:t>r Republik</w:t>
      </w:r>
      <w:r>
        <w:rPr>
          <w:rFonts w:ascii="Times New Roman" w:hAnsi="Times New Roman"/>
          <w:sz w:val="24"/>
          <w:szCs w:val="24"/>
          <w:lang w:val="sq-AL"/>
        </w:rPr>
        <w:t>ë</w:t>
      </w:r>
      <w:r w:rsidRPr="008E65E3">
        <w:rPr>
          <w:rFonts w:ascii="Times New Roman" w:hAnsi="Times New Roman"/>
          <w:sz w:val="24"/>
          <w:szCs w:val="24"/>
          <w:lang w:val="sq-AL"/>
        </w:rPr>
        <w:t>s s</w:t>
      </w:r>
      <w:r>
        <w:rPr>
          <w:rFonts w:ascii="Times New Roman" w:hAnsi="Times New Roman"/>
          <w:sz w:val="24"/>
          <w:szCs w:val="24"/>
          <w:lang w:val="sq-AL"/>
        </w:rPr>
        <w:t>ë</w:t>
      </w:r>
      <w:r w:rsidRPr="008E65E3">
        <w:rPr>
          <w:rFonts w:ascii="Times New Roman" w:hAnsi="Times New Roman"/>
          <w:sz w:val="24"/>
          <w:szCs w:val="24"/>
          <w:lang w:val="sq-AL"/>
        </w:rPr>
        <w:t xml:space="preserve"> Shqip</w:t>
      </w:r>
      <w:r>
        <w:rPr>
          <w:rFonts w:ascii="Times New Roman" w:hAnsi="Times New Roman"/>
          <w:sz w:val="24"/>
          <w:szCs w:val="24"/>
          <w:lang w:val="sq-AL"/>
        </w:rPr>
        <w:t>ë</w:t>
      </w:r>
      <w:r w:rsidRPr="008E65E3">
        <w:rPr>
          <w:rFonts w:ascii="Times New Roman" w:hAnsi="Times New Roman"/>
          <w:sz w:val="24"/>
          <w:szCs w:val="24"/>
          <w:lang w:val="sq-AL"/>
        </w:rPr>
        <w:t>ris</w:t>
      </w:r>
      <w:r>
        <w:rPr>
          <w:rFonts w:ascii="Times New Roman" w:hAnsi="Times New Roman"/>
          <w:sz w:val="24"/>
          <w:szCs w:val="24"/>
          <w:lang w:val="sq-AL"/>
        </w:rPr>
        <w:t>ë</w:t>
      </w:r>
      <w:r w:rsidRPr="008E65E3">
        <w:rPr>
          <w:rFonts w:ascii="Times New Roman" w:hAnsi="Times New Roman"/>
          <w:sz w:val="24"/>
          <w:szCs w:val="24"/>
          <w:lang w:val="sq-AL"/>
        </w:rPr>
        <w:t xml:space="preserve"> paraqitur n</w:t>
      </w:r>
      <w:r>
        <w:rPr>
          <w:rFonts w:ascii="Times New Roman" w:hAnsi="Times New Roman"/>
          <w:sz w:val="24"/>
          <w:szCs w:val="24"/>
          <w:lang w:val="sq-AL"/>
        </w:rPr>
        <w:t>ë</w:t>
      </w:r>
      <w:r w:rsidRPr="008E65E3">
        <w:rPr>
          <w:rFonts w:ascii="Times New Roman" w:hAnsi="Times New Roman"/>
          <w:sz w:val="24"/>
          <w:szCs w:val="24"/>
          <w:lang w:val="sq-AL"/>
        </w:rPr>
        <w:t xml:space="preserve"> Gjykat</w:t>
      </w:r>
      <w:r>
        <w:rPr>
          <w:rFonts w:ascii="Times New Roman" w:hAnsi="Times New Roman"/>
          <w:sz w:val="24"/>
          <w:szCs w:val="24"/>
          <w:lang w:val="sq-AL"/>
        </w:rPr>
        <w:t>ë</w:t>
      </w:r>
      <w:r w:rsidRPr="008E65E3">
        <w:rPr>
          <w:rFonts w:ascii="Times New Roman" w:hAnsi="Times New Roman"/>
          <w:sz w:val="24"/>
          <w:szCs w:val="24"/>
          <w:lang w:val="sq-AL"/>
        </w:rPr>
        <w:t>, nga kat</w:t>
      </w:r>
      <w:r>
        <w:rPr>
          <w:rFonts w:ascii="Times New Roman" w:hAnsi="Times New Roman"/>
          <w:sz w:val="24"/>
          <w:szCs w:val="24"/>
          <w:lang w:val="sq-AL"/>
        </w:rPr>
        <w:t>ë</w:t>
      </w:r>
      <w:r w:rsidRPr="008E65E3">
        <w:rPr>
          <w:rFonts w:ascii="Times New Roman" w:hAnsi="Times New Roman"/>
          <w:sz w:val="24"/>
          <w:szCs w:val="24"/>
          <w:lang w:val="sq-AL"/>
        </w:rPr>
        <w:t>r shtetas shqiptar</w:t>
      </w:r>
      <w:r>
        <w:rPr>
          <w:rFonts w:ascii="Times New Roman" w:hAnsi="Times New Roman"/>
          <w:sz w:val="24"/>
          <w:szCs w:val="24"/>
          <w:lang w:val="sq-AL"/>
        </w:rPr>
        <w:t>ë</w:t>
      </w:r>
      <w:r w:rsidRPr="008E65E3">
        <w:rPr>
          <w:rFonts w:ascii="Times New Roman" w:hAnsi="Times New Roman"/>
          <w:sz w:val="24"/>
          <w:szCs w:val="24"/>
          <w:lang w:val="sq-AL"/>
        </w:rPr>
        <w:t>, n</w:t>
      </w:r>
      <w:r>
        <w:rPr>
          <w:rFonts w:ascii="Times New Roman" w:hAnsi="Times New Roman"/>
          <w:sz w:val="24"/>
          <w:szCs w:val="24"/>
          <w:lang w:val="sq-AL"/>
        </w:rPr>
        <w:t>ë</w:t>
      </w:r>
      <w:r w:rsidRPr="008E65E3">
        <w:rPr>
          <w:rFonts w:ascii="Times New Roman" w:hAnsi="Times New Roman"/>
          <w:sz w:val="24"/>
          <w:szCs w:val="24"/>
          <w:lang w:val="sq-AL"/>
        </w:rPr>
        <w:t xml:space="preserve"> p</w:t>
      </w:r>
      <w:r>
        <w:rPr>
          <w:rFonts w:ascii="Times New Roman" w:hAnsi="Times New Roman"/>
          <w:sz w:val="24"/>
          <w:szCs w:val="24"/>
          <w:lang w:val="sq-AL"/>
        </w:rPr>
        <w:t>ë</w:t>
      </w:r>
      <w:r w:rsidRPr="008E65E3">
        <w:rPr>
          <w:rFonts w:ascii="Times New Roman" w:hAnsi="Times New Roman"/>
          <w:sz w:val="24"/>
          <w:szCs w:val="24"/>
          <w:lang w:val="sq-AL"/>
        </w:rPr>
        <w:t>rputhje me Nenin 34 t</w:t>
      </w:r>
      <w:r>
        <w:rPr>
          <w:rFonts w:ascii="Times New Roman" w:hAnsi="Times New Roman"/>
          <w:sz w:val="24"/>
          <w:szCs w:val="24"/>
          <w:lang w:val="sq-AL"/>
        </w:rPr>
        <w:t>ë</w:t>
      </w:r>
      <w:r w:rsidRPr="008E65E3">
        <w:rPr>
          <w:rFonts w:ascii="Times New Roman" w:hAnsi="Times New Roman"/>
          <w:sz w:val="24"/>
          <w:szCs w:val="24"/>
          <w:lang w:val="sq-AL"/>
        </w:rPr>
        <w:t xml:space="preserve"> Konvent</w:t>
      </w:r>
      <w:r>
        <w:rPr>
          <w:rFonts w:ascii="Times New Roman" w:hAnsi="Times New Roman"/>
          <w:sz w:val="24"/>
          <w:szCs w:val="24"/>
          <w:lang w:val="sq-AL"/>
        </w:rPr>
        <w:t>ë</w:t>
      </w:r>
      <w:r w:rsidRPr="008E65E3">
        <w:rPr>
          <w:rFonts w:ascii="Times New Roman" w:hAnsi="Times New Roman"/>
          <w:sz w:val="24"/>
          <w:szCs w:val="24"/>
          <w:lang w:val="sq-AL"/>
        </w:rPr>
        <w:t>s p</w:t>
      </w:r>
      <w:r>
        <w:rPr>
          <w:rFonts w:ascii="Times New Roman" w:hAnsi="Times New Roman"/>
          <w:sz w:val="24"/>
          <w:szCs w:val="24"/>
          <w:lang w:val="sq-AL"/>
        </w:rPr>
        <w:t>ë</w:t>
      </w:r>
      <w:r w:rsidRPr="008E65E3">
        <w:rPr>
          <w:rFonts w:ascii="Times New Roman" w:hAnsi="Times New Roman"/>
          <w:sz w:val="24"/>
          <w:szCs w:val="24"/>
          <w:lang w:val="sq-AL"/>
        </w:rPr>
        <w:t>r Mbrojtjen e t</w:t>
      </w:r>
      <w:r>
        <w:rPr>
          <w:rFonts w:ascii="Times New Roman" w:hAnsi="Times New Roman"/>
          <w:sz w:val="24"/>
          <w:szCs w:val="24"/>
          <w:lang w:val="sq-AL"/>
        </w:rPr>
        <w:t>ë Drejtave të Njeriut dhe Lirive</w:t>
      </w:r>
      <w:r w:rsidRPr="008E65E3">
        <w:rPr>
          <w:rFonts w:ascii="Times New Roman" w:hAnsi="Times New Roman"/>
          <w:sz w:val="24"/>
          <w:szCs w:val="24"/>
          <w:lang w:val="sq-AL"/>
        </w:rPr>
        <w:t xml:space="preserve"> Themelore (“Konventa”). Ankesa nr. 37295/05 u paraqit nga Znj. Drita Siliqi, me mbiem</w:t>
      </w:r>
      <w:r>
        <w:rPr>
          <w:rFonts w:ascii="Times New Roman" w:hAnsi="Times New Roman"/>
          <w:sz w:val="24"/>
          <w:szCs w:val="24"/>
          <w:lang w:val="sq-AL"/>
        </w:rPr>
        <w:t>ë</w:t>
      </w:r>
      <w:r w:rsidRPr="008E65E3">
        <w:rPr>
          <w:rFonts w:ascii="Times New Roman" w:hAnsi="Times New Roman"/>
          <w:sz w:val="24"/>
          <w:szCs w:val="24"/>
          <w:lang w:val="sq-AL"/>
        </w:rPr>
        <w:t>r vajz</w:t>
      </w:r>
      <w:r>
        <w:rPr>
          <w:rFonts w:ascii="Times New Roman" w:hAnsi="Times New Roman"/>
          <w:sz w:val="24"/>
          <w:szCs w:val="24"/>
          <w:lang w:val="sq-AL"/>
        </w:rPr>
        <w:t>ë</w:t>
      </w:r>
      <w:r w:rsidRPr="008E65E3">
        <w:rPr>
          <w:rFonts w:ascii="Times New Roman" w:hAnsi="Times New Roman"/>
          <w:sz w:val="24"/>
          <w:szCs w:val="24"/>
          <w:lang w:val="sq-AL"/>
        </w:rPr>
        <w:t>rie Shundi, Znj. Mariana Shundi dhe Z. Andrea Shundi, m</w:t>
      </w:r>
      <w:r>
        <w:rPr>
          <w:rFonts w:ascii="Times New Roman" w:hAnsi="Times New Roman"/>
          <w:sz w:val="24"/>
          <w:szCs w:val="24"/>
          <w:lang w:val="sq-AL"/>
        </w:rPr>
        <w:t>ë</w:t>
      </w:r>
      <w:r w:rsidRPr="008E65E3">
        <w:rPr>
          <w:rFonts w:ascii="Times New Roman" w:hAnsi="Times New Roman"/>
          <w:sz w:val="24"/>
          <w:szCs w:val="24"/>
          <w:lang w:val="sq-AL"/>
        </w:rPr>
        <w:t xml:space="preserve"> 3 Tetor 2005, </w:t>
      </w:r>
      <w:r>
        <w:rPr>
          <w:rFonts w:ascii="Times New Roman" w:hAnsi="Times New Roman"/>
          <w:sz w:val="24"/>
          <w:szCs w:val="24"/>
          <w:lang w:val="sq-AL"/>
        </w:rPr>
        <w:t>ndërsa</w:t>
      </w:r>
      <w:r w:rsidRPr="008E65E3">
        <w:rPr>
          <w:rFonts w:ascii="Times New Roman" w:hAnsi="Times New Roman"/>
          <w:sz w:val="24"/>
          <w:szCs w:val="24"/>
          <w:lang w:val="sq-AL"/>
        </w:rPr>
        <w:t xml:space="preserve"> ankesa nr. 42228/05 u paraqit nga Znj. Gjenovefa Mihali, me mbiem</w:t>
      </w:r>
      <w:r>
        <w:rPr>
          <w:rFonts w:ascii="Times New Roman" w:hAnsi="Times New Roman"/>
          <w:sz w:val="24"/>
          <w:szCs w:val="24"/>
          <w:lang w:val="sq-AL"/>
        </w:rPr>
        <w:t>ë</w:t>
      </w:r>
      <w:r w:rsidRPr="008E65E3">
        <w:rPr>
          <w:rFonts w:ascii="Times New Roman" w:hAnsi="Times New Roman"/>
          <w:sz w:val="24"/>
          <w:szCs w:val="24"/>
          <w:lang w:val="sq-AL"/>
        </w:rPr>
        <w:t>r vajz</w:t>
      </w:r>
      <w:r>
        <w:rPr>
          <w:rFonts w:ascii="Times New Roman" w:hAnsi="Times New Roman"/>
          <w:sz w:val="24"/>
          <w:szCs w:val="24"/>
          <w:lang w:val="sq-AL"/>
        </w:rPr>
        <w:t>ë</w:t>
      </w:r>
      <w:r w:rsidRPr="008E65E3">
        <w:rPr>
          <w:rFonts w:ascii="Times New Roman" w:hAnsi="Times New Roman"/>
          <w:sz w:val="24"/>
          <w:szCs w:val="24"/>
          <w:lang w:val="sq-AL"/>
        </w:rPr>
        <w:t xml:space="preserve">rie Shundi, </w:t>
      </w:r>
      <w:r>
        <w:rPr>
          <w:rFonts w:ascii="Times New Roman" w:hAnsi="Times New Roman"/>
          <w:sz w:val="24"/>
          <w:szCs w:val="24"/>
          <w:lang w:val="sq-AL"/>
        </w:rPr>
        <w:t xml:space="preserve">dhe Znj. Drita Siliqi , ne mbiemër vajzërie Shundi, </w:t>
      </w:r>
      <w:r w:rsidRPr="008E65E3">
        <w:rPr>
          <w:rFonts w:ascii="Times New Roman" w:hAnsi="Times New Roman"/>
          <w:sz w:val="24"/>
          <w:szCs w:val="24"/>
          <w:lang w:val="sq-AL"/>
        </w:rPr>
        <w:t>m</w:t>
      </w:r>
      <w:r>
        <w:rPr>
          <w:rFonts w:ascii="Times New Roman" w:hAnsi="Times New Roman"/>
          <w:sz w:val="24"/>
          <w:szCs w:val="24"/>
          <w:lang w:val="sq-AL"/>
        </w:rPr>
        <w:t>ë</w:t>
      </w:r>
      <w:r w:rsidRPr="008E65E3">
        <w:rPr>
          <w:rFonts w:ascii="Times New Roman" w:hAnsi="Times New Roman"/>
          <w:sz w:val="24"/>
          <w:szCs w:val="24"/>
          <w:lang w:val="sq-AL"/>
        </w:rPr>
        <w:t xml:space="preserve"> 14 Tetor 2005.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sidRPr="008E65E3">
        <w:rPr>
          <w:rFonts w:ascii="Times New Roman" w:hAnsi="Times New Roman"/>
          <w:sz w:val="24"/>
          <w:szCs w:val="24"/>
          <w:lang w:val="sq-AL"/>
        </w:rPr>
        <w:t>Ankuesit u p</w:t>
      </w:r>
      <w:r>
        <w:rPr>
          <w:rFonts w:ascii="Times New Roman" w:hAnsi="Times New Roman"/>
          <w:sz w:val="24"/>
          <w:szCs w:val="24"/>
          <w:lang w:val="sq-AL"/>
        </w:rPr>
        <w:t>ë</w:t>
      </w:r>
      <w:r w:rsidRPr="008E65E3">
        <w:rPr>
          <w:rFonts w:ascii="Times New Roman" w:hAnsi="Times New Roman"/>
          <w:sz w:val="24"/>
          <w:szCs w:val="24"/>
          <w:lang w:val="sq-AL"/>
        </w:rPr>
        <w:t>rfaq</w:t>
      </w:r>
      <w:r>
        <w:rPr>
          <w:rFonts w:ascii="Times New Roman" w:hAnsi="Times New Roman"/>
          <w:sz w:val="24"/>
          <w:szCs w:val="24"/>
          <w:lang w:val="sq-AL"/>
        </w:rPr>
        <w:t>ë</w:t>
      </w:r>
      <w:r w:rsidRPr="008E65E3">
        <w:rPr>
          <w:rFonts w:ascii="Times New Roman" w:hAnsi="Times New Roman"/>
          <w:sz w:val="24"/>
          <w:szCs w:val="24"/>
          <w:lang w:val="sq-AL"/>
        </w:rPr>
        <w:t>suan nga Z. A. Tartari, nj</w:t>
      </w:r>
      <w:r>
        <w:rPr>
          <w:rFonts w:ascii="Times New Roman" w:hAnsi="Times New Roman"/>
          <w:sz w:val="24"/>
          <w:szCs w:val="24"/>
          <w:lang w:val="sq-AL"/>
        </w:rPr>
        <w:t>ë</w:t>
      </w:r>
      <w:r w:rsidRPr="008E65E3">
        <w:rPr>
          <w:rFonts w:ascii="Times New Roman" w:hAnsi="Times New Roman"/>
          <w:sz w:val="24"/>
          <w:szCs w:val="24"/>
          <w:lang w:val="sq-AL"/>
        </w:rPr>
        <w:t xml:space="preserve"> avokat i cili e ushtron veprimtarin</w:t>
      </w:r>
      <w:r>
        <w:rPr>
          <w:rFonts w:ascii="Times New Roman" w:hAnsi="Times New Roman"/>
          <w:sz w:val="24"/>
          <w:szCs w:val="24"/>
          <w:lang w:val="sq-AL"/>
        </w:rPr>
        <w:t>ë</w:t>
      </w:r>
      <w:r w:rsidRPr="008E65E3">
        <w:rPr>
          <w:rFonts w:ascii="Times New Roman" w:hAnsi="Times New Roman"/>
          <w:sz w:val="24"/>
          <w:szCs w:val="24"/>
          <w:lang w:val="sq-AL"/>
        </w:rPr>
        <w:t xml:space="preserve"> n</w:t>
      </w:r>
      <w:r>
        <w:rPr>
          <w:rFonts w:ascii="Times New Roman" w:hAnsi="Times New Roman"/>
          <w:sz w:val="24"/>
          <w:szCs w:val="24"/>
          <w:lang w:val="sq-AL"/>
        </w:rPr>
        <w:t>ë</w:t>
      </w:r>
      <w:r w:rsidRPr="008E65E3">
        <w:rPr>
          <w:rFonts w:ascii="Times New Roman" w:hAnsi="Times New Roman"/>
          <w:sz w:val="24"/>
          <w:szCs w:val="24"/>
          <w:lang w:val="sq-AL"/>
        </w:rPr>
        <w:t xml:space="preserve"> Tiran</w:t>
      </w:r>
      <w:r>
        <w:rPr>
          <w:rFonts w:ascii="Times New Roman" w:hAnsi="Times New Roman"/>
          <w:sz w:val="24"/>
          <w:szCs w:val="24"/>
          <w:lang w:val="sq-AL"/>
        </w:rPr>
        <w:t>ë</w:t>
      </w:r>
      <w:r w:rsidRPr="008E65E3">
        <w:rPr>
          <w:rFonts w:ascii="Times New Roman" w:hAnsi="Times New Roman"/>
          <w:sz w:val="24"/>
          <w:szCs w:val="24"/>
          <w:lang w:val="sq-AL"/>
        </w:rPr>
        <w:t>. Qeveria shqiptare (“Qeveria”) u p</w:t>
      </w:r>
      <w:r>
        <w:rPr>
          <w:rFonts w:ascii="Times New Roman" w:hAnsi="Times New Roman"/>
          <w:sz w:val="24"/>
          <w:szCs w:val="24"/>
          <w:lang w:val="sq-AL"/>
        </w:rPr>
        <w:t>ë</w:t>
      </w:r>
      <w:r w:rsidRPr="008E65E3">
        <w:rPr>
          <w:rFonts w:ascii="Times New Roman" w:hAnsi="Times New Roman"/>
          <w:sz w:val="24"/>
          <w:szCs w:val="24"/>
          <w:lang w:val="sq-AL"/>
        </w:rPr>
        <w:t>rfaq</w:t>
      </w:r>
      <w:r>
        <w:rPr>
          <w:rFonts w:ascii="Times New Roman" w:hAnsi="Times New Roman"/>
          <w:sz w:val="24"/>
          <w:szCs w:val="24"/>
          <w:lang w:val="sq-AL"/>
        </w:rPr>
        <w:t>ë</w:t>
      </w:r>
      <w:r w:rsidRPr="008E65E3">
        <w:rPr>
          <w:rFonts w:ascii="Times New Roman" w:hAnsi="Times New Roman"/>
          <w:sz w:val="24"/>
          <w:szCs w:val="24"/>
          <w:lang w:val="sq-AL"/>
        </w:rPr>
        <w:t>sua nga agjenti i saj i asaj kohe Z. S. M</w:t>
      </w:r>
      <w:r>
        <w:rPr>
          <w:rFonts w:ascii="Times New Roman" w:hAnsi="Times New Roman"/>
          <w:sz w:val="24"/>
          <w:szCs w:val="24"/>
          <w:lang w:val="sq-AL"/>
        </w:rPr>
        <w:t>ë</w:t>
      </w:r>
      <w:r w:rsidRPr="008E65E3">
        <w:rPr>
          <w:rFonts w:ascii="Times New Roman" w:hAnsi="Times New Roman"/>
          <w:sz w:val="24"/>
          <w:szCs w:val="24"/>
          <w:lang w:val="sq-AL"/>
        </w:rPr>
        <w:t>neri, nga Ministria e Pun</w:t>
      </w:r>
      <w:r>
        <w:rPr>
          <w:rFonts w:ascii="Times New Roman" w:hAnsi="Times New Roman"/>
          <w:sz w:val="24"/>
          <w:szCs w:val="24"/>
          <w:lang w:val="sq-AL"/>
        </w:rPr>
        <w:t>ë</w:t>
      </w:r>
      <w:r w:rsidRPr="008E65E3">
        <w:rPr>
          <w:rFonts w:ascii="Times New Roman" w:hAnsi="Times New Roman"/>
          <w:sz w:val="24"/>
          <w:szCs w:val="24"/>
          <w:lang w:val="sq-AL"/>
        </w:rPr>
        <w:t>ve t</w:t>
      </w:r>
      <w:r>
        <w:rPr>
          <w:rFonts w:ascii="Times New Roman" w:hAnsi="Times New Roman"/>
          <w:sz w:val="24"/>
          <w:szCs w:val="24"/>
          <w:lang w:val="sq-AL"/>
        </w:rPr>
        <w:t>ë</w:t>
      </w:r>
      <w:r w:rsidRPr="008E65E3">
        <w:rPr>
          <w:rFonts w:ascii="Times New Roman" w:hAnsi="Times New Roman"/>
          <w:sz w:val="24"/>
          <w:szCs w:val="24"/>
          <w:lang w:val="sq-AL"/>
        </w:rPr>
        <w:t xml:space="preserve"> Jashtme.</w:t>
      </w:r>
      <w:r>
        <w:rPr>
          <w:rFonts w:ascii="Times New Roman" w:hAnsi="Times New Roman"/>
          <w:sz w:val="24"/>
          <w:szCs w:val="24"/>
          <w:lang w:val="sq-AL"/>
        </w:rPr>
        <w:t xml:space="preserve">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Më 6 Dhjetor 2007, ankimet iu komunikuan Qeverisë. </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FAKTET</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9"/>
        </w:numPr>
        <w:spacing w:line="276" w:lineRule="auto"/>
        <w:jc w:val="both"/>
        <w:rPr>
          <w:rFonts w:ascii="Times New Roman" w:hAnsi="Times New Roman"/>
          <w:sz w:val="24"/>
          <w:szCs w:val="24"/>
          <w:lang w:val="sq-AL"/>
        </w:rPr>
      </w:pPr>
      <w:r>
        <w:rPr>
          <w:rFonts w:ascii="Times New Roman" w:hAnsi="Times New Roman"/>
          <w:sz w:val="24"/>
          <w:szCs w:val="24"/>
          <w:lang w:val="sq-AL"/>
        </w:rPr>
        <w:t>RRETHANAT E ÇËSHTJES</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Ankuesit kanë lindur respektivisht në vitin 1937, 1933, 1941 dhe 1934 dhe jetojnë në Shqipëri dhe në Shtetet e Bashkuara të Amerikës.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Më 30 Dhjetor 1994, Komisioni për Rikthimin dhe Kompensimin e Pronave Tiranë (“Komisioni”) midis të tjerave, i njohu ankuesve të drejtat mbi pronën e trashëguar për një ngastër toke me përmasat 2,461.97 m</w:t>
      </w:r>
      <w:r>
        <w:rPr>
          <w:rFonts w:ascii="Times New Roman" w:hAnsi="Times New Roman"/>
          <w:sz w:val="24"/>
          <w:szCs w:val="24"/>
          <w:vertAlign w:val="superscript"/>
          <w:lang w:val="sq-AL"/>
        </w:rPr>
        <w:t>2</w:t>
      </w:r>
      <w:r>
        <w:rPr>
          <w:rFonts w:ascii="Times New Roman" w:hAnsi="Times New Roman"/>
          <w:sz w:val="24"/>
          <w:szCs w:val="24"/>
          <w:lang w:val="sq-AL"/>
        </w:rPr>
        <w:t xml:space="preserve"> dhe vendosi që ta rikthente pronën. Përderisa ndërtesat ishin ndërtuar mbi këtë tokë nga një palë e tretë, Komisioni vendosi se pala e tretë duhet të paguajë qera për tokën ose ta riblejë atë, bazuar në një marrëveshje që do të vendoset midis palëve. Gjithashtu, ai pranoi të drejtën e ankuesve për t’i refuzuar fillimisht ndërtesat. </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spacing w:line="276" w:lineRule="auto"/>
        <w:jc w:val="both"/>
        <w:rPr>
          <w:rFonts w:ascii="Times New Roman" w:hAnsi="Times New Roman"/>
          <w:sz w:val="24"/>
          <w:szCs w:val="24"/>
          <w:lang w:val="sq-AL"/>
        </w:rPr>
      </w:pPr>
    </w:p>
    <w:p w:rsidR="00592428" w:rsidRPr="00137EE9" w:rsidRDefault="00592428" w:rsidP="00592428">
      <w:pPr>
        <w:pStyle w:val="NoSpacing"/>
        <w:spacing w:line="276" w:lineRule="auto"/>
        <w:jc w:val="center"/>
        <w:rPr>
          <w:rFonts w:ascii="Times New Roman" w:hAnsi="Times New Roman"/>
          <w:sz w:val="18"/>
          <w:szCs w:val="18"/>
          <w:lang w:val="sq-AL"/>
        </w:rPr>
      </w:pPr>
      <w:r>
        <w:rPr>
          <w:rFonts w:ascii="Times New Roman" w:hAnsi="Times New Roman"/>
          <w:sz w:val="18"/>
          <w:szCs w:val="18"/>
          <w:lang w:val="sq-AL"/>
        </w:rPr>
        <w:t>VENDIMI SILIQI DHE TË TJERËT KUNDËR SHQIPËRISË</w:t>
      </w:r>
    </w:p>
    <w:p w:rsidR="00592428" w:rsidRDefault="00592428" w:rsidP="00592428">
      <w:pPr>
        <w:pStyle w:val="NoSpacing"/>
        <w:spacing w:line="276" w:lineRule="auto"/>
        <w:jc w:val="both"/>
        <w:rPr>
          <w:rFonts w:ascii="Times New Roman" w:hAnsi="Times New Roman"/>
          <w:sz w:val="24"/>
          <w:szCs w:val="24"/>
          <w:lang w:val="sq-AL"/>
        </w:rPr>
      </w:pPr>
    </w:p>
    <w:p w:rsidR="00592428" w:rsidRPr="00592428" w:rsidRDefault="00592428" w:rsidP="00592428">
      <w:pPr>
        <w:pStyle w:val="NoSpacing"/>
        <w:numPr>
          <w:ilvl w:val="0"/>
          <w:numId w:val="8"/>
        </w:numPr>
        <w:spacing w:line="276" w:lineRule="auto"/>
        <w:jc w:val="both"/>
        <w:rPr>
          <w:rFonts w:ascii="Times New Roman" w:hAnsi="Times New Roman"/>
          <w:sz w:val="24"/>
          <w:szCs w:val="24"/>
          <w:lang w:val="sq-AL"/>
        </w:rPr>
      </w:pPr>
      <w:r w:rsidRPr="00592428">
        <w:rPr>
          <w:rFonts w:ascii="Times New Roman" w:hAnsi="Times New Roman"/>
          <w:sz w:val="24"/>
          <w:szCs w:val="24"/>
          <w:lang w:val="sq-AL"/>
        </w:rPr>
        <w:t>Më 18 Shkurt 1997, ankuesit paraqitën një kërkesë civile në Gjykatën e Rrethit Tiranë, në të cilën kërkonin anulimin e kontratës së shitjes së vitit 1996, të vendosur midis shtetit</w:t>
      </w:r>
      <w:r>
        <w:rPr>
          <w:rFonts w:ascii="Times New Roman" w:hAnsi="Times New Roman"/>
          <w:sz w:val="24"/>
          <w:szCs w:val="24"/>
          <w:lang w:val="sq-AL"/>
        </w:rPr>
        <w:t xml:space="preserve"> </w:t>
      </w:r>
      <w:r w:rsidRPr="00592428">
        <w:rPr>
          <w:rFonts w:ascii="Times New Roman" w:hAnsi="Times New Roman"/>
          <w:sz w:val="24"/>
          <w:szCs w:val="24"/>
          <w:lang w:val="sq-AL"/>
        </w:rPr>
        <w:t>dhe palës së tretë, mbi dy ngastra toke me përmasat 197 m</w:t>
      </w:r>
      <w:r w:rsidRPr="00592428">
        <w:rPr>
          <w:rFonts w:ascii="Times New Roman" w:hAnsi="Times New Roman"/>
          <w:sz w:val="24"/>
          <w:szCs w:val="24"/>
          <w:vertAlign w:val="superscript"/>
          <w:lang w:val="sq-AL"/>
        </w:rPr>
        <w:t>2</w:t>
      </w:r>
      <w:r w:rsidRPr="00592428">
        <w:rPr>
          <w:rFonts w:ascii="Times New Roman" w:hAnsi="Times New Roman"/>
          <w:sz w:val="24"/>
          <w:szCs w:val="24"/>
          <w:lang w:val="sq-AL"/>
        </w:rPr>
        <w:t xml:space="preserve"> dhe 195 m</w:t>
      </w:r>
      <w:r w:rsidRPr="00592428">
        <w:rPr>
          <w:rFonts w:ascii="Times New Roman" w:hAnsi="Times New Roman"/>
          <w:sz w:val="24"/>
          <w:szCs w:val="24"/>
          <w:vertAlign w:val="superscript"/>
          <w:lang w:val="sq-AL"/>
        </w:rPr>
        <w:t>2</w:t>
      </w:r>
      <w:r w:rsidRPr="00592428">
        <w:rPr>
          <w:rFonts w:ascii="Times New Roman" w:hAnsi="Times New Roman"/>
          <w:sz w:val="24"/>
          <w:szCs w:val="24"/>
          <w:lang w:val="sq-AL"/>
        </w:rPr>
        <w:t xml:space="preserve">, të cilat ata pretendonin se iu përkisnin atyre. Gjithashtu, ankuesit kërkuan që pala e tretë të bënte pagesën e qerasë në mbështetje të Aktit mbi Pronën i vitit 1993. Në po të njëjtën linjë procedimesh, pala e tretë paraqiti një kundërpërgjigje duke kërkuar anulimin e pjesshëm të vendimit të Komisionit.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Më 24 Prill 2002, Gjykata e Lartë dha vendimin final në  të cilin hidhte poshtë kërkesat e ankuesve. Ajo gjithashtu refuzoi edhe të drejtën e tyre për refuzimin e parë në lidhje me ndërtesat në ngastrat e tokës, të cilat ishin dhënë nga Komisioni. Ajo vendosi se ankuesve iu jepet e drejta për kompensim mbi ngastrën e tokës me përmasë 2,461/97 m</w:t>
      </w:r>
      <w:r>
        <w:rPr>
          <w:rFonts w:ascii="Times New Roman" w:hAnsi="Times New Roman"/>
          <w:sz w:val="24"/>
          <w:szCs w:val="24"/>
          <w:vertAlign w:val="superscript"/>
          <w:lang w:val="sq-AL"/>
        </w:rPr>
        <w:t>2</w:t>
      </w:r>
      <w:r>
        <w:rPr>
          <w:rFonts w:ascii="Times New Roman" w:hAnsi="Times New Roman"/>
          <w:sz w:val="24"/>
          <w:szCs w:val="24"/>
          <w:lang w:val="sq-AL"/>
        </w:rPr>
        <w:t xml:space="preserve">, kompensim i cili do të përcaktohej në përputhje me Aktin mbi Pronën i vitit 1993.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Më 22 Tetor 2004, Gjykata Kushtetuese, e mbledhur si një bankë e e plotë, nuk konstatoi shkelje të të drejtave të ankuesve për një gjykim të drejtë.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Deri më sot, nuk është paguar asnjë kompensim. </w:t>
      </w:r>
    </w:p>
    <w:p w:rsidR="00592428" w:rsidRDefault="00592428" w:rsidP="00592428">
      <w:pPr>
        <w:pStyle w:val="NoSpacing"/>
        <w:spacing w:line="276" w:lineRule="auto"/>
        <w:ind w:left="360"/>
        <w:jc w:val="both"/>
        <w:rPr>
          <w:rFonts w:ascii="Times New Roman" w:hAnsi="Times New Roman"/>
          <w:sz w:val="24"/>
          <w:szCs w:val="24"/>
          <w:lang w:val="sq-AL"/>
        </w:rPr>
      </w:pPr>
    </w:p>
    <w:p w:rsidR="00592428" w:rsidRDefault="00592428" w:rsidP="00592428">
      <w:pPr>
        <w:pStyle w:val="NoSpacing"/>
        <w:numPr>
          <w:ilvl w:val="0"/>
          <w:numId w:val="9"/>
        </w:numPr>
        <w:spacing w:line="276" w:lineRule="auto"/>
        <w:jc w:val="both"/>
        <w:rPr>
          <w:rFonts w:ascii="Times New Roman" w:hAnsi="Times New Roman"/>
          <w:sz w:val="24"/>
          <w:szCs w:val="24"/>
          <w:lang w:val="sq-AL"/>
        </w:rPr>
      </w:pPr>
      <w:r>
        <w:rPr>
          <w:rFonts w:ascii="Times New Roman" w:hAnsi="Times New Roman"/>
          <w:sz w:val="24"/>
          <w:szCs w:val="24"/>
          <w:lang w:val="sq-AL"/>
        </w:rPr>
        <w:t>LIGJI DHE PRAKTIKA PËRKATËSE VENDASE</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Ligji dhe praktika përkatëse vendase është përshkruar në detaje, </w:t>
      </w:r>
      <w:r>
        <w:rPr>
          <w:rFonts w:ascii="Times New Roman" w:hAnsi="Times New Roman"/>
          <w:i/>
          <w:sz w:val="24"/>
          <w:szCs w:val="24"/>
          <w:lang w:val="sq-AL"/>
        </w:rPr>
        <w:t xml:space="preserve">inter alia, </w:t>
      </w:r>
      <w:r>
        <w:rPr>
          <w:rFonts w:ascii="Times New Roman" w:hAnsi="Times New Roman"/>
          <w:sz w:val="24"/>
          <w:szCs w:val="24"/>
          <w:lang w:val="sq-AL"/>
        </w:rPr>
        <w:t xml:space="preserve">në vendimin </w:t>
      </w:r>
      <w:r>
        <w:rPr>
          <w:rFonts w:ascii="Times New Roman" w:hAnsi="Times New Roman"/>
          <w:i/>
          <w:sz w:val="24"/>
          <w:szCs w:val="24"/>
          <w:lang w:val="sq-AL"/>
        </w:rPr>
        <w:t>Manushaqe Puto dhe të Tjerët kundër Shqipërisë</w:t>
      </w:r>
      <w:r>
        <w:rPr>
          <w:rFonts w:ascii="Times New Roman" w:hAnsi="Times New Roman"/>
          <w:sz w:val="24"/>
          <w:szCs w:val="24"/>
          <w:lang w:val="sq-AL"/>
        </w:rPr>
        <w:t xml:space="preserve"> (nr. 604/07, 43628/07 dhe 34770/09, §§ 23-53, 31 Korrik 2012) dhe </w:t>
      </w:r>
      <w:r>
        <w:rPr>
          <w:rFonts w:ascii="Times New Roman" w:hAnsi="Times New Roman"/>
          <w:i/>
          <w:sz w:val="24"/>
          <w:szCs w:val="24"/>
          <w:lang w:val="sq-AL"/>
        </w:rPr>
        <w:t xml:space="preserve">Ramadhi kundër Shqipërisë </w:t>
      </w:r>
      <w:r>
        <w:rPr>
          <w:rFonts w:ascii="Times New Roman" w:hAnsi="Times New Roman"/>
          <w:sz w:val="24"/>
          <w:szCs w:val="24"/>
          <w:lang w:val="sq-AL"/>
        </w:rPr>
        <w:t xml:space="preserve">(nr. 38222/02, 13 Nëntor 2007).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Më 6 Mars 2013 dhe 30 Korrik 2014, Qeveria miratoi dhe lëshoi harta të reja për vlerësimin e pronës, të cilat përfshinin çmimin referencë për metër katrorë anembanë vendit (vendimet e Këshillit të Ministrave, nr. 187 më 6 Mars 2013 dhe 514 më 30 Korrik 2014). </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9"/>
        </w:numPr>
        <w:spacing w:line="276" w:lineRule="auto"/>
        <w:jc w:val="both"/>
        <w:rPr>
          <w:rFonts w:ascii="Times New Roman" w:hAnsi="Times New Roman"/>
          <w:sz w:val="24"/>
          <w:szCs w:val="24"/>
          <w:lang w:val="sq-AL"/>
        </w:rPr>
      </w:pPr>
      <w:r>
        <w:rPr>
          <w:rFonts w:ascii="Times New Roman" w:hAnsi="Times New Roman"/>
          <w:sz w:val="24"/>
          <w:szCs w:val="24"/>
          <w:lang w:val="sq-AL"/>
        </w:rPr>
        <w:t>MATERIAL I KËSHILLIT TË EUROPËS</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Në vijim të ngjarjeve të përshkruara në vendimin </w:t>
      </w:r>
      <w:r>
        <w:rPr>
          <w:rFonts w:ascii="Times New Roman" w:hAnsi="Times New Roman"/>
          <w:i/>
          <w:sz w:val="24"/>
          <w:szCs w:val="24"/>
          <w:lang w:val="sq-AL"/>
        </w:rPr>
        <w:t xml:space="preserve">Karagjozi dhe të Tjerët kundër Shqipërisë </w:t>
      </w:r>
      <w:r>
        <w:rPr>
          <w:rFonts w:ascii="Times New Roman" w:hAnsi="Times New Roman"/>
          <w:sz w:val="24"/>
          <w:szCs w:val="24"/>
          <w:lang w:val="sq-AL"/>
        </w:rPr>
        <w:t xml:space="preserve">[Këshilli], nr. 25408/06, 37419/06, 49121/06, 1504/07, 19772/07, 46685/07, 49411/07, 27242/08, 61912/08 dhe 15075/09, §§ 36-38, 8 Prill 2014, Komiteti i Ministrave nxori një vendim më 6 Mars 2014, mbi ekzekutimin e gjykimit të dhënë  për moszbatim të vendimeve vendase juridike dhe administrative të formës së prerë nga ana e autoriteteve shqiptare, të cilat iu akordonin ankuesve kompensim në një nga mënyrat e parashikuara me ligj, në vend të rikthimit fizik të ngastrave të tyre të tokës, i cili u miratua në takimin e 1193-të të tij, duke parashtruar si më poshtë vijon, për sa ka të bëjë me çështjen: </w:t>
      </w:r>
    </w:p>
    <w:p w:rsidR="00592428" w:rsidRPr="00137EE9" w:rsidRDefault="00592428" w:rsidP="00592428">
      <w:pPr>
        <w:pStyle w:val="NoSpacing"/>
        <w:spacing w:line="276" w:lineRule="auto"/>
        <w:ind w:left="720"/>
        <w:jc w:val="center"/>
        <w:rPr>
          <w:rFonts w:ascii="Times New Roman" w:hAnsi="Times New Roman"/>
          <w:sz w:val="18"/>
          <w:szCs w:val="18"/>
          <w:lang w:val="sq-AL"/>
        </w:rPr>
      </w:pPr>
      <w:r>
        <w:rPr>
          <w:rFonts w:ascii="Times New Roman" w:hAnsi="Times New Roman"/>
          <w:sz w:val="18"/>
          <w:szCs w:val="18"/>
          <w:lang w:val="sq-AL"/>
        </w:rPr>
        <w:t>VENDIMI SILIQI DHE TË TJERËT KUNDËR SHQIPËRISË</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spacing w:line="276" w:lineRule="auto"/>
        <w:ind w:left="720" w:firstLine="720"/>
        <w:jc w:val="both"/>
        <w:rPr>
          <w:rFonts w:ascii="Times New Roman" w:hAnsi="Times New Roman"/>
          <w:sz w:val="24"/>
          <w:szCs w:val="24"/>
          <w:lang w:val="sq-AL"/>
        </w:rPr>
      </w:pPr>
      <w:r>
        <w:rPr>
          <w:rFonts w:ascii="Times New Roman" w:hAnsi="Times New Roman"/>
          <w:sz w:val="24"/>
          <w:szCs w:val="24"/>
          <w:lang w:val="sq-AL"/>
        </w:rPr>
        <w:t>“Deputetët</w:t>
      </w:r>
    </w:p>
    <w:p w:rsidR="00592428" w:rsidRDefault="00592428" w:rsidP="00592428">
      <w:pPr>
        <w:pStyle w:val="NoSpacing"/>
        <w:spacing w:line="276" w:lineRule="auto"/>
        <w:ind w:left="1440"/>
        <w:jc w:val="both"/>
        <w:rPr>
          <w:rFonts w:ascii="Times New Roman" w:hAnsi="Times New Roman"/>
          <w:sz w:val="24"/>
          <w:szCs w:val="24"/>
          <w:lang w:val="sq-AL"/>
        </w:rPr>
      </w:pPr>
      <w:r>
        <w:rPr>
          <w:rFonts w:ascii="Times New Roman" w:hAnsi="Times New Roman"/>
          <w:sz w:val="24"/>
          <w:szCs w:val="24"/>
          <w:lang w:val="sq-AL"/>
        </w:rPr>
        <w:t>(...)</w:t>
      </w:r>
    </w:p>
    <w:p w:rsidR="00592428" w:rsidRDefault="00592428" w:rsidP="00592428">
      <w:pPr>
        <w:pStyle w:val="NoSpacing"/>
        <w:spacing w:line="276" w:lineRule="auto"/>
        <w:ind w:left="1440"/>
        <w:jc w:val="both"/>
        <w:rPr>
          <w:rFonts w:ascii="Times New Roman" w:hAnsi="Times New Roman"/>
          <w:sz w:val="24"/>
          <w:szCs w:val="24"/>
          <w:lang w:val="sq-AL"/>
        </w:rPr>
      </w:pPr>
      <w:r>
        <w:rPr>
          <w:rFonts w:ascii="Times New Roman" w:hAnsi="Times New Roman"/>
          <w:sz w:val="24"/>
          <w:szCs w:val="24"/>
          <w:lang w:val="sq-AL"/>
        </w:rPr>
        <w:t xml:space="preserve">2. i konsideruan aktet e ndërmarra që prej Shtatorit 2013 dhe masat e parashikuara për javët dhe muajt në vijim si inkurajuese: megjithatë, duke ndjerë keqardhje se afati i përcaktuar nga vendimi pilot nuk u respektua, duke nënvizuar se në mënyrë që të përmbusheshin detyrimet e parashtruara nga Gjykata Europiane dhe të realizohej mekanizmi i kërkuar për kompensim pa vonesa të mëtejshme dhe brenda kuadrit të propozuar nga plani i veprimit, angazhimi politik i shprehur në planin e veprimit duhet të ndiqet nga akte konkrete dhe thelbësore në nivel kombëtar, veçanërisht në fushat e identifikuara nga Komiteti në Rezolutën e tij të Përkohshme KM/ResDH(2013) 115: </w:t>
      </w:r>
    </w:p>
    <w:p w:rsidR="00592428" w:rsidRDefault="00592428" w:rsidP="00592428">
      <w:pPr>
        <w:pStyle w:val="NoSpacing"/>
        <w:spacing w:line="276" w:lineRule="auto"/>
        <w:ind w:left="1440"/>
        <w:jc w:val="both"/>
        <w:rPr>
          <w:rFonts w:ascii="Times New Roman" w:hAnsi="Times New Roman"/>
          <w:sz w:val="24"/>
          <w:szCs w:val="24"/>
          <w:lang w:val="sq-AL"/>
        </w:rPr>
      </w:pPr>
      <w:r>
        <w:rPr>
          <w:rFonts w:ascii="Times New Roman" w:hAnsi="Times New Roman"/>
          <w:sz w:val="24"/>
          <w:szCs w:val="24"/>
          <w:lang w:val="sq-AL"/>
        </w:rPr>
        <w:t>(...).”</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Vendimi i Komitetit të Ministrave i datës 5 Qershor 2014 mbi ekzekutimin e gjykimeve në lidhje me moszbatimin e vendimeve vendase juridike dhe administrative të formës së prerë nga ana e autoriteteve shqiptare, të cilat i akordojnë ankuesve kompensim në një nga mënyrat e parashikuara me ligj, në vend të rikthimit fizik të ngastrave të tyre të tokës, i cili u miratua në takimin e tij të 1201, parashtroi si më poshtë vijon, për sa ka të bëjë me çështjen:</w:t>
      </w:r>
    </w:p>
    <w:p w:rsidR="00592428" w:rsidRDefault="00592428" w:rsidP="00592428">
      <w:pPr>
        <w:pStyle w:val="NoSpacing"/>
        <w:spacing w:line="276" w:lineRule="auto"/>
        <w:ind w:left="720"/>
        <w:jc w:val="both"/>
        <w:rPr>
          <w:rFonts w:ascii="Times New Roman" w:hAnsi="Times New Roman"/>
          <w:sz w:val="24"/>
          <w:szCs w:val="24"/>
          <w:lang w:val="sq-AL"/>
        </w:rPr>
      </w:pPr>
    </w:p>
    <w:p w:rsidR="00592428" w:rsidRDefault="00592428" w:rsidP="00592428">
      <w:pPr>
        <w:pStyle w:val="NoSpacing"/>
        <w:spacing w:line="276" w:lineRule="auto"/>
        <w:ind w:left="720"/>
        <w:jc w:val="both"/>
        <w:rPr>
          <w:rFonts w:ascii="Times New Roman" w:hAnsi="Times New Roman"/>
          <w:sz w:val="24"/>
          <w:szCs w:val="24"/>
          <w:lang w:val="sq-AL"/>
        </w:rPr>
      </w:pPr>
      <w:r>
        <w:rPr>
          <w:rFonts w:ascii="Times New Roman" w:hAnsi="Times New Roman"/>
          <w:sz w:val="24"/>
          <w:szCs w:val="24"/>
          <w:lang w:val="sq-AL"/>
        </w:rPr>
        <w:t>“Deputetët</w:t>
      </w:r>
    </w:p>
    <w:p w:rsidR="00592428" w:rsidRDefault="00592428" w:rsidP="00592428">
      <w:pPr>
        <w:pStyle w:val="NoSpacing"/>
        <w:numPr>
          <w:ilvl w:val="0"/>
          <w:numId w:val="10"/>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mirëpritën miratimin formal nga ana e Këshillit Shqiptar të Ministrave të planit të veprimit për ngritjen e një mekanizmi të efektshëm për kompensim, duke e bërë kështu të detyrueshëm planin e veprimit, dhe u shprehën të kënaqur se masat e parashikuara janë adoptuar në përputhje me parashikimet në këtë plan; </w:t>
      </w:r>
    </w:p>
    <w:p w:rsidR="00592428" w:rsidRDefault="00592428" w:rsidP="00592428">
      <w:pPr>
        <w:pStyle w:val="NoSpacing"/>
        <w:numPr>
          <w:ilvl w:val="0"/>
          <w:numId w:val="10"/>
        </w:numPr>
        <w:spacing w:line="276" w:lineRule="auto"/>
        <w:jc w:val="both"/>
        <w:rPr>
          <w:rFonts w:ascii="Times New Roman" w:hAnsi="Times New Roman"/>
          <w:sz w:val="24"/>
          <w:szCs w:val="24"/>
          <w:lang w:val="sq-AL"/>
        </w:rPr>
      </w:pPr>
      <w:r>
        <w:rPr>
          <w:rFonts w:ascii="Times New Roman" w:hAnsi="Times New Roman"/>
          <w:sz w:val="24"/>
          <w:szCs w:val="24"/>
          <w:lang w:val="sq-AL"/>
        </w:rPr>
        <w:t>duke patur parasysh afatin e përgjithshëm për implementimin e këtij mekanizmi, inkurajojnë fort autoritetet të intensifikojnë përpjekjet e tyre në mënyrë që të pakësojnë këtë kornizë kohore sa më shumë të jetë e mundur;</w:t>
      </w:r>
    </w:p>
    <w:p w:rsidR="00592428" w:rsidRDefault="00592428" w:rsidP="00592428">
      <w:pPr>
        <w:pStyle w:val="NoSpacing"/>
        <w:spacing w:line="276" w:lineRule="auto"/>
        <w:ind w:left="1080"/>
        <w:jc w:val="both"/>
        <w:rPr>
          <w:rFonts w:ascii="Times New Roman" w:hAnsi="Times New Roman"/>
          <w:sz w:val="24"/>
          <w:szCs w:val="24"/>
          <w:lang w:val="sq-AL"/>
        </w:rPr>
      </w:pPr>
      <w:r>
        <w:rPr>
          <w:rFonts w:ascii="Times New Roman" w:hAnsi="Times New Roman"/>
          <w:sz w:val="24"/>
          <w:szCs w:val="24"/>
          <w:lang w:val="sq-AL"/>
        </w:rPr>
        <w:t>(...).”</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LIGJI</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11"/>
        </w:numPr>
        <w:spacing w:line="276" w:lineRule="auto"/>
        <w:jc w:val="both"/>
        <w:rPr>
          <w:rFonts w:ascii="Times New Roman" w:hAnsi="Times New Roman"/>
          <w:sz w:val="24"/>
          <w:szCs w:val="24"/>
          <w:lang w:val="sq-AL"/>
        </w:rPr>
      </w:pPr>
      <w:r>
        <w:rPr>
          <w:rFonts w:ascii="Times New Roman" w:hAnsi="Times New Roman"/>
          <w:sz w:val="24"/>
          <w:szCs w:val="24"/>
          <w:lang w:val="sq-AL"/>
        </w:rPr>
        <w:t>BASHKIMI I ANKESAVE</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Duke qenë se të dy ankesat përmbajnë të njëjtat fakte dhe pakënaqësi, Gjykata vendos se ato duhet të bashkohen në përputhje Rregullin 42 § 1 i Rregullave të Gjykatës. </w:t>
      </w:r>
    </w:p>
    <w:p w:rsidR="00592428" w:rsidRDefault="00592428" w:rsidP="00592428">
      <w:pPr>
        <w:pStyle w:val="NoSpacing"/>
        <w:spacing w:line="276" w:lineRule="auto"/>
        <w:ind w:left="720"/>
        <w:rPr>
          <w:rFonts w:ascii="Times New Roman" w:hAnsi="Times New Roman"/>
          <w:sz w:val="18"/>
          <w:szCs w:val="18"/>
          <w:lang w:val="sq-AL"/>
        </w:rPr>
      </w:pPr>
    </w:p>
    <w:p w:rsidR="00592428" w:rsidRDefault="00592428" w:rsidP="00592428">
      <w:pPr>
        <w:pStyle w:val="NoSpacing"/>
        <w:spacing w:line="276" w:lineRule="auto"/>
        <w:ind w:left="720"/>
        <w:jc w:val="center"/>
        <w:rPr>
          <w:rFonts w:ascii="Times New Roman" w:hAnsi="Times New Roman"/>
          <w:sz w:val="18"/>
          <w:szCs w:val="18"/>
          <w:lang w:val="sq-AL"/>
        </w:rPr>
      </w:pPr>
    </w:p>
    <w:p w:rsidR="00592428" w:rsidRDefault="00592428" w:rsidP="00592428">
      <w:pPr>
        <w:pStyle w:val="NoSpacing"/>
        <w:spacing w:line="276" w:lineRule="auto"/>
        <w:ind w:left="720"/>
        <w:jc w:val="center"/>
        <w:rPr>
          <w:rFonts w:ascii="Times New Roman" w:hAnsi="Times New Roman"/>
          <w:sz w:val="18"/>
          <w:szCs w:val="18"/>
          <w:lang w:val="sq-AL"/>
        </w:rPr>
      </w:pPr>
    </w:p>
    <w:p w:rsidR="00592428" w:rsidRDefault="00592428" w:rsidP="00592428">
      <w:pPr>
        <w:pStyle w:val="NoSpacing"/>
        <w:spacing w:line="276" w:lineRule="auto"/>
        <w:ind w:left="720"/>
        <w:jc w:val="center"/>
        <w:rPr>
          <w:rFonts w:ascii="Times New Roman" w:hAnsi="Times New Roman"/>
          <w:sz w:val="18"/>
          <w:szCs w:val="18"/>
          <w:lang w:val="sq-AL"/>
        </w:rPr>
      </w:pPr>
    </w:p>
    <w:p w:rsidR="00592428" w:rsidRPr="00137EE9" w:rsidRDefault="00592428" w:rsidP="00592428">
      <w:pPr>
        <w:pStyle w:val="NoSpacing"/>
        <w:spacing w:line="276" w:lineRule="auto"/>
        <w:ind w:left="720"/>
        <w:jc w:val="center"/>
        <w:rPr>
          <w:rFonts w:ascii="Times New Roman" w:hAnsi="Times New Roman"/>
          <w:sz w:val="18"/>
          <w:szCs w:val="18"/>
          <w:lang w:val="sq-AL"/>
        </w:rPr>
      </w:pPr>
      <w:r>
        <w:rPr>
          <w:rFonts w:ascii="Times New Roman" w:hAnsi="Times New Roman"/>
          <w:sz w:val="18"/>
          <w:szCs w:val="18"/>
          <w:lang w:val="sq-AL"/>
        </w:rPr>
        <w:t>VENDIMI SILIQI DHE TË TJERËT KUNDËR SHQIPËRISË</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11"/>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SHKELJE E PRETENDUAR E NENEVE 6 § 1 DHE 13 TË KONVENTËS SI EDHE E NENIT 1 TË PROTOKOLLIT NR. 1 TË KONVENTËS </w:t>
      </w:r>
    </w:p>
    <w:p w:rsidR="00592428" w:rsidRDefault="00592428" w:rsidP="00592428">
      <w:pPr>
        <w:pStyle w:val="NoSpacing"/>
        <w:spacing w:line="276" w:lineRule="auto"/>
        <w:jc w:val="both"/>
        <w:rPr>
          <w:rFonts w:ascii="Times New Roman" w:hAnsi="Times New Roman"/>
          <w:sz w:val="24"/>
          <w:szCs w:val="24"/>
          <w:lang w:val="sq-AL"/>
        </w:rPr>
      </w:pPr>
    </w:p>
    <w:p w:rsidR="00592428" w:rsidRPr="00592428" w:rsidRDefault="00592428" w:rsidP="00592428">
      <w:pPr>
        <w:pStyle w:val="NoSpacing"/>
        <w:numPr>
          <w:ilvl w:val="0"/>
          <w:numId w:val="8"/>
        </w:numPr>
        <w:spacing w:line="276" w:lineRule="auto"/>
        <w:jc w:val="both"/>
        <w:rPr>
          <w:rFonts w:ascii="Times New Roman" w:hAnsi="Times New Roman"/>
          <w:sz w:val="24"/>
          <w:szCs w:val="24"/>
          <w:lang w:val="sq-AL"/>
        </w:rPr>
      </w:pPr>
      <w:r w:rsidRPr="00592428">
        <w:rPr>
          <w:rFonts w:ascii="Times New Roman" w:hAnsi="Times New Roman"/>
          <w:sz w:val="24"/>
          <w:szCs w:val="24"/>
          <w:lang w:val="sq-AL"/>
        </w:rPr>
        <w:t xml:space="preserve">Nga mocioni i saj Gjykata ngriti pyetjen nëse kishte patur një shkelje të Neneve 6 § 1 dhe 13 të Konventës, si edhe të Nenit 1 të Protokollit Nr. 1 të Konventës në lidhje me </w:t>
      </w:r>
    </w:p>
    <w:p w:rsidR="00592428" w:rsidRDefault="00592428" w:rsidP="00592428">
      <w:pPr>
        <w:pStyle w:val="NoSpacing"/>
        <w:spacing w:line="276" w:lineRule="auto"/>
        <w:ind w:left="720"/>
        <w:jc w:val="both"/>
        <w:rPr>
          <w:rFonts w:ascii="Times New Roman" w:hAnsi="Times New Roman"/>
          <w:sz w:val="24"/>
          <w:szCs w:val="24"/>
          <w:lang w:val="sq-AL"/>
        </w:rPr>
      </w:pPr>
      <w:r>
        <w:rPr>
          <w:rFonts w:ascii="Times New Roman" w:hAnsi="Times New Roman"/>
          <w:sz w:val="24"/>
          <w:szCs w:val="24"/>
          <w:lang w:val="sq-AL"/>
        </w:rPr>
        <w:t xml:space="preserve">mospagimin të kompensimit për ankuesit nga ana e autoriteteve sipas vendimit të Gjykatës së Lartë, i datës 24 Prill 2002. </w:t>
      </w:r>
    </w:p>
    <w:p w:rsidR="00592428" w:rsidRDefault="00592428" w:rsidP="00592428">
      <w:pPr>
        <w:pStyle w:val="NoSpacing"/>
        <w:spacing w:line="276" w:lineRule="auto"/>
        <w:ind w:left="720"/>
        <w:jc w:val="both"/>
        <w:rPr>
          <w:rFonts w:ascii="Times New Roman" w:hAnsi="Times New Roman"/>
          <w:sz w:val="24"/>
          <w:szCs w:val="24"/>
          <w:lang w:val="sq-AL"/>
        </w:rPr>
      </w:pPr>
      <w:r>
        <w:rPr>
          <w:rFonts w:ascii="Times New Roman" w:hAnsi="Times New Roman"/>
          <w:sz w:val="24"/>
          <w:szCs w:val="24"/>
          <w:lang w:val="sq-AL"/>
        </w:rPr>
        <w:t xml:space="preserve">Neni 6 § 1 i Konventës, për sa ka lidhje me çështjen, përcakton si më poshtë: </w:t>
      </w:r>
    </w:p>
    <w:p w:rsidR="00592428" w:rsidRDefault="00592428" w:rsidP="00592428">
      <w:pPr>
        <w:pStyle w:val="NoSpacing"/>
        <w:spacing w:line="276" w:lineRule="auto"/>
        <w:ind w:left="720"/>
        <w:jc w:val="both"/>
        <w:rPr>
          <w:rFonts w:ascii="Times New Roman" w:hAnsi="Times New Roman"/>
          <w:sz w:val="24"/>
          <w:szCs w:val="24"/>
          <w:lang w:val="sq-AL"/>
        </w:rPr>
      </w:pPr>
    </w:p>
    <w:p w:rsidR="00592428" w:rsidRDefault="00592428" w:rsidP="00592428">
      <w:pPr>
        <w:pStyle w:val="NoSpacing"/>
        <w:spacing w:line="276" w:lineRule="auto"/>
        <w:ind w:left="720"/>
        <w:jc w:val="both"/>
        <w:rPr>
          <w:rFonts w:ascii="Times New Roman" w:hAnsi="Times New Roman"/>
          <w:sz w:val="24"/>
          <w:szCs w:val="24"/>
          <w:lang w:val="sq-AL"/>
        </w:rPr>
      </w:pPr>
      <w:r>
        <w:rPr>
          <w:rFonts w:ascii="Times New Roman" w:hAnsi="Times New Roman"/>
          <w:sz w:val="24"/>
          <w:szCs w:val="24"/>
          <w:lang w:val="sq-AL"/>
        </w:rPr>
        <w:t>“Në përcaktimin e të drejtave dhe detyrimeve të tij civile ... çdonjëri ka të drejtën për një seancë ... të drejtë ... dëgjimore nga [një] ... gjykatë ...”</w:t>
      </w:r>
    </w:p>
    <w:p w:rsidR="00592428" w:rsidRDefault="00592428" w:rsidP="00592428">
      <w:pPr>
        <w:pStyle w:val="NoSpacing"/>
        <w:spacing w:line="276" w:lineRule="auto"/>
        <w:ind w:left="720"/>
        <w:jc w:val="both"/>
        <w:rPr>
          <w:rFonts w:ascii="Times New Roman" w:hAnsi="Times New Roman"/>
          <w:sz w:val="24"/>
          <w:szCs w:val="24"/>
          <w:lang w:val="sq-AL"/>
        </w:rPr>
      </w:pPr>
    </w:p>
    <w:p w:rsidR="00592428" w:rsidRDefault="00592428" w:rsidP="00592428">
      <w:pPr>
        <w:pStyle w:val="NoSpacing"/>
        <w:spacing w:line="276" w:lineRule="auto"/>
        <w:ind w:left="720"/>
        <w:jc w:val="both"/>
        <w:rPr>
          <w:rFonts w:ascii="Times New Roman" w:hAnsi="Times New Roman"/>
          <w:sz w:val="24"/>
          <w:szCs w:val="24"/>
          <w:lang w:val="sq-AL"/>
        </w:rPr>
      </w:pPr>
      <w:r>
        <w:rPr>
          <w:rFonts w:ascii="Times New Roman" w:hAnsi="Times New Roman"/>
          <w:sz w:val="24"/>
          <w:szCs w:val="24"/>
          <w:lang w:val="sq-AL"/>
        </w:rPr>
        <w:t xml:space="preserve">Neni 13 i Konventës përcakton si më poshtë: </w:t>
      </w:r>
    </w:p>
    <w:p w:rsidR="00592428" w:rsidRDefault="00592428" w:rsidP="00592428">
      <w:pPr>
        <w:pStyle w:val="NoSpacing"/>
        <w:spacing w:line="276" w:lineRule="auto"/>
        <w:ind w:left="720"/>
        <w:jc w:val="both"/>
        <w:rPr>
          <w:rFonts w:ascii="Times New Roman" w:hAnsi="Times New Roman"/>
          <w:sz w:val="24"/>
          <w:szCs w:val="24"/>
          <w:lang w:val="sq-AL"/>
        </w:rPr>
      </w:pPr>
    </w:p>
    <w:p w:rsidR="00592428" w:rsidRDefault="00592428" w:rsidP="00592428">
      <w:pPr>
        <w:pStyle w:val="NoSpacing"/>
        <w:spacing w:line="276" w:lineRule="auto"/>
        <w:ind w:left="720"/>
        <w:jc w:val="both"/>
        <w:rPr>
          <w:rFonts w:ascii="Times New Roman" w:hAnsi="Times New Roman"/>
          <w:sz w:val="20"/>
          <w:szCs w:val="20"/>
          <w:lang w:val="sq-AL"/>
        </w:rPr>
      </w:pPr>
      <w:r>
        <w:rPr>
          <w:rFonts w:ascii="Times New Roman" w:hAnsi="Times New Roman"/>
          <w:sz w:val="20"/>
          <w:szCs w:val="20"/>
          <w:lang w:val="sq-AL"/>
        </w:rPr>
        <w:t>“</w:t>
      </w:r>
      <w:r w:rsidRPr="000E7D5C">
        <w:rPr>
          <w:rFonts w:ascii="Times New Roman" w:hAnsi="Times New Roman"/>
          <w:sz w:val="20"/>
          <w:szCs w:val="20"/>
          <w:lang w:val="sq-AL"/>
        </w:rPr>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r>
        <w:rPr>
          <w:rFonts w:ascii="Times New Roman" w:hAnsi="Times New Roman"/>
          <w:sz w:val="20"/>
          <w:szCs w:val="20"/>
          <w:lang w:val="sq-AL"/>
        </w:rPr>
        <w:t>”</w:t>
      </w:r>
    </w:p>
    <w:p w:rsidR="00592428" w:rsidRPr="000E7D5C" w:rsidRDefault="00592428" w:rsidP="00592428">
      <w:pPr>
        <w:pStyle w:val="NoSpacing"/>
        <w:spacing w:line="276" w:lineRule="auto"/>
        <w:ind w:left="720"/>
        <w:jc w:val="both"/>
        <w:rPr>
          <w:rFonts w:ascii="Times New Roman" w:hAnsi="Times New Roman"/>
          <w:sz w:val="20"/>
          <w:szCs w:val="20"/>
          <w:lang w:val="sq-AL"/>
        </w:rPr>
      </w:pPr>
    </w:p>
    <w:p w:rsidR="00592428" w:rsidRDefault="00592428" w:rsidP="00592428">
      <w:pPr>
        <w:pStyle w:val="NoSpacing"/>
        <w:spacing w:line="276" w:lineRule="auto"/>
        <w:ind w:left="720"/>
        <w:jc w:val="both"/>
        <w:rPr>
          <w:rFonts w:ascii="Times New Roman" w:hAnsi="Times New Roman"/>
          <w:sz w:val="24"/>
          <w:szCs w:val="24"/>
          <w:lang w:val="sq-AL"/>
        </w:rPr>
      </w:pPr>
      <w:r>
        <w:rPr>
          <w:rFonts w:ascii="Times New Roman" w:hAnsi="Times New Roman"/>
          <w:sz w:val="24"/>
          <w:szCs w:val="24"/>
          <w:lang w:val="sq-AL"/>
        </w:rPr>
        <w:t xml:space="preserve">Neni 1 i Protokollit Nr. 1 i Konventës përcakton si më poshtë: </w:t>
      </w:r>
    </w:p>
    <w:p w:rsidR="00592428" w:rsidRDefault="00592428" w:rsidP="00592428">
      <w:pPr>
        <w:pStyle w:val="NoSpacing"/>
        <w:spacing w:line="276" w:lineRule="auto"/>
        <w:ind w:left="1080"/>
        <w:jc w:val="both"/>
        <w:rPr>
          <w:rFonts w:ascii="Times New Roman" w:hAnsi="Times New Roman"/>
          <w:sz w:val="20"/>
          <w:szCs w:val="20"/>
          <w:lang w:val="sq-AL"/>
        </w:rPr>
      </w:pPr>
      <w:r>
        <w:rPr>
          <w:rFonts w:ascii="Times New Roman" w:hAnsi="Times New Roman"/>
          <w:sz w:val="24"/>
          <w:szCs w:val="24"/>
          <w:lang w:val="sq-AL"/>
        </w:rPr>
        <w:t>“</w:t>
      </w:r>
      <w:r>
        <w:rPr>
          <w:rFonts w:ascii="Times New Roman" w:hAnsi="Times New Roman"/>
          <w:sz w:val="20"/>
          <w:szCs w:val="20"/>
          <w:lang w:val="sq-AL"/>
        </w:rPr>
        <w:t>Çdo individ ka të drejtën të gëzojë i qetë pronat e tij. Asnjë nun privohet nga pronat e tij përveç kur preket interesi publik dhe kur bëhet subjekt i kushteve të parashikuara me ligj dhe bazuar në parimet e përgjithshme të ligjit ndërkombëtar.</w:t>
      </w:r>
    </w:p>
    <w:p w:rsidR="00592428" w:rsidRDefault="00592428" w:rsidP="00592428">
      <w:pPr>
        <w:pStyle w:val="NoSpacing"/>
        <w:spacing w:line="276" w:lineRule="auto"/>
        <w:ind w:left="1080"/>
        <w:jc w:val="both"/>
        <w:rPr>
          <w:rFonts w:ascii="Times New Roman" w:hAnsi="Times New Roman"/>
          <w:sz w:val="20"/>
          <w:szCs w:val="20"/>
          <w:lang w:val="sq-AL"/>
        </w:rPr>
      </w:pPr>
    </w:p>
    <w:p w:rsidR="00592428" w:rsidRDefault="00592428" w:rsidP="00592428">
      <w:pPr>
        <w:pStyle w:val="NoSpacing"/>
        <w:spacing w:line="276" w:lineRule="auto"/>
        <w:ind w:left="1080"/>
        <w:jc w:val="both"/>
        <w:rPr>
          <w:rFonts w:ascii="Times New Roman" w:hAnsi="Times New Roman"/>
          <w:sz w:val="24"/>
          <w:szCs w:val="24"/>
          <w:lang w:val="sq-AL"/>
        </w:rPr>
      </w:pPr>
      <w:r>
        <w:rPr>
          <w:rFonts w:ascii="Times New Roman" w:hAnsi="Times New Roman"/>
          <w:sz w:val="20"/>
          <w:szCs w:val="20"/>
          <w:lang w:val="sq-AL"/>
        </w:rPr>
        <w:t>Parashikimet e mëparshme nuk ndërhyjnë në të drejtën e një Shteti për t’i zbatuar këto ligje, nëse shikohet si e arsyeshme të kontrollohet përdorimi i pronës në përputhje me interesin e përgjithshëm, apo për të siguruar pagesën e taksave, të kontributeve ose penaliteteve të tjera.</w:t>
      </w:r>
      <w:r>
        <w:rPr>
          <w:rFonts w:ascii="Times New Roman" w:hAnsi="Times New Roman"/>
          <w:sz w:val="24"/>
          <w:szCs w:val="24"/>
          <w:lang w:val="sq-AL"/>
        </w:rPr>
        <w:t>”</w:t>
      </w:r>
    </w:p>
    <w:p w:rsidR="00592428" w:rsidRDefault="00592428" w:rsidP="00592428">
      <w:pPr>
        <w:pStyle w:val="NoSpacing"/>
        <w:spacing w:line="276" w:lineRule="auto"/>
        <w:ind w:left="1080"/>
        <w:jc w:val="both"/>
        <w:rPr>
          <w:rFonts w:ascii="Times New Roman" w:hAnsi="Times New Roman"/>
          <w:sz w:val="24"/>
          <w:szCs w:val="24"/>
          <w:lang w:val="sq-AL"/>
        </w:rPr>
      </w:pPr>
    </w:p>
    <w:p w:rsidR="00592428" w:rsidRDefault="00592428" w:rsidP="00592428">
      <w:pPr>
        <w:pStyle w:val="NoSpacing"/>
        <w:numPr>
          <w:ilvl w:val="0"/>
          <w:numId w:val="12"/>
        </w:numPr>
        <w:spacing w:line="276" w:lineRule="auto"/>
        <w:jc w:val="both"/>
        <w:rPr>
          <w:rFonts w:ascii="Times New Roman" w:hAnsi="Times New Roman"/>
          <w:b/>
          <w:sz w:val="24"/>
          <w:szCs w:val="24"/>
          <w:lang w:val="sq-AL"/>
        </w:rPr>
      </w:pPr>
      <w:r>
        <w:rPr>
          <w:rFonts w:ascii="Times New Roman" w:hAnsi="Times New Roman"/>
          <w:b/>
          <w:sz w:val="24"/>
          <w:szCs w:val="24"/>
          <w:lang w:val="sq-AL"/>
        </w:rPr>
        <w:t>PRANUESHMËRIA</w:t>
      </w:r>
    </w:p>
    <w:p w:rsidR="00592428" w:rsidRDefault="00592428" w:rsidP="00592428">
      <w:pPr>
        <w:pStyle w:val="NoSpacing"/>
        <w:spacing w:line="276" w:lineRule="auto"/>
        <w:jc w:val="both"/>
        <w:rPr>
          <w:rFonts w:ascii="Times New Roman" w:hAnsi="Times New Roman"/>
          <w:b/>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Gjykata vëren se kjo pjesë e ankimeve nuk gjendet e pabazuar në fakte sipas interpretimit të Nenit 35 § 3 (a) të Konventës. Më tej ajo vëren se kjo pjesë nuk është e papranueshme në ndonjë aspekt tjetër. Për këtë arsye ajo duhet deklaruar e pranueshme. </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12"/>
        </w:numPr>
        <w:spacing w:line="276" w:lineRule="auto"/>
        <w:jc w:val="both"/>
        <w:rPr>
          <w:rFonts w:ascii="Times New Roman" w:hAnsi="Times New Roman"/>
          <w:b/>
          <w:sz w:val="24"/>
          <w:szCs w:val="24"/>
          <w:lang w:val="sq-AL"/>
        </w:rPr>
      </w:pPr>
      <w:r>
        <w:rPr>
          <w:rFonts w:ascii="Times New Roman" w:hAnsi="Times New Roman"/>
          <w:b/>
          <w:sz w:val="24"/>
          <w:szCs w:val="24"/>
          <w:lang w:val="sq-AL"/>
        </w:rPr>
        <w:t>CILËSITË</w:t>
      </w:r>
    </w:p>
    <w:p w:rsidR="00592428" w:rsidRDefault="00592428" w:rsidP="00592428">
      <w:pPr>
        <w:pStyle w:val="NoSpacing"/>
        <w:spacing w:line="276" w:lineRule="auto"/>
        <w:jc w:val="both"/>
        <w:rPr>
          <w:rFonts w:ascii="Times New Roman" w:hAnsi="Times New Roman"/>
          <w:b/>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Qeveria parashtroi se ankuesit nuk kërkuan kurrë kompensimin e akorduar nga vendimi i Gjykatës së Lartë më 24 Prill 2002. Ata këmbëngulën që prona t’iu kthehej fizikisht. Autoritetet nuk mund të bëheshin përgjegjës për moszbatimin e vendimit, nga ankuesit nuk u ndërmor asnjë hap për zbatimin e tij. </w:t>
      </w:r>
    </w:p>
    <w:p w:rsidR="00592428" w:rsidRDefault="00592428" w:rsidP="00592428">
      <w:pPr>
        <w:pStyle w:val="NoSpacing"/>
        <w:spacing w:line="276" w:lineRule="auto"/>
        <w:jc w:val="both"/>
        <w:rPr>
          <w:rFonts w:ascii="Times New Roman" w:hAnsi="Times New Roman"/>
          <w:sz w:val="24"/>
          <w:szCs w:val="24"/>
          <w:lang w:val="sq-AL"/>
        </w:rPr>
      </w:pPr>
    </w:p>
    <w:p w:rsidR="00592428" w:rsidRPr="00137EE9" w:rsidRDefault="00592428" w:rsidP="00592428">
      <w:pPr>
        <w:pStyle w:val="NoSpacing"/>
        <w:spacing w:line="276" w:lineRule="auto"/>
        <w:jc w:val="center"/>
        <w:rPr>
          <w:rFonts w:ascii="Times New Roman" w:hAnsi="Times New Roman"/>
          <w:sz w:val="18"/>
          <w:szCs w:val="18"/>
          <w:lang w:val="sq-AL"/>
        </w:rPr>
      </w:pPr>
      <w:r>
        <w:rPr>
          <w:rFonts w:ascii="Times New Roman" w:hAnsi="Times New Roman"/>
          <w:sz w:val="18"/>
          <w:szCs w:val="18"/>
          <w:lang w:val="sq-AL"/>
        </w:rPr>
        <w:t>VENDIMI SILIQI DHE TË TJERËT KUNDËR SHQIPËRISË</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Gjykata tashmë ka shqyrtuar dhe në vijim ka hedhur poshtë argumentin e Qeverisë në çështjen </w:t>
      </w:r>
      <w:r>
        <w:rPr>
          <w:rFonts w:ascii="Times New Roman" w:hAnsi="Times New Roman"/>
          <w:i/>
          <w:sz w:val="24"/>
          <w:szCs w:val="24"/>
          <w:lang w:val="sq-AL"/>
        </w:rPr>
        <w:t xml:space="preserve">Beshiri dhe të Tjerët kundër Shqipërisë, </w:t>
      </w:r>
      <w:r>
        <w:rPr>
          <w:rFonts w:ascii="Times New Roman" w:hAnsi="Times New Roman"/>
          <w:sz w:val="24"/>
          <w:szCs w:val="24"/>
          <w:lang w:val="sq-AL"/>
        </w:rPr>
        <w:t xml:space="preserve">nr. 7352/03, §§ 62-66, 22 Gusht 2006. Gjykata nuk sheh ndonjë arsye për të arritur në një përfundim tjetër në këtë çështje. </w:t>
      </w:r>
    </w:p>
    <w:p w:rsidR="00592428" w:rsidRPr="00592428" w:rsidRDefault="00592428" w:rsidP="00592428">
      <w:pPr>
        <w:pStyle w:val="NoSpacing"/>
        <w:numPr>
          <w:ilvl w:val="0"/>
          <w:numId w:val="8"/>
        </w:numPr>
        <w:spacing w:line="276" w:lineRule="auto"/>
        <w:jc w:val="both"/>
        <w:rPr>
          <w:rFonts w:ascii="Times New Roman" w:hAnsi="Times New Roman"/>
          <w:sz w:val="24"/>
          <w:szCs w:val="24"/>
          <w:lang w:val="sq-AL"/>
        </w:rPr>
      </w:pPr>
      <w:r w:rsidRPr="00592428">
        <w:rPr>
          <w:rFonts w:ascii="Times New Roman" w:hAnsi="Times New Roman"/>
          <w:sz w:val="24"/>
          <w:szCs w:val="24"/>
          <w:lang w:val="sq-AL"/>
        </w:rPr>
        <w:t xml:space="preserve">Gjykata konstaton se mozbatimi i vendimit të formës së prerë të gjykatës për kaq shumë vite nga ana e autoriteteve vendase, dhe siç duket mospagimi i kompensimit të akorduar, shkelte të drejtat e ankuesve referuar Nenit 6 § 1 dhe Nenit 1 të Protokollit Nr. 1 të Konventës (shiko </w:t>
      </w:r>
      <w:r w:rsidRPr="00592428">
        <w:rPr>
          <w:rFonts w:ascii="Times New Roman" w:hAnsi="Times New Roman"/>
          <w:i/>
          <w:sz w:val="24"/>
          <w:szCs w:val="24"/>
          <w:lang w:val="sq-AL"/>
        </w:rPr>
        <w:t xml:space="preserve">Driza kundër Shqipërisë, </w:t>
      </w:r>
      <w:r w:rsidRPr="00592428">
        <w:rPr>
          <w:rFonts w:ascii="Times New Roman" w:hAnsi="Times New Roman"/>
          <w:sz w:val="24"/>
          <w:szCs w:val="24"/>
          <w:lang w:val="sq-AL"/>
        </w:rPr>
        <w:t xml:space="preserve">nr. 33771/02, GJEDNJ 2007-V (ekstrakte), </w:t>
      </w:r>
      <w:r w:rsidRPr="00592428">
        <w:rPr>
          <w:rFonts w:ascii="Times New Roman" w:hAnsi="Times New Roman"/>
          <w:i/>
          <w:sz w:val="24"/>
          <w:szCs w:val="24"/>
          <w:lang w:val="sq-AL"/>
        </w:rPr>
        <w:t xml:space="preserve">Vrioni dhe të Tjerët kundër Shqipërisë dhe Italisë, </w:t>
      </w:r>
      <w:r w:rsidRPr="00592428">
        <w:rPr>
          <w:rFonts w:ascii="Times New Roman" w:hAnsi="Times New Roman"/>
          <w:sz w:val="24"/>
          <w:szCs w:val="24"/>
          <w:lang w:val="sq-AL"/>
        </w:rPr>
        <w:t xml:space="preserve">nr. 35720/04 dhe 42832/06, 29 Shtator 2009, </w:t>
      </w:r>
      <w:r w:rsidRPr="00592428">
        <w:rPr>
          <w:rFonts w:ascii="Times New Roman" w:hAnsi="Times New Roman"/>
          <w:i/>
          <w:sz w:val="24"/>
          <w:szCs w:val="24"/>
          <w:lang w:val="sq-AL"/>
        </w:rPr>
        <w:t xml:space="preserve">Manushaqe Puto dhe të Tjerët kundër Shqipërisë, </w:t>
      </w:r>
      <w:r w:rsidRPr="00592428">
        <w:rPr>
          <w:rFonts w:ascii="Times New Roman" w:hAnsi="Times New Roman"/>
          <w:sz w:val="24"/>
          <w:szCs w:val="24"/>
          <w:lang w:val="sq-AL"/>
        </w:rPr>
        <w:t xml:space="preserve">cituar më sipër).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Gjykata gjithashtu arrin në përfundimin se nuk ka patur asnjë formë shpaguese vendase, cila do të mund të kompensonte në mënyrën e duhur dhe mjaftueshëm për kohën e gjatë të moszbatimit të vendimit të formës së prerë të gjykatës i cili akordonte kompensim. Prandaj konstatohet një shkelje e Nenit 13 të Konventës (shiko </w:t>
      </w:r>
      <w:r>
        <w:rPr>
          <w:rFonts w:ascii="Times New Roman" w:hAnsi="Times New Roman"/>
          <w:i/>
          <w:sz w:val="24"/>
          <w:szCs w:val="24"/>
          <w:lang w:val="sq-AL"/>
        </w:rPr>
        <w:t xml:space="preserve">Manushaqe Puto dhe të Tjerët kundër Shqipërisë, </w:t>
      </w:r>
      <w:r>
        <w:rPr>
          <w:rFonts w:ascii="Times New Roman" w:hAnsi="Times New Roman"/>
          <w:sz w:val="24"/>
          <w:szCs w:val="24"/>
          <w:lang w:val="sq-AL"/>
        </w:rPr>
        <w:t xml:space="preserve">cituar më sipër). </w:t>
      </w:r>
    </w:p>
    <w:p w:rsidR="00592428" w:rsidRDefault="00592428" w:rsidP="00592428">
      <w:pPr>
        <w:pStyle w:val="NoSpacing"/>
        <w:spacing w:line="276" w:lineRule="auto"/>
        <w:ind w:left="360"/>
        <w:jc w:val="both"/>
        <w:rPr>
          <w:rFonts w:ascii="Times New Roman" w:hAnsi="Times New Roman"/>
          <w:sz w:val="24"/>
          <w:szCs w:val="24"/>
          <w:lang w:val="sq-AL"/>
        </w:rPr>
      </w:pPr>
    </w:p>
    <w:p w:rsidR="00592428" w:rsidRDefault="00592428" w:rsidP="00592428">
      <w:pPr>
        <w:pStyle w:val="NoSpacing"/>
        <w:numPr>
          <w:ilvl w:val="0"/>
          <w:numId w:val="11"/>
        </w:numPr>
        <w:spacing w:line="276" w:lineRule="auto"/>
        <w:jc w:val="both"/>
        <w:rPr>
          <w:rFonts w:ascii="Times New Roman" w:hAnsi="Times New Roman"/>
          <w:sz w:val="24"/>
          <w:szCs w:val="24"/>
          <w:lang w:val="sq-AL"/>
        </w:rPr>
      </w:pPr>
      <w:r>
        <w:rPr>
          <w:rFonts w:ascii="Times New Roman" w:hAnsi="Times New Roman"/>
          <w:sz w:val="24"/>
          <w:szCs w:val="24"/>
          <w:lang w:val="sq-AL"/>
        </w:rPr>
        <w:t>SHKELJE TË TJERA TË PRETENDUARA TË KUSHTETUTËS</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Gjithashtu, ankuesit shprehën pakënaqësinë bazuar në Nenin 6 § 1 në lidhje me padrejtësinë  e procedimeve vendase për sa i përket interpretimit të ligjit vendas dhe rezultatit të atyre procedimeve.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Nën dritën e hedhur nga të gjitha materialet në zotërimin e saj, dhe përderisa deri më tani çështjet për të cilat është bërë ankesa janë në kompetencën e saj, Gjykata mendon se kjo pjesë e ankimit nuk shpalos ndonjë formë të shkeljes së Konventës. Më tej ajo vijon se është e papranueshme në përputhje me Nenin 35 §§ 3 (a), duke qenë se nuk është e bazuar në fakte dhe sipas Nenit 35 § 4 të Konventës duhet kundërshtuar. </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11"/>
        </w:numPr>
        <w:spacing w:line="276" w:lineRule="auto"/>
        <w:jc w:val="both"/>
        <w:rPr>
          <w:rFonts w:ascii="Times New Roman" w:hAnsi="Times New Roman"/>
          <w:sz w:val="24"/>
          <w:szCs w:val="24"/>
          <w:lang w:val="sq-AL"/>
        </w:rPr>
      </w:pPr>
      <w:r>
        <w:rPr>
          <w:rFonts w:ascii="Times New Roman" w:hAnsi="Times New Roman"/>
          <w:sz w:val="24"/>
          <w:szCs w:val="24"/>
          <w:lang w:val="sq-AL"/>
        </w:rPr>
        <w:t>ZBATIMI I NENIT 41 TË KONVENTËS</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Neni 41 i Konventës parashikon: </w:t>
      </w:r>
    </w:p>
    <w:p w:rsidR="00592428" w:rsidRPr="009D2711" w:rsidRDefault="00592428" w:rsidP="00592428">
      <w:pPr>
        <w:pStyle w:val="NoSpacing"/>
        <w:spacing w:line="276" w:lineRule="auto"/>
        <w:ind w:left="720"/>
        <w:jc w:val="both"/>
        <w:rPr>
          <w:rFonts w:ascii="Times New Roman" w:hAnsi="Times New Roman"/>
          <w:sz w:val="20"/>
          <w:szCs w:val="20"/>
          <w:lang w:val="sq-AL"/>
        </w:rPr>
      </w:pPr>
      <w:r>
        <w:rPr>
          <w:rFonts w:ascii="Times New Roman" w:hAnsi="Times New Roman"/>
          <w:sz w:val="20"/>
          <w:szCs w:val="20"/>
          <w:lang w:val="sq-AL"/>
        </w:rPr>
        <w:t>“</w:t>
      </w:r>
      <w:r w:rsidRPr="009D2711">
        <w:rPr>
          <w:rFonts w:ascii="Times New Roman" w:hAnsi="Times New Roman"/>
          <w:sz w:val="20"/>
          <w:szCs w:val="20"/>
          <w:lang w:val="sq-AL"/>
        </w:rPr>
        <w:t xml:space="preserve">Kur Gjykata konstaton se ka pasur një shkelje të Konventës ose të protokolleve të saj dhe, nëse e drejta e </w:t>
      </w:r>
      <w:r>
        <w:rPr>
          <w:rFonts w:ascii="Times New Roman" w:hAnsi="Times New Roman"/>
          <w:sz w:val="20"/>
          <w:szCs w:val="20"/>
          <w:lang w:val="sq-AL"/>
        </w:rPr>
        <w:t xml:space="preserve">  </w:t>
      </w:r>
      <w:r w:rsidRPr="009D2711">
        <w:rPr>
          <w:rFonts w:ascii="Times New Roman" w:hAnsi="Times New Roman"/>
          <w:sz w:val="20"/>
          <w:szCs w:val="20"/>
          <w:lang w:val="sq-AL"/>
        </w:rPr>
        <w:t>brendshme e Palës së Lartë Kontraktuese lejon të bëhet vetëm një ndreqje e pjesshme, Gjykata, kur është e nevojshme, i akordon shpërblim të drejtë palës së dëmtuar</w:t>
      </w:r>
      <w:r>
        <w:rPr>
          <w:rFonts w:ascii="Times New Roman" w:hAnsi="Times New Roman"/>
          <w:sz w:val="20"/>
          <w:szCs w:val="20"/>
          <w:lang w:val="sq-AL"/>
        </w:rPr>
        <w:t>.</w:t>
      </w:r>
      <w:r>
        <w:rPr>
          <w:rFonts w:ascii="Times New Roman" w:hAnsi="Times New Roman"/>
          <w:sz w:val="24"/>
          <w:szCs w:val="24"/>
          <w:lang w:val="sq-AL"/>
        </w:rPr>
        <w:t>”</w:t>
      </w:r>
    </w:p>
    <w:p w:rsidR="00592428" w:rsidRDefault="00592428" w:rsidP="00592428">
      <w:pPr>
        <w:pStyle w:val="NoSpacing"/>
        <w:spacing w:line="276" w:lineRule="auto"/>
        <w:jc w:val="both"/>
        <w:rPr>
          <w:rFonts w:ascii="Times New Roman" w:hAnsi="Times New Roman"/>
          <w:sz w:val="24"/>
          <w:szCs w:val="24"/>
          <w:lang w:val="sq-AL"/>
        </w:rPr>
      </w:pPr>
    </w:p>
    <w:p w:rsidR="00592428" w:rsidRPr="00F608D8" w:rsidRDefault="00592428" w:rsidP="00592428">
      <w:pPr>
        <w:pStyle w:val="NoSpacing"/>
        <w:numPr>
          <w:ilvl w:val="0"/>
          <w:numId w:val="13"/>
        </w:numPr>
        <w:spacing w:line="276" w:lineRule="auto"/>
        <w:jc w:val="both"/>
        <w:rPr>
          <w:rFonts w:ascii="Times New Roman" w:hAnsi="Times New Roman"/>
          <w:sz w:val="24"/>
          <w:szCs w:val="24"/>
          <w:lang w:val="sq-AL"/>
        </w:rPr>
      </w:pPr>
      <w:r>
        <w:rPr>
          <w:rFonts w:ascii="Times New Roman" w:hAnsi="Times New Roman"/>
          <w:b/>
          <w:sz w:val="24"/>
          <w:szCs w:val="24"/>
          <w:lang w:val="sq-AL"/>
        </w:rPr>
        <w:t>Dëmi</w:t>
      </w:r>
    </w:p>
    <w:p w:rsidR="00592428" w:rsidRDefault="00592428" w:rsidP="00592428">
      <w:pPr>
        <w:pStyle w:val="NoSpacing"/>
        <w:spacing w:line="276" w:lineRule="auto"/>
        <w:jc w:val="both"/>
        <w:rPr>
          <w:rFonts w:ascii="Times New Roman" w:hAnsi="Times New Roman"/>
          <w:b/>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Ankuesit iu referuan raportit të vlerësimit të ekspertit, i cili kërkonte 1,639,000</w:t>
      </w:r>
      <w:r w:rsidRPr="00DA4BB1">
        <w:rPr>
          <w:rFonts w:ascii="Times New Roman" w:hAnsi="Times New Roman"/>
          <w:sz w:val="24"/>
          <w:szCs w:val="24"/>
          <w:lang w:val="sq-AL"/>
        </w:rPr>
        <w:t xml:space="preserve"> euro (“EUR”</w:t>
      </w:r>
      <w:r>
        <w:rPr>
          <w:rFonts w:ascii="Times New Roman" w:hAnsi="Times New Roman"/>
          <w:sz w:val="24"/>
          <w:szCs w:val="24"/>
          <w:lang w:val="sq-AL"/>
        </w:rPr>
        <w:t>)</w:t>
      </w:r>
      <w:r w:rsidRPr="00DA4BB1">
        <w:rPr>
          <w:rFonts w:ascii="Times New Roman" w:hAnsi="Times New Roman"/>
          <w:sz w:val="24"/>
          <w:szCs w:val="24"/>
          <w:lang w:val="sq-AL"/>
        </w:rPr>
        <w:t xml:space="preserve"> p</w:t>
      </w:r>
      <w:r>
        <w:rPr>
          <w:rFonts w:ascii="Times New Roman" w:hAnsi="Times New Roman"/>
          <w:sz w:val="24"/>
          <w:szCs w:val="24"/>
          <w:lang w:val="sq-AL"/>
        </w:rPr>
        <w:t>ë</w:t>
      </w:r>
      <w:r w:rsidRPr="00DA4BB1">
        <w:rPr>
          <w:rFonts w:ascii="Times New Roman" w:hAnsi="Times New Roman"/>
          <w:sz w:val="24"/>
          <w:szCs w:val="24"/>
          <w:lang w:val="sq-AL"/>
        </w:rPr>
        <w:t>r d</w:t>
      </w:r>
      <w:r>
        <w:rPr>
          <w:rFonts w:ascii="Times New Roman" w:hAnsi="Times New Roman"/>
          <w:sz w:val="24"/>
          <w:szCs w:val="24"/>
          <w:lang w:val="sq-AL"/>
        </w:rPr>
        <w:t>ë</w:t>
      </w:r>
      <w:r w:rsidRPr="00DA4BB1">
        <w:rPr>
          <w:rFonts w:ascii="Times New Roman" w:hAnsi="Times New Roman"/>
          <w:sz w:val="24"/>
          <w:szCs w:val="24"/>
          <w:lang w:val="sq-AL"/>
        </w:rPr>
        <w:t>min monetar , i cili shkonte deri n</w:t>
      </w:r>
      <w:r>
        <w:rPr>
          <w:rFonts w:ascii="Times New Roman" w:hAnsi="Times New Roman"/>
          <w:sz w:val="24"/>
          <w:szCs w:val="24"/>
          <w:lang w:val="sq-AL"/>
        </w:rPr>
        <w:t>ë</w:t>
      </w:r>
      <w:r w:rsidRPr="00DA4BB1">
        <w:rPr>
          <w:rFonts w:ascii="Times New Roman" w:hAnsi="Times New Roman"/>
          <w:sz w:val="24"/>
          <w:szCs w:val="24"/>
          <w:lang w:val="sq-AL"/>
        </w:rPr>
        <w:t xml:space="preserve"> 1,480,000</w:t>
      </w:r>
      <w:r>
        <w:rPr>
          <w:rFonts w:ascii="Times New Roman" w:hAnsi="Times New Roman"/>
          <w:sz w:val="24"/>
          <w:szCs w:val="24"/>
          <w:lang w:val="sq-AL"/>
        </w:rPr>
        <w:t xml:space="preserve"> euro për sa i përket </w:t>
      </w:r>
    </w:p>
    <w:p w:rsidR="00592428" w:rsidRDefault="00592428" w:rsidP="00592428">
      <w:pPr>
        <w:pStyle w:val="NoSpacing"/>
        <w:spacing w:line="276" w:lineRule="auto"/>
        <w:ind w:left="720"/>
        <w:rPr>
          <w:rFonts w:ascii="Times New Roman" w:hAnsi="Times New Roman"/>
          <w:sz w:val="18"/>
          <w:szCs w:val="18"/>
          <w:lang w:val="sq-AL"/>
        </w:rPr>
      </w:pPr>
    </w:p>
    <w:p w:rsidR="00592428" w:rsidRPr="00137EE9" w:rsidRDefault="00592428" w:rsidP="00592428">
      <w:pPr>
        <w:pStyle w:val="NoSpacing"/>
        <w:spacing w:line="276" w:lineRule="auto"/>
        <w:ind w:left="720"/>
        <w:jc w:val="center"/>
        <w:rPr>
          <w:rFonts w:ascii="Times New Roman" w:hAnsi="Times New Roman"/>
          <w:sz w:val="18"/>
          <w:szCs w:val="18"/>
          <w:lang w:val="sq-AL"/>
        </w:rPr>
      </w:pPr>
      <w:r>
        <w:rPr>
          <w:rFonts w:ascii="Times New Roman" w:hAnsi="Times New Roman"/>
          <w:sz w:val="18"/>
          <w:szCs w:val="18"/>
          <w:lang w:val="sq-AL"/>
        </w:rPr>
        <w:t>VENDIMI SILIQI DHE TË TJERËT KUNDËR SHQIPËRISË</w:t>
      </w:r>
    </w:p>
    <w:p w:rsidR="00592428" w:rsidRDefault="00592428" w:rsidP="00592428">
      <w:pPr>
        <w:pStyle w:val="NoSpacing"/>
        <w:spacing w:line="276" w:lineRule="auto"/>
        <w:ind w:left="720"/>
        <w:jc w:val="both"/>
        <w:rPr>
          <w:rFonts w:ascii="Times New Roman" w:hAnsi="Times New Roman"/>
          <w:sz w:val="24"/>
          <w:szCs w:val="24"/>
          <w:lang w:val="sq-AL"/>
        </w:rPr>
      </w:pPr>
    </w:p>
    <w:p w:rsidR="00592428" w:rsidRDefault="00592428" w:rsidP="00592428">
      <w:pPr>
        <w:pStyle w:val="NoSpacing"/>
        <w:spacing w:line="276" w:lineRule="auto"/>
        <w:ind w:left="720"/>
        <w:jc w:val="both"/>
        <w:rPr>
          <w:rFonts w:ascii="Times New Roman" w:hAnsi="Times New Roman"/>
          <w:sz w:val="24"/>
          <w:szCs w:val="24"/>
          <w:lang w:val="sq-AL"/>
        </w:rPr>
      </w:pPr>
      <w:r>
        <w:rPr>
          <w:rFonts w:ascii="Times New Roman" w:hAnsi="Times New Roman"/>
          <w:sz w:val="24"/>
          <w:szCs w:val="24"/>
          <w:lang w:val="sq-AL"/>
        </w:rPr>
        <w:t>vlerës së ngastrës së tokës me përmasa 2,467/97 m</w:t>
      </w:r>
      <w:r>
        <w:rPr>
          <w:rFonts w:ascii="Times New Roman" w:hAnsi="Times New Roman"/>
          <w:sz w:val="24"/>
          <w:szCs w:val="24"/>
          <w:vertAlign w:val="superscript"/>
          <w:lang w:val="sq-AL"/>
        </w:rPr>
        <w:t>2</w:t>
      </w:r>
      <w:r>
        <w:rPr>
          <w:rFonts w:ascii="Times New Roman" w:hAnsi="Times New Roman"/>
          <w:sz w:val="24"/>
          <w:szCs w:val="24"/>
          <w:lang w:val="sq-AL"/>
        </w:rPr>
        <w:t xml:space="preserve"> dhe 159,000 euro në lidhje me humbjen e përfitimeve. Ata gjithashtu kërkuan 200,000 euro  për dëmin jo monetar.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Qeveria nuk dorëzoi një raport nga eksperti për shkak të kompleksitetit të kërkesave të ankuesve dhe mungesës së kohës. Megjithatë, ata rezervuan të drejtën për të vepruar kështu në një fazë më të vonë. Deri më sot, asnjë raport i tillë nuk është dorëzuar në Gjykatë. </w:t>
      </w:r>
    </w:p>
    <w:p w:rsidR="00592428" w:rsidRPr="00592428" w:rsidRDefault="00592428" w:rsidP="00592428">
      <w:pPr>
        <w:pStyle w:val="NoSpacing"/>
        <w:numPr>
          <w:ilvl w:val="0"/>
          <w:numId w:val="8"/>
        </w:numPr>
        <w:spacing w:line="276" w:lineRule="auto"/>
        <w:jc w:val="both"/>
        <w:rPr>
          <w:rFonts w:ascii="Times New Roman" w:hAnsi="Times New Roman"/>
          <w:sz w:val="24"/>
          <w:szCs w:val="24"/>
          <w:lang w:val="sq-AL"/>
        </w:rPr>
      </w:pPr>
      <w:r w:rsidRPr="00592428">
        <w:rPr>
          <w:rFonts w:ascii="Times New Roman" w:hAnsi="Times New Roman"/>
          <w:sz w:val="24"/>
          <w:szCs w:val="24"/>
          <w:lang w:val="sq-AL"/>
        </w:rPr>
        <w:t>Sipas natyrës jo të efektshme të sistemit aktual të kompensimit, dhe në veçanti duke patur parasysh faktin se tashmë kanë kaluar 13 vjet që nga koha kur ankuesve iu akordua pron</w:t>
      </w:r>
      <w:r>
        <w:rPr>
          <w:rFonts w:ascii="Times New Roman" w:hAnsi="Times New Roman"/>
          <w:sz w:val="24"/>
          <w:szCs w:val="24"/>
          <w:lang w:val="sq-AL"/>
        </w:rPr>
        <w:t>a</w:t>
      </w:r>
      <w:r w:rsidRPr="00592428">
        <w:rPr>
          <w:rFonts w:ascii="Times New Roman" w:hAnsi="Times New Roman"/>
          <w:sz w:val="24"/>
          <w:szCs w:val="24"/>
          <w:lang w:val="sq-AL"/>
        </w:rPr>
        <w:t xml:space="preserve">, Gjykata, pa gjykuar paraprakisht zhvillime të mundshme në të ardhmen, në lidhje me përcaktimin e një mekanizmi kompensimi efektiv e gjykon të arsyeshme t’i akordojë ankuesve një shumë e cila do të ishte zgjidhja përfundimtare dhe shteruese e çështjeve.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Gjykata sjell ndërmend konkluzionet e saj në çështjen </w:t>
      </w:r>
      <w:r>
        <w:rPr>
          <w:rFonts w:ascii="Times New Roman" w:hAnsi="Times New Roman"/>
          <w:i/>
          <w:sz w:val="24"/>
          <w:szCs w:val="24"/>
          <w:lang w:val="sq-AL"/>
        </w:rPr>
        <w:t xml:space="preserve">Vrioni dhe të Tjerët kundër Shqipërisë </w:t>
      </w:r>
      <w:r>
        <w:rPr>
          <w:rFonts w:ascii="Times New Roman" w:hAnsi="Times New Roman"/>
          <w:sz w:val="24"/>
          <w:szCs w:val="24"/>
          <w:lang w:val="sq-AL"/>
        </w:rPr>
        <w:t xml:space="preserve">(shlyerje e drejtë), nr. 35720/04 dhe 42832/06, §§ 33-39, 7 Dhjetor 2010 për sa i përket metodës së përllogaritjes së dëmit monetar. Për këtë arsye, Gjykata do ta bazojë llogaritjen e dëmit monetar bazuar mbi hartat e vlerësimit të pronës miratuar nga Qeveria në vitin 2008 (shiko gjithashtu </w:t>
      </w:r>
      <w:r>
        <w:rPr>
          <w:rFonts w:ascii="Times New Roman" w:hAnsi="Times New Roman"/>
          <w:i/>
          <w:sz w:val="24"/>
          <w:szCs w:val="24"/>
          <w:lang w:val="sq-AL"/>
        </w:rPr>
        <w:t>Manushaqe Puto dhe të Tjerët</w:t>
      </w:r>
      <w:r>
        <w:rPr>
          <w:rFonts w:ascii="Times New Roman" w:hAnsi="Times New Roman"/>
          <w:sz w:val="24"/>
          <w:szCs w:val="24"/>
          <w:lang w:val="sq-AL"/>
        </w:rPr>
        <w:t xml:space="preserve">, cituar më sipër, § 125), ndërkohë që Qeveria nuk është mbështetur në hartat aktuale të vlerësimit të pronës.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Duke marrë parasysh materialet e paraqitura nga palët si edhe në materialet që zotëron vet, Gjykata e mendon si të arsyeshme që t’i akordojë ankuesve 1,498,400 euro për dëmin monetar dhe atë jo monetar. </w:t>
      </w:r>
    </w:p>
    <w:p w:rsidR="00592428" w:rsidRDefault="00592428" w:rsidP="00592428">
      <w:pPr>
        <w:pStyle w:val="NoSpacing"/>
        <w:spacing w:line="276" w:lineRule="auto"/>
        <w:ind w:left="360"/>
        <w:jc w:val="both"/>
        <w:rPr>
          <w:rFonts w:ascii="Times New Roman" w:hAnsi="Times New Roman"/>
          <w:sz w:val="24"/>
          <w:szCs w:val="24"/>
          <w:lang w:val="sq-AL"/>
        </w:rPr>
      </w:pPr>
    </w:p>
    <w:p w:rsidR="00592428" w:rsidRDefault="00592428" w:rsidP="00592428">
      <w:pPr>
        <w:pStyle w:val="NoSpacing"/>
        <w:numPr>
          <w:ilvl w:val="0"/>
          <w:numId w:val="13"/>
        </w:numPr>
        <w:spacing w:line="276" w:lineRule="auto"/>
        <w:jc w:val="both"/>
        <w:rPr>
          <w:rFonts w:ascii="Times New Roman" w:hAnsi="Times New Roman"/>
          <w:b/>
          <w:sz w:val="24"/>
          <w:szCs w:val="24"/>
          <w:lang w:val="sq-AL"/>
        </w:rPr>
      </w:pPr>
      <w:r>
        <w:rPr>
          <w:rFonts w:ascii="Times New Roman" w:hAnsi="Times New Roman"/>
          <w:b/>
          <w:sz w:val="24"/>
          <w:szCs w:val="24"/>
          <w:lang w:val="sq-AL"/>
        </w:rPr>
        <w:t>Kostot dhe shpenzimet</w:t>
      </w:r>
    </w:p>
    <w:p w:rsidR="00592428" w:rsidRDefault="00592428" w:rsidP="00592428">
      <w:pPr>
        <w:pStyle w:val="NoSpacing"/>
        <w:spacing w:line="276" w:lineRule="auto"/>
        <w:jc w:val="both"/>
        <w:rPr>
          <w:rFonts w:ascii="Times New Roman" w:hAnsi="Times New Roman"/>
          <w:b/>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Ankuesit kërkuan 10,000 euro për kostot dhe shpenzimet e bëra në Gjykatë. Ata nuk paraqitën një material të detajuar për të mbështetur kërkesën e tyre për kostot dhe shpenzimet. </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Sipas rregullores së Gjykatës të përcaktuar nga praktika e mëparshme, një ankues ka të drejtën për t’u rimbursuar për kostot dhe shpenzimet vetëm nëse është provuar se faktikisht ato janë bërë nisur nga nevoja, dhe janë të arsyeshme (shiko </w:t>
      </w:r>
      <w:r>
        <w:rPr>
          <w:rFonts w:ascii="Times New Roman" w:hAnsi="Times New Roman"/>
          <w:i/>
          <w:sz w:val="24"/>
          <w:szCs w:val="24"/>
          <w:lang w:val="sq-AL"/>
        </w:rPr>
        <w:t xml:space="preserve">Gjyli kundër Shqipërisë, </w:t>
      </w:r>
      <w:r>
        <w:rPr>
          <w:rFonts w:ascii="Times New Roman" w:hAnsi="Times New Roman"/>
          <w:sz w:val="24"/>
          <w:szCs w:val="24"/>
          <w:lang w:val="sq-AL"/>
        </w:rPr>
        <w:t>nr. 32907/07, § 72, 29 Shtator 2009). Në këtë pikë, Rregulli 60 §§ 2 dhe 3 i Rregullave të Gjykatës parashikon se ankuesit duhet t’i bashkëlidhin kërkesat e tyre për kompensim të drejtë, “çdo dokument mbështetës i lidhur me çështjen”, por nëse nuk e bën një gjë të tillë Gjykata “mund t’i refuzojë kërkesat plotësisht ose pjesërisht”.</w:t>
      </w: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Gjykata vërën se ankuesit nuk dorëzuan ndonjë dokument referues për të mbështetur kërkesat e tyre. Për këtë arsye, Gjykata nuk do të akordojë ndonjë shpërblim për kostot dhe shpenzimet.</w:t>
      </w:r>
    </w:p>
    <w:p w:rsidR="00592428" w:rsidRDefault="00592428" w:rsidP="00592428">
      <w:pPr>
        <w:pStyle w:val="NoSpacing"/>
        <w:spacing w:line="276" w:lineRule="auto"/>
        <w:ind w:left="360"/>
        <w:jc w:val="both"/>
        <w:rPr>
          <w:rFonts w:ascii="Times New Roman" w:hAnsi="Times New Roman"/>
          <w:sz w:val="24"/>
          <w:szCs w:val="24"/>
          <w:lang w:val="sq-AL"/>
        </w:rPr>
      </w:pPr>
    </w:p>
    <w:p w:rsidR="00592428" w:rsidRPr="00137EE9" w:rsidRDefault="00592428" w:rsidP="00592428">
      <w:pPr>
        <w:pStyle w:val="NoSpacing"/>
        <w:spacing w:line="276" w:lineRule="auto"/>
        <w:jc w:val="center"/>
        <w:rPr>
          <w:rFonts w:ascii="Times New Roman" w:hAnsi="Times New Roman"/>
          <w:sz w:val="18"/>
          <w:szCs w:val="18"/>
          <w:lang w:val="sq-AL"/>
        </w:rPr>
      </w:pPr>
      <w:r>
        <w:rPr>
          <w:rFonts w:ascii="Times New Roman" w:hAnsi="Times New Roman"/>
          <w:sz w:val="18"/>
          <w:szCs w:val="18"/>
          <w:lang w:val="sq-AL"/>
        </w:rPr>
        <w:t>VENDIMI SILIQI DHE TË TJERËT KUNDËR SHQIPËRISË</w:t>
      </w:r>
    </w:p>
    <w:p w:rsidR="00592428" w:rsidRDefault="00592428" w:rsidP="00592428">
      <w:pPr>
        <w:pStyle w:val="NoSpacing"/>
        <w:spacing w:line="276" w:lineRule="auto"/>
        <w:ind w:left="360"/>
        <w:jc w:val="both"/>
        <w:rPr>
          <w:rFonts w:ascii="Times New Roman" w:hAnsi="Times New Roman"/>
          <w:sz w:val="24"/>
          <w:szCs w:val="24"/>
          <w:lang w:val="sq-AL"/>
        </w:rPr>
      </w:pPr>
    </w:p>
    <w:p w:rsidR="00592428" w:rsidRDefault="00592428" w:rsidP="00592428">
      <w:pPr>
        <w:pStyle w:val="NoSpacing"/>
        <w:numPr>
          <w:ilvl w:val="0"/>
          <w:numId w:val="13"/>
        </w:numPr>
        <w:spacing w:line="276" w:lineRule="auto"/>
        <w:jc w:val="both"/>
        <w:rPr>
          <w:rFonts w:ascii="Times New Roman" w:hAnsi="Times New Roman"/>
          <w:b/>
          <w:sz w:val="24"/>
          <w:szCs w:val="24"/>
          <w:lang w:val="sq-AL"/>
        </w:rPr>
      </w:pPr>
      <w:r>
        <w:rPr>
          <w:rFonts w:ascii="Times New Roman" w:hAnsi="Times New Roman"/>
          <w:b/>
          <w:sz w:val="24"/>
          <w:szCs w:val="24"/>
          <w:lang w:val="sq-AL"/>
        </w:rPr>
        <w:t xml:space="preserve">Interes i vonuar </w:t>
      </w:r>
    </w:p>
    <w:p w:rsidR="00592428" w:rsidRDefault="00592428" w:rsidP="00592428">
      <w:pPr>
        <w:pStyle w:val="NoSpacing"/>
        <w:spacing w:line="276" w:lineRule="auto"/>
        <w:ind w:left="360"/>
        <w:jc w:val="both"/>
        <w:rPr>
          <w:rFonts w:ascii="Times New Roman" w:hAnsi="Times New Roman"/>
          <w:b/>
          <w:sz w:val="24"/>
          <w:szCs w:val="24"/>
          <w:lang w:val="sq-AL"/>
        </w:rPr>
      </w:pPr>
    </w:p>
    <w:p w:rsidR="00592428" w:rsidRDefault="00592428" w:rsidP="00592428">
      <w:pPr>
        <w:pStyle w:val="NoSpacing"/>
        <w:numPr>
          <w:ilvl w:val="0"/>
          <w:numId w:val="8"/>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Gjykata e gjykon si të arsyeshme që norma e interesit të vonuar të bazohet në normën e huadhënies marxhinale të Bankës Qendrore Europiane, normë së cilës i duhen shtuar pikë 3 përqindëshe. </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 xml:space="preserve">PËR KËTO ARSYE, GJYKATA UNANIMISHT, </w:t>
      </w:r>
    </w:p>
    <w:p w:rsidR="00592428" w:rsidRDefault="00592428" w:rsidP="00592428">
      <w:pPr>
        <w:pStyle w:val="NoSpacing"/>
        <w:spacing w:line="276" w:lineRule="auto"/>
        <w:jc w:val="both"/>
        <w:rPr>
          <w:rFonts w:ascii="Times New Roman" w:hAnsi="Times New Roman"/>
          <w:sz w:val="24"/>
          <w:szCs w:val="24"/>
          <w:lang w:val="sq-AL"/>
        </w:rPr>
      </w:pPr>
    </w:p>
    <w:p w:rsidR="00592428" w:rsidRPr="00592428" w:rsidRDefault="00592428" w:rsidP="00592428">
      <w:pPr>
        <w:pStyle w:val="NoSpacing"/>
        <w:numPr>
          <w:ilvl w:val="0"/>
          <w:numId w:val="14"/>
        </w:numPr>
        <w:spacing w:line="276" w:lineRule="auto"/>
        <w:jc w:val="both"/>
        <w:rPr>
          <w:rFonts w:ascii="Times New Roman" w:hAnsi="Times New Roman"/>
          <w:sz w:val="24"/>
          <w:szCs w:val="24"/>
          <w:lang w:val="sq-AL"/>
        </w:rPr>
      </w:pPr>
      <w:r>
        <w:rPr>
          <w:rFonts w:ascii="Times New Roman" w:hAnsi="Times New Roman"/>
          <w:i/>
          <w:sz w:val="24"/>
          <w:szCs w:val="24"/>
          <w:lang w:val="sq-AL"/>
        </w:rPr>
        <w:t xml:space="preserve">Vendos </w:t>
      </w:r>
      <w:r>
        <w:rPr>
          <w:rFonts w:ascii="Times New Roman" w:hAnsi="Times New Roman"/>
          <w:sz w:val="24"/>
          <w:szCs w:val="24"/>
          <w:lang w:val="sq-AL"/>
        </w:rPr>
        <w:t xml:space="preserve">të bashkojë ankesat nr. 37295/05 dhe 42228/05; </w:t>
      </w:r>
    </w:p>
    <w:p w:rsidR="00592428" w:rsidRDefault="00592428" w:rsidP="00592428">
      <w:pPr>
        <w:pStyle w:val="NoSpacing"/>
        <w:numPr>
          <w:ilvl w:val="0"/>
          <w:numId w:val="14"/>
        </w:numPr>
        <w:spacing w:line="276" w:lineRule="auto"/>
        <w:jc w:val="both"/>
        <w:rPr>
          <w:rFonts w:ascii="Times New Roman" w:hAnsi="Times New Roman"/>
          <w:sz w:val="24"/>
          <w:szCs w:val="24"/>
          <w:lang w:val="sq-AL"/>
        </w:rPr>
      </w:pPr>
      <w:r>
        <w:rPr>
          <w:rFonts w:ascii="Times New Roman" w:hAnsi="Times New Roman"/>
          <w:i/>
          <w:sz w:val="24"/>
          <w:szCs w:val="24"/>
          <w:lang w:val="sq-AL"/>
        </w:rPr>
        <w:t xml:space="preserve">I deklaron </w:t>
      </w:r>
      <w:r>
        <w:rPr>
          <w:rFonts w:ascii="Times New Roman" w:hAnsi="Times New Roman"/>
          <w:sz w:val="24"/>
          <w:szCs w:val="24"/>
          <w:lang w:val="sq-AL"/>
        </w:rPr>
        <w:t xml:space="preserve">ankesat në lidhje me Nenet 6 § 1 dhe 13 të Konventës si edhe Nenin 1 të Protokollit Nr. 1 në lidhje me moszbatimin e vendimit të Gjykatës së Lartë të datës 24 Prill 2002, të pranueshme dhe pjesën tjetër të ankimit të papranueshëm; </w:t>
      </w:r>
    </w:p>
    <w:p w:rsidR="00592428" w:rsidRDefault="00592428" w:rsidP="00592428">
      <w:pPr>
        <w:pStyle w:val="NoSpacing"/>
        <w:numPr>
          <w:ilvl w:val="0"/>
          <w:numId w:val="14"/>
        </w:numPr>
        <w:spacing w:line="276" w:lineRule="auto"/>
        <w:jc w:val="both"/>
        <w:rPr>
          <w:rFonts w:ascii="Times New Roman" w:hAnsi="Times New Roman"/>
          <w:sz w:val="24"/>
          <w:szCs w:val="24"/>
          <w:lang w:val="sq-AL"/>
        </w:rPr>
      </w:pPr>
      <w:r>
        <w:rPr>
          <w:rFonts w:ascii="Times New Roman" w:hAnsi="Times New Roman"/>
          <w:i/>
          <w:sz w:val="24"/>
          <w:szCs w:val="24"/>
          <w:lang w:val="sq-AL"/>
        </w:rPr>
        <w:t xml:space="preserve">Vendos </w:t>
      </w:r>
      <w:r>
        <w:rPr>
          <w:rFonts w:ascii="Times New Roman" w:hAnsi="Times New Roman"/>
          <w:sz w:val="24"/>
          <w:szCs w:val="24"/>
          <w:lang w:val="sq-AL"/>
        </w:rPr>
        <w:t xml:space="preserve">se ka patur një shkelje të Neneve 6 § 1 dhe 13 si edhe të Nenit 1 të Protokollit Nr. 1 të Konventës; </w:t>
      </w:r>
    </w:p>
    <w:p w:rsidR="00592428" w:rsidRDefault="00592428" w:rsidP="00592428">
      <w:pPr>
        <w:pStyle w:val="NoSpacing"/>
        <w:numPr>
          <w:ilvl w:val="0"/>
          <w:numId w:val="14"/>
        </w:numPr>
        <w:spacing w:line="276" w:lineRule="auto"/>
        <w:jc w:val="both"/>
        <w:rPr>
          <w:rFonts w:ascii="Times New Roman" w:hAnsi="Times New Roman"/>
          <w:sz w:val="24"/>
          <w:szCs w:val="24"/>
          <w:lang w:val="sq-AL"/>
        </w:rPr>
      </w:pPr>
      <w:r>
        <w:rPr>
          <w:rFonts w:ascii="Times New Roman" w:hAnsi="Times New Roman"/>
          <w:i/>
          <w:sz w:val="24"/>
          <w:szCs w:val="24"/>
          <w:lang w:val="sq-AL"/>
        </w:rPr>
        <w:t>Vendos</w:t>
      </w:r>
    </w:p>
    <w:p w:rsidR="00592428" w:rsidRDefault="00592428" w:rsidP="00592428">
      <w:pPr>
        <w:pStyle w:val="NoSpacing"/>
        <w:numPr>
          <w:ilvl w:val="0"/>
          <w:numId w:val="15"/>
        </w:numPr>
        <w:spacing w:line="276" w:lineRule="auto"/>
        <w:jc w:val="both"/>
        <w:rPr>
          <w:rFonts w:ascii="Times New Roman" w:hAnsi="Times New Roman"/>
          <w:sz w:val="24"/>
          <w:szCs w:val="24"/>
          <w:lang w:val="sq-AL"/>
        </w:rPr>
      </w:pPr>
      <w:r>
        <w:rPr>
          <w:rFonts w:ascii="Times New Roman" w:hAnsi="Times New Roman"/>
          <w:sz w:val="24"/>
          <w:szCs w:val="24"/>
          <w:lang w:val="sq-AL"/>
        </w:rPr>
        <w:t>Se Shteti i paditur duhet t’i paguajë ankuesve, bashkërisht, brenda tre muajve, 1,498,400 euro (një milion e katërqind e nëntëdhjetë e tetë mijë e katërqind euro), plus taksat që mund të jenë të tarifueshme, për dëmin monetar dhe jo monetar ndaj të gjithë ankuesve për të dy ankimet, duke e konvertuar shumën në vlerën monetare të Shtetit të paditur në normën që përdoret në ditën e shlyerjes;</w:t>
      </w:r>
    </w:p>
    <w:p w:rsidR="00592428" w:rsidRDefault="00592428" w:rsidP="00592428">
      <w:pPr>
        <w:pStyle w:val="NoSpacing"/>
        <w:numPr>
          <w:ilvl w:val="0"/>
          <w:numId w:val="15"/>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se që nga mbarimi i periudhës së mësipërme prej tre muajsh deri në momentin e shlyerjes, interesi i thjeshtë do të jetë i pagueshëm në shumat e mësipërme në një normë të barabartë me normën marxhinale të huadhënies të Bankës Qendrore Europiane gjatë periudhës së vonesës plus pikë 3%; </w:t>
      </w:r>
    </w:p>
    <w:p w:rsidR="00592428" w:rsidRDefault="00592428" w:rsidP="00592428">
      <w:pPr>
        <w:pStyle w:val="NoSpacing"/>
        <w:numPr>
          <w:ilvl w:val="0"/>
          <w:numId w:val="14"/>
        </w:numPr>
        <w:spacing w:line="276" w:lineRule="auto"/>
        <w:jc w:val="both"/>
        <w:rPr>
          <w:rFonts w:ascii="Times New Roman" w:hAnsi="Times New Roman"/>
          <w:sz w:val="24"/>
          <w:szCs w:val="24"/>
          <w:lang w:val="sq-AL"/>
        </w:rPr>
      </w:pPr>
      <w:r>
        <w:rPr>
          <w:rFonts w:ascii="Times New Roman" w:hAnsi="Times New Roman"/>
          <w:i/>
          <w:sz w:val="24"/>
          <w:szCs w:val="24"/>
          <w:lang w:val="sq-AL"/>
        </w:rPr>
        <w:t xml:space="preserve">Nuk pranon </w:t>
      </w:r>
      <w:r>
        <w:rPr>
          <w:rFonts w:ascii="Times New Roman" w:hAnsi="Times New Roman"/>
          <w:sz w:val="24"/>
          <w:szCs w:val="24"/>
          <w:lang w:val="sq-AL"/>
        </w:rPr>
        <w:t xml:space="preserve">pjesën tjetër të kërkesës së ankuesve për shpërblim të drejtë. </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 xml:space="preserve">E hartuar në anglisht dhe e mbajtur me shkrim më 10 Mars 2015 në zbatim të Rregullit 77 §§ 3 të Rregullave të Gjykatës. </w:t>
      </w:r>
      <w:r w:rsidRPr="0042333F">
        <w:rPr>
          <w:rFonts w:ascii="Times New Roman" w:hAnsi="Times New Roman"/>
          <w:sz w:val="24"/>
          <w:szCs w:val="24"/>
          <w:lang w:val="sq-AL"/>
        </w:rPr>
        <w:t xml:space="preserve"> </w:t>
      </w:r>
    </w:p>
    <w:p w:rsidR="00592428" w:rsidRDefault="00592428" w:rsidP="00592428">
      <w:pPr>
        <w:pStyle w:val="NoSpacing"/>
        <w:spacing w:line="276" w:lineRule="auto"/>
        <w:jc w:val="both"/>
        <w:rPr>
          <w:rFonts w:ascii="Times New Roman" w:hAnsi="Times New Roman"/>
          <w:sz w:val="24"/>
          <w:szCs w:val="24"/>
          <w:lang w:val="sq-AL"/>
        </w:rPr>
      </w:pPr>
    </w:p>
    <w:p w:rsidR="00592428" w:rsidRDefault="00592428" w:rsidP="00592428">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 xml:space="preserve">           Fatoş Aracɪ                                                                  George Nicolaou</w:t>
      </w:r>
    </w:p>
    <w:p w:rsidR="00592428" w:rsidRPr="00FC4C95" w:rsidRDefault="00592428" w:rsidP="00592428">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 xml:space="preserve">    Zëvendës Sekretar                </w:t>
      </w:r>
      <w:r>
        <w:rPr>
          <w:rFonts w:ascii="Times New Roman" w:hAnsi="Times New Roman"/>
          <w:i/>
          <w:sz w:val="24"/>
          <w:szCs w:val="24"/>
          <w:lang w:val="sq-AL"/>
        </w:rPr>
        <w:t xml:space="preserve">                                                  </w:t>
      </w:r>
      <w:r>
        <w:rPr>
          <w:rFonts w:ascii="Times New Roman" w:hAnsi="Times New Roman"/>
          <w:sz w:val="24"/>
          <w:szCs w:val="24"/>
          <w:lang w:val="sq-AL"/>
        </w:rPr>
        <w:t>President</w:t>
      </w:r>
    </w:p>
    <w:p w:rsidR="00592428" w:rsidRPr="00741C22" w:rsidRDefault="00592428" w:rsidP="00592428">
      <w:pPr>
        <w:pStyle w:val="NoSpacing"/>
        <w:spacing w:line="276" w:lineRule="auto"/>
        <w:ind w:left="360"/>
        <w:jc w:val="both"/>
        <w:rPr>
          <w:rFonts w:ascii="Times New Roman" w:hAnsi="Times New Roman"/>
          <w:sz w:val="24"/>
          <w:szCs w:val="24"/>
          <w:lang w:val="sq-AL"/>
        </w:rPr>
      </w:pPr>
      <w:r>
        <w:rPr>
          <w:rFonts w:ascii="Times New Roman" w:hAnsi="Times New Roman"/>
          <w:sz w:val="24"/>
          <w:szCs w:val="24"/>
          <w:lang w:val="sq-AL"/>
        </w:rPr>
        <w:t xml:space="preserve">   </w:t>
      </w:r>
    </w:p>
    <w:p w:rsidR="00592428" w:rsidRPr="0042333F" w:rsidRDefault="00592428" w:rsidP="00592428">
      <w:pPr>
        <w:pStyle w:val="NoSpacing"/>
        <w:spacing w:line="276" w:lineRule="auto"/>
        <w:jc w:val="both"/>
        <w:rPr>
          <w:rFonts w:ascii="Times New Roman" w:hAnsi="Times New Roman"/>
          <w:sz w:val="24"/>
          <w:szCs w:val="24"/>
          <w:lang w:val="sq-AL"/>
        </w:rPr>
      </w:pPr>
    </w:p>
    <w:p w:rsidR="00F60640" w:rsidRPr="00592428" w:rsidRDefault="00F60640" w:rsidP="00592428"/>
    <w:sectPr w:rsidR="00F60640" w:rsidRPr="00592428" w:rsidSect="00156B53">
      <w:headerReference w:type="default" r:id="rId7"/>
      <w:footerReference w:type="default" r:id="rId8"/>
      <w:pgSz w:w="11907" w:h="16840" w:code="9"/>
      <w:pgMar w:top="574"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709" w:rsidRDefault="00911709" w:rsidP="00CC26CB">
      <w:pPr>
        <w:spacing w:after="0" w:line="240" w:lineRule="auto"/>
      </w:pPr>
      <w:r>
        <w:separator/>
      </w:r>
    </w:p>
  </w:endnote>
  <w:endnote w:type="continuationSeparator" w:id="0">
    <w:p w:rsidR="00911709" w:rsidRDefault="00911709" w:rsidP="00CC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80" w:rsidRPr="00C624F1" w:rsidRDefault="00475580" w:rsidP="00CC26CB">
    <w:pPr>
      <w:pBdr>
        <w:top w:val="single" w:sz="4" w:space="0" w:color="auto"/>
      </w:pBdr>
      <w:tabs>
        <w:tab w:val="center" w:pos="4320"/>
        <w:tab w:val="right" w:pos="8640"/>
      </w:tabs>
      <w:spacing w:after="0" w:line="240" w:lineRule="auto"/>
      <w:jc w:val="center"/>
      <w:rPr>
        <w:rFonts w:ascii="Times New Roman" w:hAnsi="Times New Roman"/>
        <w:b/>
        <w:i/>
        <w:color w:val="000080"/>
        <w:szCs w:val="24"/>
      </w:rPr>
    </w:pPr>
    <w:r w:rsidRPr="00C624F1">
      <w:rPr>
        <w:rFonts w:ascii="Times New Roman" w:hAnsi="Times New Roman"/>
        <w:b/>
        <w:i/>
        <w:color w:val="000080"/>
        <w:szCs w:val="24"/>
      </w:rPr>
      <w:t>Shërbimi i Përkthimit Zyrtar, Ministria e Drejtësisë, Republika e Shqipërisë</w:t>
    </w:r>
  </w:p>
  <w:p w:rsidR="00475580" w:rsidRPr="00C624F1" w:rsidRDefault="00475580" w:rsidP="00CC26CB">
    <w:pPr>
      <w:tabs>
        <w:tab w:val="center" w:pos="4320"/>
        <w:tab w:val="right" w:pos="8640"/>
      </w:tabs>
      <w:spacing w:after="0" w:line="240" w:lineRule="auto"/>
      <w:jc w:val="center"/>
      <w:rPr>
        <w:rFonts w:ascii="Times New Roman" w:hAnsi="Times New Roman"/>
        <w:b/>
        <w:i/>
        <w:color w:val="000080"/>
        <w:szCs w:val="24"/>
      </w:rPr>
    </w:pPr>
    <w:r w:rsidRPr="00C624F1">
      <w:rPr>
        <w:rFonts w:ascii="Times New Roman" w:hAnsi="Times New Roman"/>
        <w:b/>
        <w:i/>
        <w:color w:val="000080"/>
        <w:szCs w:val="24"/>
      </w:rPr>
      <w:t>Service des Traductions Officielles du Ministére de la Justice de la République d’Albanie</w:t>
    </w:r>
  </w:p>
  <w:p w:rsidR="00475580" w:rsidRPr="00C624F1" w:rsidRDefault="00475580" w:rsidP="00CC26CB">
    <w:pPr>
      <w:tabs>
        <w:tab w:val="center" w:pos="4320"/>
        <w:tab w:val="right" w:pos="8640"/>
      </w:tabs>
      <w:spacing w:after="0" w:line="240" w:lineRule="auto"/>
      <w:jc w:val="center"/>
      <w:rPr>
        <w:rFonts w:ascii="Times New Roman" w:hAnsi="Times New Roman"/>
        <w:b/>
        <w:i/>
        <w:color w:val="000080"/>
        <w:szCs w:val="24"/>
      </w:rPr>
    </w:pPr>
    <w:smartTag w:uri="urn:schemas-microsoft-com:office:smarttags" w:element="place">
      <w:smartTag w:uri="urn:schemas-microsoft-com:office:smarttags" w:element="PlaceType">
        <w:r w:rsidRPr="00C624F1">
          <w:rPr>
            <w:rFonts w:ascii="Times New Roman" w:hAnsi="Times New Roman"/>
            <w:b/>
            <w:i/>
            <w:color w:val="000080"/>
            <w:szCs w:val="24"/>
          </w:rPr>
          <w:t>Republic</w:t>
        </w:r>
      </w:smartTag>
      <w:r w:rsidRPr="00C624F1">
        <w:rPr>
          <w:rFonts w:ascii="Times New Roman" w:hAnsi="Times New Roman"/>
          <w:b/>
          <w:i/>
          <w:color w:val="000080"/>
          <w:szCs w:val="24"/>
        </w:rPr>
        <w:t xml:space="preserve"> of </w:t>
      </w:r>
      <w:smartTag w:uri="urn:schemas-microsoft-com:office:smarttags" w:element="PlaceName">
        <w:r w:rsidRPr="00C624F1">
          <w:rPr>
            <w:rFonts w:ascii="Times New Roman" w:hAnsi="Times New Roman"/>
            <w:b/>
            <w:i/>
            <w:color w:val="000080"/>
            <w:szCs w:val="24"/>
          </w:rPr>
          <w:t>Albania</w:t>
        </w:r>
      </w:smartTag>
    </w:smartTag>
    <w:r w:rsidRPr="00C624F1">
      <w:rPr>
        <w:rFonts w:ascii="Times New Roman" w:hAnsi="Times New Roman"/>
        <w:b/>
        <w:i/>
        <w:color w:val="000080"/>
        <w:szCs w:val="24"/>
      </w:rPr>
      <w:t>, Ministry of Justice, Official Translations Service</w:t>
    </w:r>
  </w:p>
  <w:p w:rsidR="00475580" w:rsidRDefault="00475580" w:rsidP="00CC26CB">
    <w:pPr>
      <w:pStyle w:val="Footer"/>
    </w:pPr>
  </w:p>
  <w:p w:rsidR="00475580" w:rsidRPr="00CC26CB" w:rsidRDefault="00475580" w:rsidP="00CC2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709" w:rsidRDefault="00911709" w:rsidP="00CC26CB">
      <w:pPr>
        <w:spacing w:after="0" w:line="240" w:lineRule="auto"/>
      </w:pPr>
      <w:r>
        <w:separator/>
      </w:r>
    </w:p>
  </w:footnote>
  <w:footnote w:type="continuationSeparator" w:id="0">
    <w:p w:rsidR="00911709" w:rsidRDefault="00911709" w:rsidP="00CC2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80" w:rsidRPr="00C624F1" w:rsidRDefault="00475580" w:rsidP="00CC26CB">
    <w:pPr>
      <w:pStyle w:val="Header"/>
      <w:pBdr>
        <w:bottom w:val="single" w:sz="4" w:space="0" w:color="auto"/>
      </w:pBdr>
      <w:jc w:val="center"/>
      <w:rPr>
        <w:rFonts w:ascii="Times New Roman" w:hAnsi="Times New Roman"/>
        <w:b/>
        <w:color w:val="000080"/>
        <w:sz w:val="18"/>
        <w:szCs w:val="28"/>
      </w:rPr>
    </w:pPr>
    <w:r w:rsidRPr="00C624F1">
      <w:rPr>
        <w:rFonts w:ascii="Times New Roman" w:hAnsi="Times New Roman"/>
        <w:b/>
        <w:color w:val="000080"/>
        <w:sz w:val="18"/>
        <w:szCs w:val="28"/>
      </w:rPr>
      <w:t>PERKTHIM ZYRTAR                    TRADUCTION OFFICIELLE                  OFFICIAL TRANSLATION</w:t>
    </w:r>
  </w:p>
  <w:p w:rsidR="00475580" w:rsidRDefault="00475580" w:rsidP="00CC26CB">
    <w:pPr>
      <w:pStyle w:val="Header"/>
    </w:pPr>
  </w:p>
  <w:p w:rsidR="00475580" w:rsidRDefault="00475580">
    <w:pPr>
      <w:pStyle w:val="Header"/>
    </w:pPr>
  </w:p>
  <w:p w:rsidR="00475580" w:rsidRDefault="00475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F26"/>
    <w:multiLevelType w:val="hybridMultilevel"/>
    <w:tmpl w:val="BB14A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1099"/>
    <w:multiLevelType w:val="hybridMultilevel"/>
    <w:tmpl w:val="F5BEFEE6"/>
    <w:lvl w:ilvl="0" w:tplc="B6B00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21CFC"/>
    <w:multiLevelType w:val="hybridMultilevel"/>
    <w:tmpl w:val="0FFEF5B0"/>
    <w:lvl w:ilvl="0" w:tplc="04090001">
      <w:start w:val="1"/>
      <w:numFmt w:val="bullet"/>
      <w:lvlText w:val=""/>
      <w:lvlJc w:val="left"/>
      <w:pPr>
        <w:ind w:left="7110"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153244E8"/>
    <w:multiLevelType w:val="hybridMultilevel"/>
    <w:tmpl w:val="1162587C"/>
    <w:lvl w:ilvl="0" w:tplc="110C6C66">
      <w:start w:val="1"/>
      <w:numFmt w:val="bullet"/>
      <w:lvlText w:val="-"/>
      <w:lvlJc w:val="left"/>
      <w:pPr>
        <w:ind w:left="6945" w:hanging="360"/>
      </w:pPr>
      <w:rPr>
        <w:rFonts w:ascii="Times New Roman" w:eastAsia="Times New Roman" w:hAnsi="Times New Roman" w:cs="Times New Roman" w:hint="default"/>
      </w:rPr>
    </w:lvl>
    <w:lvl w:ilvl="1" w:tplc="04090003" w:tentative="1">
      <w:start w:val="1"/>
      <w:numFmt w:val="bullet"/>
      <w:lvlText w:val="o"/>
      <w:lvlJc w:val="left"/>
      <w:pPr>
        <w:ind w:left="7665" w:hanging="360"/>
      </w:pPr>
      <w:rPr>
        <w:rFonts w:ascii="Courier New" w:hAnsi="Courier New" w:cs="Courier New" w:hint="default"/>
      </w:rPr>
    </w:lvl>
    <w:lvl w:ilvl="2" w:tplc="04090005" w:tentative="1">
      <w:start w:val="1"/>
      <w:numFmt w:val="bullet"/>
      <w:lvlText w:val=""/>
      <w:lvlJc w:val="left"/>
      <w:pPr>
        <w:ind w:left="8385" w:hanging="360"/>
      </w:pPr>
      <w:rPr>
        <w:rFonts w:ascii="Wingdings" w:hAnsi="Wingdings" w:hint="default"/>
      </w:rPr>
    </w:lvl>
    <w:lvl w:ilvl="3" w:tplc="04090001" w:tentative="1">
      <w:start w:val="1"/>
      <w:numFmt w:val="bullet"/>
      <w:lvlText w:val=""/>
      <w:lvlJc w:val="left"/>
      <w:pPr>
        <w:ind w:left="9105" w:hanging="360"/>
      </w:pPr>
      <w:rPr>
        <w:rFonts w:ascii="Symbol" w:hAnsi="Symbol" w:hint="default"/>
      </w:rPr>
    </w:lvl>
    <w:lvl w:ilvl="4" w:tplc="04090003" w:tentative="1">
      <w:start w:val="1"/>
      <w:numFmt w:val="bullet"/>
      <w:lvlText w:val="o"/>
      <w:lvlJc w:val="left"/>
      <w:pPr>
        <w:ind w:left="9825" w:hanging="360"/>
      </w:pPr>
      <w:rPr>
        <w:rFonts w:ascii="Courier New" w:hAnsi="Courier New" w:cs="Courier New" w:hint="default"/>
      </w:rPr>
    </w:lvl>
    <w:lvl w:ilvl="5" w:tplc="04090005" w:tentative="1">
      <w:start w:val="1"/>
      <w:numFmt w:val="bullet"/>
      <w:lvlText w:val=""/>
      <w:lvlJc w:val="left"/>
      <w:pPr>
        <w:ind w:left="10545" w:hanging="360"/>
      </w:pPr>
      <w:rPr>
        <w:rFonts w:ascii="Wingdings" w:hAnsi="Wingdings" w:hint="default"/>
      </w:rPr>
    </w:lvl>
    <w:lvl w:ilvl="6" w:tplc="04090001" w:tentative="1">
      <w:start w:val="1"/>
      <w:numFmt w:val="bullet"/>
      <w:lvlText w:val=""/>
      <w:lvlJc w:val="left"/>
      <w:pPr>
        <w:ind w:left="11265" w:hanging="360"/>
      </w:pPr>
      <w:rPr>
        <w:rFonts w:ascii="Symbol" w:hAnsi="Symbol" w:hint="default"/>
      </w:rPr>
    </w:lvl>
    <w:lvl w:ilvl="7" w:tplc="04090003" w:tentative="1">
      <w:start w:val="1"/>
      <w:numFmt w:val="bullet"/>
      <w:lvlText w:val="o"/>
      <w:lvlJc w:val="left"/>
      <w:pPr>
        <w:ind w:left="11985" w:hanging="360"/>
      </w:pPr>
      <w:rPr>
        <w:rFonts w:ascii="Courier New" w:hAnsi="Courier New" w:cs="Courier New" w:hint="default"/>
      </w:rPr>
    </w:lvl>
    <w:lvl w:ilvl="8" w:tplc="04090005" w:tentative="1">
      <w:start w:val="1"/>
      <w:numFmt w:val="bullet"/>
      <w:lvlText w:val=""/>
      <w:lvlJc w:val="left"/>
      <w:pPr>
        <w:ind w:left="12705" w:hanging="360"/>
      </w:pPr>
      <w:rPr>
        <w:rFonts w:ascii="Wingdings" w:hAnsi="Wingdings" w:hint="default"/>
      </w:rPr>
    </w:lvl>
  </w:abstractNum>
  <w:abstractNum w:abstractNumId="4" w15:restartNumberingAfterBreak="0">
    <w:nsid w:val="1BFC4F5E"/>
    <w:multiLevelType w:val="hybridMultilevel"/>
    <w:tmpl w:val="748E0504"/>
    <w:lvl w:ilvl="0" w:tplc="97B226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83B76"/>
    <w:multiLevelType w:val="hybridMultilevel"/>
    <w:tmpl w:val="22E0607C"/>
    <w:lvl w:ilvl="0" w:tplc="DD3E5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1225E"/>
    <w:multiLevelType w:val="hybridMultilevel"/>
    <w:tmpl w:val="E0F00C06"/>
    <w:lvl w:ilvl="0" w:tplc="95EE3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46BD0"/>
    <w:multiLevelType w:val="hybridMultilevel"/>
    <w:tmpl w:val="240E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C0419"/>
    <w:multiLevelType w:val="hybridMultilevel"/>
    <w:tmpl w:val="45DC7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C209E"/>
    <w:multiLevelType w:val="hybridMultilevel"/>
    <w:tmpl w:val="F972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37711"/>
    <w:multiLevelType w:val="hybridMultilevel"/>
    <w:tmpl w:val="EEE43F6C"/>
    <w:lvl w:ilvl="0" w:tplc="6C929B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110397"/>
    <w:multiLevelType w:val="hybridMultilevel"/>
    <w:tmpl w:val="7A023A4C"/>
    <w:lvl w:ilvl="0" w:tplc="0FC2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7657F"/>
    <w:multiLevelType w:val="hybridMultilevel"/>
    <w:tmpl w:val="D1786618"/>
    <w:lvl w:ilvl="0" w:tplc="0742B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15390F"/>
    <w:multiLevelType w:val="hybridMultilevel"/>
    <w:tmpl w:val="B2504D34"/>
    <w:lvl w:ilvl="0" w:tplc="1E783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22B3B"/>
    <w:multiLevelType w:val="hybridMultilevel"/>
    <w:tmpl w:val="C5FC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5"/>
  </w:num>
  <w:num w:numId="5">
    <w:abstractNumId w:val="11"/>
  </w:num>
  <w:num w:numId="6">
    <w:abstractNumId w:val="3"/>
  </w:num>
  <w:num w:numId="7">
    <w:abstractNumId w:val="2"/>
  </w:num>
  <w:num w:numId="8">
    <w:abstractNumId w:val="9"/>
  </w:num>
  <w:num w:numId="9">
    <w:abstractNumId w:val="4"/>
  </w:num>
  <w:num w:numId="10">
    <w:abstractNumId w:val="12"/>
  </w:num>
  <w:num w:numId="11">
    <w:abstractNumId w:val="6"/>
  </w:num>
  <w:num w:numId="12">
    <w:abstractNumId w:val="10"/>
  </w:num>
  <w:num w:numId="13">
    <w:abstractNumId w:val="1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EC"/>
    <w:rsid w:val="000213E1"/>
    <w:rsid w:val="0005078E"/>
    <w:rsid w:val="000953AA"/>
    <w:rsid w:val="000A3368"/>
    <w:rsid w:val="000A60BF"/>
    <w:rsid w:val="000C7980"/>
    <w:rsid w:val="000E3290"/>
    <w:rsid w:val="000F7697"/>
    <w:rsid w:val="0010651F"/>
    <w:rsid w:val="00111D85"/>
    <w:rsid w:val="001326DE"/>
    <w:rsid w:val="00134AB3"/>
    <w:rsid w:val="00156B53"/>
    <w:rsid w:val="00191EB5"/>
    <w:rsid w:val="0019335B"/>
    <w:rsid w:val="001D130F"/>
    <w:rsid w:val="001F3094"/>
    <w:rsid w:val="0021343F"/>
    <w:rsid w:val="002361CC"/>
    <w:rsid w:val="00241112"/>
    <w:rsid w:val="0027531F"/>
    <w:rsid w:val="002778C5"/>
    <w:rsid w:val="00277A87"/>
    <w:rsid w:val="002943A8"/>
    <w:rsid w:val="002A1007"/>
    <w:rsid w:val="002B7015"/>
    <w:rsid w:val="002C4E47"/>
    <w:rsid w:val="002D5DEC"/>
    <w:rsid w:val="002E0711"/>
    <w:rsid w:val="002E5BE0"/>
    <w:rsid w:val="00330513"/>
    <w:rsid w:val="00335866"/>
    <w:rsid w:val="00357797"/>
    <w:rsid w:val="003618EA"/>
    <w:rsid w:val="003848ED"/>
    <w:rsid w:val="003A0C30"/>
    <w:rsid w:val="003B345D"/>
    <w:rsid w:val="003B37FE"/>
    <w:rsid w:val="003D0682"/>
    <w:rsid w:val="003D2C15"/>
    <w:rsid w:val="003D3CFA"/>
    <w:rsid w:val="004106F8"/>
    <w:rsid w:val="00423AA7"/>
    <w:rsid w:val="004300F6"/>
    <w:rsid w:val="00433A81"/>
    <w:rsid w:val="00454EF3"/>
    <w:rsid w:val="004754FF"/>
    <w:rsid w:val="00475580"/>
    <w:rsid w:val="00476405"/>
    <w:rsid w:val="004B0FFB"/>
    <w:rsid w:val="004B401A"/>
    <w:rsid w:val="004B4979"/>
    <w:rsid w:val="004D0CCE"/>
    <w:rsid w:val="004E1BC7"/>
    <w:rsid w:val="005148BA"/>
    <w:rsid w:val="00545A39"/>
    <w:rsid w:val="0056626E"/>
    <w:rsid w:val="0058546C"/>
    <w:rsid w:val="005869BA"/>
    <w:rsid w:val="00587850"/>
    <w:rsid w:val="00590B58"/>
    <w:rsid w:val="00592428"/>
    <w:rsid w:val="005B3811"/>
    <w:rsid w:val="005C57A6"/>
    <w:rsid w:val="005E63FA"/>
    <w:rsid w:val="005F43F8"/>
    <w:rsid w:val="006076B6"/>
    <w:rsid w:val="00614EA6"/>
    <w:rsid w:val="0062096A"/>
    <w:rsid w:val="00624678"/>
    <w:rsid w:val="00631FD9"/>
    <w:rsid w:val="00635E63"/>
    <w:rsid w:val="00643C1E"/>
    <w:rsid w:val="00676D79"/>
    <w:rsid w:val="006939AA"/>
    <w:rsid w:val="006950D4"/>
    <w:rsid w:val="006A08B4"/>
    <w:rsid w:val="006D01FA"/>
    <w:rsid w:val="006D2392"/>
    <w:rsid w:val="006E1B60"/>
    <w:rsid w:val="006F00DE"/>
    <w:rsid w:val="00702F07"/>
    <w:rsid w:val="00746E1B"/>
    <w:rsid w:val="0074744B"/>
    <w:rsid w:val="00747F84"/>
    <w:rsid w:val="00751918"/>
    <w:rsid w:val="00753AE5"/>
    <w:rsid w:val="007602E2"/>
    <w:rsid w:val="00775459"/>
    <w:rsid w:val="0079767D"/>
    <w:rsid w:val="007A2896"/>
    <w:rsid w:val="007B4AC8"/>
    <w:rsid w:val="007B4EE8"/>
    <w:rsid w:val="007C1927"/>
    <w:rsid w:val="007F4827"/>
    <w:rsid w:val="00800F68"/>
    <w:rsid w:val="008119A3"/>
    <w:rsid w:val="00856664"/>
    <w:rsid w:val="008640AE"/>
    <w:rsid w:val="00866D27"/>
    <w:rsid w:val="008B0687"/>
    <w:rsid w:val="008D17E4"/>
    <w:rsid w:val="008E5076"/>
    <w:rsid w:val="009005AD"/>
    <w:rsid w:val="00911709"/>
    <w:rsid w:val="00925095"/>
    <w:rsid w:val="00946DDD"/>
    <w:rsid w:val="0095133D"/>
    <w:rsid w:val="009516C4"/>
    <w:rsid w:val="009718E2"/>
    <w:rsid w:val="00975EF6"/>
    <w:rsid w:val="00984833"/>
    <w:rsid w:val="00990606"/>
    <w:rsid w:val="00993654"/>
    <w:rsid w:val="009C5C8F"/>
    <w:rsid w:val="009D7746"/>
    <w:rsid w:val="00A03713"/>
    <w:rsid w:val="00A45EB5"/>
    <w:rsid w:val="00A5188A"/>
    <w:rsid w:val="00A556B3"/>
    <w:rsid w:val="00A67494"/>
    <w:rsid w:val="00A955D6"/>
    <w:rsid w:val="00AA45EC"/>
    <w:rsid w:val="00AB1E6C"/>
    <w:rsid w:val="00AC0B2B"/>
    <w:rsid w:val="00AC29AB"/>
    <w:rsid w:val="00AC3129"/>
    <w:rsid w:val="00AD190E"/>
    <w:rsid w:val="00AF6C02"/>
    <w:rsid w:val="00B1121F"/>
    <w:rsid w:val="00B4226E"/>
    <w:rsid w:val="00B527DB"/>
    <w:rsid w:val="00B53375"/>
    <w:rsid w:val="00B60471"/>
    <w:rsid w:val="00B93307"/>
    <w:rsid w:val="00BD0731"/>
    <w:rsid w:val="00BD3DBC"/>
    <w:rsid w:val="00BF3D00"/>
    <w:rsid w:val="00BF6D06"/>
    <w:rsid w:val="00C0012B"/>
    <w:rsid w:val="00C1436D"/>
    <w:rsid w:val="00C43356"/>
    <w:rsid w:val="00C47661"/>
    <w:rsid w:val="00C51FC6"/>
    <w:rsid w:val="00C653CD"/>
    <w:rsid w:val="00C75995"/>
    <w:rsid w:val="00C811EB"/>
    <w:rsid w:val="00C81BF9"/>
    <w:rsid w:val="00CC26CB"/>
    <w:rsid w:val="00CD1703"/>
    <w:rsid w:val="00CD7961"/>
    <w:rsid w:val="00CE0C3E"/>
    <w:rsid w:val="00CE10F8"/>
    <w:rsid w:val="00CE3664"/>
    <w:rsid w:val="00D01C9D"/>
    <w:rsid w:val="00D94798"/>
    <w:rsid w:val="00DA017E"/>
    <w:rsid w:val="00DA2E3D"/>
    <w:rsid w:val="00DA4B36"/>
    <w:rsid w:val="00DF0416"/>
    <w:rsid w:val="00E13E99"/>
    <w:rsid w:val="00E151A5"/>
    <w:rsid w:val="00E15A48"/>
    <w:rsid w:val="00E3687E"/>
    <w:rsid w:val="00E50317"/>
    <w:rsid w:val="00E53A49"/>
    <w:rsid w:val="00E5714D"/>
    <w:rsid w:val="00E671EC"/>
    <w:rsid w:val="00E91930"/>
    <w:rsid w:val="00E97036"/>
    <w:rsid w:val="00EA36BA"/>
    <w:rsid w:val="00EB1AEB"/>
    <w:rsid w:val="00ED1C87"/>
    <w:rsid w:val="00F10DCF"/>
    <w:rsid w:val="00F43905"/>
    <w:rsid w:val="00F47741"/>
    <w:rsid w:val="00F57C65"/>
    <w:rsid w:val="00F60640"/>
    <w:rsid w:val="00F62B0C"/>
    <w:rsid w:val="00F76576"/>
    <w:rsid w:val="00F83B09"/>
    <w:rsid w:val="00F92402"/>
    <w:rsid w:val="00FD3A9E"/>
    <w:rsid w:val="00FD76E2"/>
    <w:rsid w:val="00FE7323"/>
    <w:rsid w:val="00FF104B"/>
    <w:rsid w:val="00FF4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E1A709A-4D23-4D46-8E97-0A621BA0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13"/>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1EC"/>
    <w:pPr>
      <w:spacing w:after="0" w:line="240" w:lineRule="auto"/>
    </w:pPr>
    <w:rPr>
      <w:rFonts w:ascii="Tahoma" w:hAnsi="Tahoma"/>
      <w:sz w:val="16"/>
      <w:szCs w:val="16"/>
      <w:lang w:val="sq-AL" w:eastAsia="x-none"/>
    </w:rPr>
  </w:style>
  <w:style w:type="character" w:customStyle="1" w:styleId="BalloonTextChar">
    <w:name w:val="Balloon Text Char"/>
    <w:link w:val="BalloonText"/>
    <w:uiPriority w:val="99"/>
    <w:semiHidden/>
    <w:rsid w:val="00E671EC"/>
    <w:rPr>
      <w:rFonts w:ascii="Tahoma" w:hAnsi="Tahoma" w:cs="Tahoma"/>
      <w:sz w:val="16"/>
      <w:szCs w:val="16"/>
      <w:lang w:val="sq-AL"/>
    </w:rPr>
  </w:style>
  <w:style w:type="paragraph" w:styleId="Header">
    <w:name w:val="header"/>
    <w:basedOn w:val="Normal"/>
    <w:link w:val="HeaderChar"/>
    <w:uiPriority w:val="99"/>
    <w:unhideWhenUsed/>
    <w:rsid w:val="00CC26CB"/>
    <w:pPr>
      <w:tabs>
        <w:tab w:val="center" w:pos="4513"/>
        <w:tab w:val="right" w:pos="9026"/>
      </w:tabs>
      <w:spacing w:after="0" w:line="240" w:lineRule="auto"/>
    </w:pPr>
    <w:rPr>
      <w:sz w:val="20"/>
      <w:szCs w:val="20"/>
      <w:lang w:val="sq-AL" w:eastAsia="x-none"/>
    </w:rPr>
  </w:style>
  <w:style w:type="character" w:customStyle="1" w:styleId="HeaderChar">
    <w:name w:val="Header Char"/>
    <w:link w:val="Header"/>
    <w:uiPriority w:val="99"/>
    <w:rsid w:val="00CC26CB"/>
    <w:rPr>
      <w:lang w:val="sq-AL"/>
    </w:rPr>
  </w:style>
  <w:style w:type="paragraph" w:styleId="Footer">
    <w:name w:val="footer"/>
    <w:basedOn w:val="Normal"/>
    <w:link w:val="FooterChar"/>
    <w:uiPriority w:val="99"/>
    <w:unhideWhenUsed/>
    <w:rsid w:val="00CC26CB"/>
    <w:pPr>
      <w:tabs>
        <w:tab w:val="center" w:pos="4513"/>
        <w:tab w:val="right" w:pos="9026"/>
      </w:tabs>
      <w:spacing w:after="0" w:line="240" w:lineRule="auto"/>
    </w:pPr>
    <w:rPr>
      <w:sz w:val="20"/>
      <w:szCs w:val="20"/>
      <w:lang w:val="sq-AL" w:eastAsia="x-none"/>
    </w:rPr>
  </w:style>
  <w:style w:type="character" w:customStyle="1" w:styleId="FooterChar">
    <w:name w:val="Footer Char"/>
    <w:link w:val="Footer"/>
    <w:uiPriority w:val="99"/>
    <w:rsid w:val="00CC26CB"/>
    <w:rPr>
      <w:lang w:val="sq-AL"/>
    </w:rPr>
  </w:style>
  <w:style w:type="character" w:styleId="Hyperlink">
    <w:name w:val="Hyperlink"/>
    <w:uiPriority w:val="99"/>
    <w:unhideWhenUsed/>
    <w:rsid w:val="00156B53"/>
    <w:rPr>
      <w:color w:val="0000FF"/>
      <w:u w:val="single"/>
    </w:rPr>
  </w:style>
  <w:style w:type="paragraph" w:styleId="NoSpacing">
    <w:name w:val="No Spacing"/>
    <w:uiPriority w:val="1"/>
    <w:qFormat/>
    <w:rsid w:val="008B0687"/>
    <w:rPr>
      <w:sz w:val="22"/>
      <w:szCs w:val="22"/>
      <w:lang w:val="en-GB" w:eastAsia="en-GB"/>
    </w:rPr>
  </w:style>
  <w:style w:type="table" w:styleId="TableGrid">
    <w:name w:val="Table Grid"/>
    <w:basedOn w:val="TableNormal"/>
    <w:uiPriority w:val="59"/>
    <w:rsid w:val="000A33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Ministria e Drejtesise</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arian.drita</dc:creator>
  <cp:keywords/>
  <cp:lastModifiedBy>dritantelhaj@gmail.com</cp:lastModifiedBy>
  <cp:revision>2</cp:revision>
  <cp:lastPrinted>2015-06-15T11:25:00Z</cp:lastPrinted>
  <dcterms:created xsi:type="dcterms:W3CDTF">2020-07-01T12:52:00Z</dcterms:created>
  <dcterms:modified xsi:type="dcterms:W3CDTF">2020-07-01T12:52:00Z</dcterms:modified>
</cp:coreProperties>
</file>