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A3" w:rsidRPr="00955D1C" w:rsidRDefault="000422A3" w:rsidP="000422A3">
      <w:pPr>
        <w:spacing w:line="360" w:lineRule="auto"/>
        <w:jc w:val="center"/>
        <w:rPr>
          <w:rFonts w:ascii="Times New Roman" w:eastAsia="Times New Roman" w:hAnsi="Times New Roman"/>
          <w:lang w:val="sq-AL"/>
        </w:rPr>
      </w:pPr>
    </w:p>
    <w:p w:rsidR="000422A3" w:rsidRPr="00955D1C" w:rsidRDefault="000422A3" w:rsidP="000422A3">
      <w:pPr>
        <w:spacing w:line="360" w:lineRule="auto"/>
        <w:rPr>
          <w:rFonts w:ascii="Times New Roman" w:eastAsia="Times New Roman" w:hAnsi="Times New Roman"/>
          <w:sz w:val="5"/>
          <w:szCs w:val="5"/>
          <w:lang w:val="sq-AL"/>
        </w:rPr>
      </w:pPr>
      <w:r w:rsidRPr="00955D1C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57150</wp:posOffset>
            </wp:positionV>
            <wp:extent cx="973455" cy="923925"/>
            <wp:effectExtent l="19050" t="0" r="17145" b="314325"/>
            <wp:wrapThrough wrapText="bothSides">
              <wp:wrapPolygon edited="0">
                <wp:start x="0" y="0"/>
                <wp:lineTo x="-423" y="445"/>
                <wp:lineTo x="-423" y="28503"/>
                <wp:lineTo x="21558" y="28503"/>
                <wp:lineTo x="21558" y="0"/>
                <wp:lineTo x="0" y="0"/>
              </wp:wrapPolygon>
            </wp:wrapThrough>
            <wp:docPr id="2" name="Picture 2" descr="C:\Documents and Settings\BRUNA BARE\My Documents\Bruna's Personals\Stema\Gjyk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C:\Documents and Settings\BRUNA BARE\My Documents\Bruna's Personals\Stema\Gjyka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23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422A3" w:rsidRPr="00955D1C" w:rsidRDefault="000422A3" w:rsidP="000422A3">
      <w:pPr>
        <w:spacing w:line="360" w:lineRule="auto"/>
        <w:ind w:right="-14"/>
        <w:jc w:val="center"/>
        <w:rPr>
          <w:rFonts w:ascii="Times New Roman" w:hAnsi="Times New Roman"/>
          <w:b/>
          <w:color w:val="215868"/>
          <w:spacing w:val="-1"/>
          <w:sz w:val="24"/>
          <w:lang w:val="sq-AL"/>
        </w:rPr>
      </w:pPr>
    </w:p>
    <w:p w:rsidR="000422A3" w:rsidRPr="00955D1C" w:rsidRDefault="000422A3" w:rsidP="000422A3">
      <w:pPr>
        <w:spacing w:line="360" w:lineRule="auto"/>
        <w:ind w:right="-14"/>
        <w:jc w:val="center"/>
        <w:rPr>
          <w:rFonts w:ascii="Times New Roman" w:hAnsi="Times New Roman"/>
          <w:b/>
          <w:color w:val="215868"/>
          <w:spacing w:val="-1"/>
          <w:sz w:val="24"/>
          <w:lang w:val="sq-AL"/>
        </w:rPr>
      </w:pPr>
    </w:p>
    <w:p w:rsidR="000422A3" w:rsidRPr="00955D1C" w:rsidRDefault="000422A3" w:rsidP="000422A3">
      <w:pPr>
        <w:spacing w:line="360" w:lineRule="auto"/>
        <w:ind w:right="-14"/>
        <w:jc w:val="center"/>
        <w:rPr>
          <w:rFonts w:ascii="Times New Roman" w:hAnsi="Times New Roman"/>
          <w:b/>
          <w:color w:val="215868"/>
          <w:spacing w:val="-1"/>
          <w:sz w:val="48"/>
          <w:szCs w:val="48"/>
          <w:lang w:val="sq-AL"/>
        </w:rPr>
      </w:pPr>
    </w:p>
    <w:p w:rsidR="004343A2" w:rsidRDefault="004343A2" w:rsidP="000422A3">
      <w:pPr>
        <w:ind w:right="-14"/>
        <w:jc w:val="center"/>
        <w:rPr>
          <w:rFonts w:ascii="Times New Roman" w:hAnsi="Times New Roman"/>
          <w:b/>
          <w:color w:val="215868"/>
          <w:spacing w:val="-1"/>
          <w:sz w:val="48"/>
          <w:szCs w:val="48"/>
          <w:lang w:val="sq-AL"/>
        </w:rPr>
      </w:pPr>
    </w:p>
    <w:p w:rsidR="000422A3" w:rsidRPr="00955D1C" w:rsidRDefault="000422A3" w:rsidP="000422A3">
      <w:pPr>
        <w:ind w:right="-14"/>
        <w:jc w:val="center"/>
        <w:rPr>
          <w:rFonts w:ascii="Times New Roman" w:hAnsi="Times New Roman"/>
          <w:b/>
          <w:color w:val="215868"/>
          <w:spacing w:val="21"/>
          <w:sz w:val="48"/>
          <w:szCs w:val="48"/>
          <w:lang w:val="sq-AL"/>
        </w:rPr>
      </w:pPr>
      <w:r w:rsidRPr="00955D1C">
        <w:rPr>
          <w:rFonts w:ascii="Times New Roman" w:hAnsi="Times New Roman"/>
          <w:b/>
          <w:color w:val="215868"/>
          <w:spacing w:val="-1"/>
          <w:sz w:val="48"/>
          <w:szCs w:val="48"/>
          <w:lang w:val="sq-AL"/>
        </w:rPr>
        <w:t xml:space="preserve">REPUBLIKA </w:t>
      </w:r>
      <w:r w:rsidRPr="00955D1C">
        <w:rPr>
          <w:rFonts w:ascii="Times New Roman" w:hAnsi="Times New Roman"/>
          <w:b/>
          <w:color w:val="215868"/>
          <w:sz w:val="48"/>
          <w:szCs w:val="48"/>
          <w:lang w:val="sq-AL"/>
        </w:rPr>
        <w:t xml:space="preserve">E </w:t>
      </w:r>
      <w:r w:rsidRPr="00955D1C">
        <w:rPr>
          <w:rFonts w:ascii="Times New Roman" w:hAnsi="Times New Roman"/>
          <w:b/>
          <w:color w:val="215868"/>
          <w:spacing w:val="-1"/>
          <w:sz w:val="48"/>
          <w:szCs w:val="48"/>
          <w:lang w:val="sq-AL"/>
        </w:rPr>
        <w:t>SHQIPËRISË</w:t>
      </w:r>
    </w:p>
    <w:p w:rsidR="000422A3" w:rsidRPr="00955D1C" w:rsidRDefault="000422A3" w:rsidP="000422A3">
      <w:pPr>
        <w:ind w:right="-14"/>
        <w:jc w:val="center"/>
        <w:rPr>
          <w:rFonts w:ascii="Times New Roman" w:eastAsia="Times New Roman" w:hAnsi="Times New Roman"/>
          <w:sz w:val="48"/>
          <w:szCs w:val="48"/>
          <w:lang w:val="sq-AL"/>
        </w:rPr>
      </w:pPr>
      <w:r w:rsidRPr="00955D1C">
        <w:rPr>
          <w:rFonts w:ascii="Times New Roman" w:hAnsi="Times New Roman"/>
          <w:b/>
          <w:color w:val="215868"/>
          <w:spacing w:val="-1"/>
          <w:sz w:val="48"/>
          <w:szCs w:val="48"/>
          <w:lang w:val="sq-AL"/>
        </w:rPr>
        <w:t>GJYKATA</w:t>
      </w:r>
      <w:r w:rsidR="0042046E">
        <w:rPr>
          <w:rFonts w:ascii="Times New Roman" w:hAnsi="Times New Roman"/>
          <w:b/>
          <w:color w:val="215868"/>
          <w:spacing w:val="-1"/>
          <w:sz w:val="48"/>
          <w:szCs w:val="48"/>
          <w:lang w:val="sq-AL"/>
        </w:rPr>
        <w:t xml:space="preserve"> </w:t>
      </w:r>
      <w:r w:rsidRPr="00955D1C">
        <w:rPr>
          <w:rFonts w:ascii="Times New Roman" w:hAnsi="Times New Roman"/>
          <w:b/>
          <w:color w:val="215868"/>
          <w:spacing w:val="-1"/>
          <w:sz w:val="48"/>
          <w:szCs w:val="48"/>
          <w:lang w:val="sq-AL"/>
        </w:rPr>
        <w:t>KUSHTETUESE</w:t>
      </w:r>
    </w:p>
    <w:p w:rsidR="000422A3" w:rsidRPr="00955D1C" w:rsidRDefault="000422A3" w:rsidP="000422A3">
      <w:pPr>
        <w:tabs>
          <w:tab w:val="left" w:pos="2279"/>
          <w:tab w:val="left" w:pos="4231"/>
          <w:tab w:val="left" w:pos="4713"/>
          <w:tab w:val="left" w:pos="6331"/>
          <w:tab w:val="left" w:pos="8443"/>
        </w:tabs>
        <w:spacing w:line="360" w:lineRule="auto"/>
        <w:ind w:left="2280" w:right="-20" w:hanging="2160"/>
        <w:rPr>
          <w:rFonts w:ascii="Times New Roman" w:hAnsi="Times New Roman"/>
          <w:b/>
          <w:i/>
          <w:color w:val="215868"/>
          <w:spacing w:val="-1"/>
          <w:sz w:val="24"/>
          <w:lang w:val="sq-AL"/>
        </w:rPr>
      </w:pPr>
    </w:p>
    <w:p w:rsidR="000422A3" w:rsidRPr="00955D1C" w:rsidRDefault="000422A3" w:rsidP="000422A3">
      <w:pPr>
        <w:jc w:val="center"/>
        <w:rPr>
          <w:rFonts w:ascii="Times New Roman" w:eastAsia="Times New Roman" w:hAnsi="Times New Roman"/>
          <w:b/>
          <w:sz w:val="96"/>
          <w:szCs w:val="96"/>
          <w:lang w:val="sq-AL"/>
        </w:rPr>
      </w:pPr>
    </w:p>
    <w:p w:rsidR="000422A3" w:rsidRPr="00955D1C" w:rsidRDefault="000422A3" w:rsidP="000422A3">
      <w:pPr>
        <w:jc w:val="center"/>
        <w:rPr>
          <w:rFonts w:ascii="Times New Roman" w:eastAsia="Times New Roman" w:hAnsi="Times New Roman"/>
          <w:b/>
          <w:sz w:val="96"/>
          <w:szCs w:val="96"/>
          <w:lang w:val="sq-AL"/>
        </w:rPr>
      </w:pPr>
    </w:p>
    <w:p w:rsidR="000422A3" w:rsidRPr="00955D1C" w:rsidRDefault="000422A3" w:rsidP="000422A3">
      <w:pPr>
        <w:jc w:val="center"/>
        <w:rPr>
          <w:rFonts w:ascii="Times New Roman" w:eastAsia="Times New Roman" w:hAnsi="Times New Roman"/>
          <w:b/>
          <w:sz w:val="48"/>
          <w:szCs w:val="48"/>
          <w:lang w:val="sq-AL"/>
        </w:rPr>
      </w:pPr>
      <w:r w:rsidRPr="00955D1C">
        <w:rPr>
          <w:rFonts w:ascii="Times New Roman" w:eastAsia="Times New Roman" w:hAnsi="Times New Roman"/>
          <w:b/>
          <w:sz w:val="48"/>
          <w:szCs w:val="48"/>
          <w:lang w:val="sq-AL"/>
        </w:rPr>
        <w:t xml:space="preserve">STATISTIKA </w:t>
      </w:r>
      <w:r w:rsidR="00AB0C1C">
        <w:rPr>
          <w:rFonts w:ascii="Times New Roman" w:eastAsia="Times New Roman" w:hAnsi="Times New Roman"/>
          <w:b/>
          <w:sz w:val="48"/>
          <w:szCs w:val="48"/>
          <w:lang w:val="sq-AL"/>
        </w:rPr>
        <w:t>P</w:t>
      </w:r>
      <w:r w:rsidR="00AB0C1C" w:rsidRPr="00AB0C1C">
        <w:rPr>
          <w:rFonts w:ascii="Times New Roman" w:eastAsia="Times New Roman" w:hAnsi="Times New Roman" w:cs="Times New Roman"/>
          <w:b/>
          <w:sz w:val="48"/>
          <w:szCs w:val="48"/>
          <w:lang w:val="sq-AL"/>
        </w:rPr>
        <w:t>Ë</w:t>
      </w:r>
      <w:r w:rsidR="00AB0C1C">
        <w:rPr>
          <w:rFonts w:ascii="Times New Roman" w:eastAsia="Times New Roman" w:hAnsi="Times New Roman" w:cs="Times New Roman"/>
          <w:b/>
          <w:sz w:val="48"/>
          <w:szCs w:val="48"/>
          <w:lang w:val="sq-AL"/>
        </w:rPr>
        <w:t>R</w:t>
      </w:r>
      <w:r w:rsidRPr="00955D1C">
        <w:rPr>
          <w:rFonts w:ascii="Times New Roman" w:eastAsia="Times New Roman" w:hAnsi="Times New Roman"/>
          <w:b/>
          <w:sz w:val="48"/>
          <w:szCs w:val="48"/>
          <w:lang w:val="sq-AL"/>
        </w:rPr>
        <w:t xml:space="preserve"> VEPRIMTARINË E GJYKATËS KUSHTETUESE </w:t>
      </w:r>
    </w:p>
    <w:p w:rsidR="000422A3" w:rsidRPr="00955D1C" w:rsidRDefault="000422A3" w:rsidP="000422A3">
      <w:pPr>
        <w:jc w:val="center"/>
        <w:rPr>
          <w:rFonts w:ascii="Times New Roman" w:eastAsia="Times New Roman" w:hAnsi="Times New Roman"/>
          <w:b/>
          <w:sz w:val="48"/>
          <w:szCs w:val="48"/>
          <w:lang w:val="sq-AL"/>
        </w:rPr>
      </w:pPr>
      <w:r w:rsidRPr="00955D1C">
        <w:rPr>
          <w:rFonts w:ascii="Times New Roman" w:eastAsia="Times New Roman" w:hAnsi="Times New Roman"/>
          <w:b/>
          <w:sz w:val="48"/>
          <w:szCs w:val="48"/>
          <w:lang w:val="sq-AL"/>
        </w:rPr>
        <w:t xml:space="preserve">PËR </w:t>
      </w:r>
      <w:r w:rsidR="00B30D14">
        <w:rPr>
          <w:rFonts w:ascii="Times New Roman" w:eastAsia="Times New Roman" w:hAnsi="Times New Roman"/>
          <w:b/>
          <w:sz w:val="48"/>
          <w:szCs w:val="48"/>
          <w:lang w:val="sq-AL"/>
        </w:rPr>
        <w:t>VITI</w:t>
      </w:r>
      <w:r w:rsidR="006D125D">
        <w:rPr>
          <w:rFonts w:ascii="Times New Roman" w:eastAsia="Times New Roman" w:hAnsi="Times New Roman"/>
          <w:b/>
          <w:sz w:val="48"/>
          <w:szCs w:val="48"/>
          <w:lang w:val="sq-AL"/>
        </w:rPr>
        <w:t>N</w:t>
      </w:r>
      <w:r w:rsidR="00B30D14">
        <w:rPr>
          <w:rFonts w:ascii="Times New Roman" w:eastAsia="Times New Roman" w:hAnsi="Times New Roman"/>
          <w:b/>
          <w:sz w:val="48"/>
          <w:szCs w:val="48"/>
          <w:lang w:val="sq-AL"/>
        </w:rPr>
        <w:t xml:space="preserve"> 2020</w:t>
      </w:r>
    </w:p>
    <w:p w:rsidR="000422A3" w:rsidRPr="00955D1C" w:rsidRDefault="000422A3" w:rsidP="000422A3">
      <w:pPr>
        <w:jc w:val="center"/>
        <w:rPr>
          <w:rFonts w:ascii="Times New Roman" w:eastAsia="Times New Roman" w:hAnsi="Times New Roman"/>
          <w:b/>
          <w:sz w:val="48"/>
          <w:szCs w:val="48"/>
          <w:lang w:val="sq-AL"/>
        </w:rPr>
      </w:pPr>
    </w:p>
    <w:p w:rsidR="000422A3" w:rsidRPr="00955D1C" w:rsidRDefault="000422A3" w:rsidP="000422A3">
      <w:pPr>
        <w:jc w:val="center"/>
        <w:rPr>
          <w:rFonts w:ascii="Times New Roman" w:eastAsia="Times New Roman" w:hAnsi="Times New Roman"/>
          <w:b/>
          <w:sz w:val="48"/>
          <w:szCs w:val="48"/>
          <w:lang w:val="sq-AL"/>
        </w:rPr>
      </w:pPr>
    </w:p>
    <w:p w:rsidR="000422A3" w:rsidRPr="00955D1C" w:rsidRDefault="00B30D14" w:rsidP="000422A3">
      <w:pPr>
        <w:jc w:val="center"/>
        <w:rPr>
          <w:rFonts w:ascii="Times New Roman" w:eastAsia="Times New Roman" w:hAnsi="Times New Roman"/>
          <w:b/>
          <w:sz w:val="72"/>
          <w:szCs w:val="72"/>
          <w:lang w:val="sq-AL"/>
        </w:rPr>
      </w:pPr>
      <w:r>
        <w:rPr>
          <w:rFonts w:ascii="Times New Roman" w:eastAsia="Times New Roman" w:hAnsi="Times New Roman"/>
          <w:b/>
          <w:sz w:val="48"/>
          <w:szCs w:val="48"/>
          <w:lang w:val="sq-AL"/>
        </w:rPr>
        <w:t xml:space="preserve"> </w:t>
      </w:r>
    </w:p>
    <w:p w:rsidR="00496C9E" w:rsidRDefault="00496C9E" w:rsidP="000422A3">
      <w:pPr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496C9E" w:rsidRDefault="00496C9E" w:rsidP="000422A3">
      <w:pPr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0422A3" w:rsidRPr="00955D1C" w:rsidRDefault="00873CDE" w:rsidP="000422A3">
      <w:pPr>
        <w:shd w:val="clear" w:color="auto" w:fill="D5DCE4" w:themeFill="text2" w:themeFillTint="33"/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q-AL"/>
        </w:rPr>
        <w:t>Aktualisht</w:t>
      </w:r>
      <w:r w:rsidR="000422A3" w:rsidRPr="00955D1C">
        <w:rPr>
          <w:rFonts w:ascii="Times New Roman" w:hAnsi="Times New Roman"/>
          <w:sz w:val="24"/>
          <w:szCs w:val="24"/>
          <w:lang w:val="sq-AL"/>
        </w:rPr>
        <w:t xml:space="preserve">, numri total i kërkesave që presin të shqyrtohen nga kjo Gjykatë </w:t>
      </w:r>
      <w:r w:rsidR="007970DE" w:rsidRPr="00955D1C">
        <w:rPr>
          <w:rFonts w:ascii="Times New Roman" w:hAnsi="Times New Roman"/>
          <w:sz w:val="24"/>
          <w:szCs w:val="24"/>
          <w:lang w:val="sq-AL"/>
        </w:rPr>
        <w:t xml:space="preserve">është </w:t>
      </w:r>
      <w:r w:rsidR="000422A3" w:rsidRPr="00955D1C">
        <w:rPr>
          <w:rFonts w:ascii="Times New Roman" w:hAnsi="Times New Roman"/>
          <w:sz w:val="24"/>
          <w:szCs w:val="24"/>
          <w:lang w:val="sq-AL"/>
        </w:rPr>
        <w:t xml:space="preserve">gjithsej </w:t>
      </w:r>
      <w:r w:rsidR="00083CEB">
        <w:rPr>
          <w:rFonts w:ascii="Times New Roman" w:hAnsi="Times New Roman"/>
          <w:b/>
          <w:sz w:val="24"/>
          <w:szCs w:val="24"/>
          <w:lang w:val="sq-AL"/>
        </w:rPr>
        <w:t>87</w:t>
      </w:r>
      <w:r w:rsidR="000422A3" w:rsidRPr="00955D1C">
        <w:rPr>
          <w:rFonts w:ascii="Times New Roman" w:hAnsi="Times New Roman"/>
          <w:sz w:val="24"/>
          <w:szCs w:val="24"/>
          <w:lang w:val="sq-AL"/>
        </w:rPr>
        <w:t>, nga të cilat:</w:t>
      </w:r>
    </w:p>
    <w:p w:rsidR="000422A3" w:rsidRPr="00955D1C" w:rsidRDefault="000422A3" w:rsidP="000422A3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422A3" w:rsidRPr="00955D1C" w:rsidRDefault="007970DE" w:rsidP="000422A3">
      <w:pPr>
        <w:pStyle w:val="ListParagraph"/>
        <w:numPr>
          <w:ilvl w:val="4"/>
          <w:numId w:val="4"/>
        </w:numPr>
        <w:spacing w:line="360" w:lineRule="auto"/>
        <w:ind w:left="14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2</w:t>
      </w:r>
      <w:r w:rsidR="007048C6">
        <w:rPr>
          <w:rFonts w:ascii="Times New Roman" w:hAnsi="Times New Roman"/>
          <w:b/>
          <w:sz w:val="24"/>
          <w:szCs w:val="24"/>
          <w:lang w:val="sq-AL"/>
        </w:rPr>
        <w:t>5</w:t>
      </w:r>
      <w:r w:rsidR="000422A3" w:rsidRPr="00955D1C">
        <w:rPr>
          <w:rFonts w:ascii="Times New Roman" w:hAnsi="Times New Roman"/>
          <w:b/>
          <w:sz w:val="24"/>
          <w:szCs w:val="24"/>
          <w:lang w:val="sq-AL"/>
        </w:rPr>
        <w:t xml:space="preserve"> kërkesa</w:t>
      </w:r>
      <w:r w:rsidR="000422A3" w:rsidRPr="00955D1C">
        <w:rPr>
          <w:rFonts w:ascii="Times New Roman" w:hAnsi="Times New Roman"/>
          <w:sz w:val="24"/>
          <w:szCs w:val="24"/>
          <w:lang w:val="sq-AL"/>
        </w:rPr>
        <w:t xml:space="preserve"> kanë kaluar për shqyrtim në seancë plenare;</w:t>
      </w:r>
      <w:r w:rsidR="006D69C7">
        <w:rPr>
          <w:rStyle w:val="FootnoteReference"/>
          <w:rFonts w:ascii="Times New Roman" w:hAnsi="Times New Roman"/>
          <w:sz w:val="24"/>
          <w:szCs w:val="24"/>
          <w:lang w:val="sq-AL"/>
        </w:rPr>
        <w:footnoteReference w:id="1"/>
      </w:r>
    </w:p>
    <w:p w:rsidR="00083CEB" w:rsidRDefault="007048C6" w:rsidP="002320B8">
      <w:pPr>
        <w:pStyle w:val="ListParagraph"/>
        <w:numPr>
          <w:ilvl w:val="4"/>
          <w:numId w:val="4"/>
        </w:numPr>
        <w:spacing w:line="360" w:lineRule="auto"/>
        <w:ind w:left="1080" w:firstLine="0"/>
        <w:jc w:val="both"/>
        <w:rPr>
          <w:rFonts w:ascii="Times New Roman" w:hAnsi="Times New Roman"/>
          <w:sz w:val="24"/>
          <w:szCs w:val="24"/>
          <w:lang w:val="sq-AL"/>
        </w:rPr>
      </w:pPr>
      <w:r w:rsidRPr="00083CEB">
        <w:rPr>
          <w:rFonts w:ascii="Times New Roman" w:hAnsi="Times New Roman"/>
          <w:b/>
          <w:sz w:val="24"/>
          <w:szCs w:val="24"/>
          <w:lang w:val="sq-AL"/>
        </w:rPr>
        <w:t>32</w:t>
      </w:r>
      <w:r w:rsidR="000422A3" w:rsidRPr="00083CEB">
        <w:rPr>
          <w:rFonts w:ascii="Times New Roman" w:hAnsi="Times New Roman"/>
          <w:b/>
          <w:sz w:val="24"/>
          <w:szCs w:val="24"/>
          <w:lang w:val="sq-AL"/>
        </w:rPr>
        <w:t xml:space="preserve"> kërkesa</w:t>
      </w:r>
      <w:r w:rsidR="000422A3" w:rsidRPr="00083CEB">
        <w:rPr>
          <w:rFonts w:ascii="Times New Roman" w:hAnsi="Times New Roman"/>
          <w:sz w:val="24"/>
          <w:szCs w:val="24"/>
          <w:lang w:val="sq-AL"/>
        </w:rPr>
        <w:t xml:space="preserve"> kanë kaluar për shqyrtim paraprak në Mbledhjen e Gjyqtarëve</w:t>
      </w:r>
      <w:r w:rsidR="006D69C7">
        <w:rPr>
          <w:rStyle w:val="FootnoteReference"/>
          <w:rFonts w:ascii="Times New Roman" w:hAnsi="Times New Roman"/>
          <w:sz w:val="24"/>
          <w:szCs w:val="24"/>
          <w:lang w:val="sq-AL"/>
        </w:rPr>
        <w:footnoteReference w:id="2"/>
      </w:r>
      <w:r w:rsidR="000422A3" w:rsidRPr="00083CEB">
        <w:rPr>
          <w:rFonts w:ascii="Times New Roman" w:hAnsi="Times New Roman"/>
          <w:sz w:val="24"/>
          <w:szCs w:val="24"/>
          <w:lang w:val="sq-AL"/>
        </w:rPr>
        <w:t>.</w:t>
      </w:r>
    </w:p>
    <w:p w:rsidR="007970DE" w:rsidRPr="00083CEB" w:rsidRDefault="00083CEB" w:rsidP="002320B8">
      <w:pPr>
        <w:pStyle w:val="ListParagraph"/>
        <w:numPr>
          <w:ilvl w:val="4"/>
          <w:numId w:val="4"/>
        </w:numPr>
        <w:spacing w:line="360" w:lineRule="auto"/>
        <w:ind w:left="1080" w:firstLine="0"/>
        <w:jc w:val="both"/>
        <w:rPr>
          <w:rFonts w:ascii="Times New Roman" w:hAnsi="Times New Roman"/>
          <w:sz w:val="24"/>
          <w:szCs w:val="24"/>
          <w:lang w:val="sq-AL"/>
        </w:rPr>
      </w:pPr>
      <w:r w:rsidRPr="00083CEB">
        <w:rPr>
          <w:rFonts w:ascii="Times New Roman" w:hAnsi="Times New Roman"/>
          <w:b/>
          <w:sz w:val="24"/>
          <w:szCs w:val="24"/>
          <w:lang w:val="sq-AL"/>
        </w:rPr>
        <w:t>30</w:t>
      </w:r>
      <w:r w:rsidR="007970DE" w:rsidRPr="00083CEB">
        <w:rPr>
          <w:rFonts w:ascii="Times New Roman" w:hAnsi="Times New Roman"/>
          <w:b/>
          <w:sz w:val="24"/>
          <w:szCs w:val="24"/>
          <w:lang w:val="sq-AL"/>
        </w:rPr>
        <w:t xml:space="preserve"> kërkesa </w:t>
      </w:r>
      <w:r w:rsidR="007970DE" w:rsidRPr="00083CEB">
        <w:rPr>
          <w:rFonts w:ascii="Times New Roman" w:hAnsi="Times New Roman"/>
          <w:sz w:val="24"/>
          <w:szCs w:val="24"/>
          <w:lang w:val="sq-AL"/>
        </w:rPr>
        <w:t>janë në fazën e shqyrtimit paraprak nga Kolegjet e Gjykatës Kushtetuese</w:t>
      </w:r>
      <w:r w:rsidR="006D69C7">
        <w:rPr>
          <w:rStyle w:val="FootnoteReference"/>
          <w:rFonts w:ascii="Times New Roman" w:hAnsi="Times New Roman"/>
          <w:sz w:val="24"/>
          <w:szCs w:val="24"/>
          <w:lang w:val="sq-AL"/>
        </w:rPr>
        <w:footnoteReference w:id="3"/>
      </w:r>
      <w:r w:rsidR="00B4198F">
        <w:rPr>
          <w:rFonts w:ascii="Times New Roman" w:hAnsi="Times New Roman"/>
          <w:sz w:val="24"/>
          <w:szCs w:val="24"/>
          <w:lang w:val="sq-AL"/>
        </w:rPr>
        <w:t>.</w:t>
      </w:r>
      <w:r w:rsidR="007970DE" w:rsidRPr="00083CEB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0422A3" w:rsidRDefault="000422A3" w:rsidP="000422A3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D5DCE4" w:themeFill="text2" w:themeFillTint="33"/>
          <w:lang w:val="sq-AL"/>
        </w:rPr>
      </w:pPr>
      <w:r w:rsidRPr="00955D1C">
        <w:rPr>
          <w:rFonts w:ascii="Times New Roman" w:hAnsi="Times New Roman"/>
          <w:sz w:val="24"/>
          <w:szCs w:val="24"/>
          <w:lang w:val="sq-AL"/>
        </w:rPr>
        <w:tab/>
      </w:r>
      <w:r w:rsidR="007970DE">
        <w:rPr>
          <w:rFonts w:ascii="Times New Roman" w:hAnsi="Times New Roman"/>
          <w:sz w:val="24"/>
          <w:szCs w:val="24"/>
          <w:shd w:val="clear" w:color="auto" w:fill="D5DCE4" w:themeFill="text2" w:themeFillTint="33"/>
          <w:lang w:val="sq-AL"/>
        </w:rPr>
        <w:t xml:space="preserve"> </w:t>
      </w:r>
    </w:p>
    <w:p w:rsidR="00BD5E58" w:rsidRPr="00955D1C" w:rsidRDefault="00BD5E58" w:rsidP="000422A3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E55EB" w:rsidRPr="00083CEB" w:rsidRDefault="002601B4" w:rsidP="007E55EB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  <w:r w:rsidRPr="00083CEB">
        <w:rPr>
          <w:rFonts w:ascii="Times New Roman" w:hAnsi="Times New Roman"/>
          <w:sz w:val="24"/>
          <w:szCs w:val="24"/>
          <w:lang w:val="sq-AL"/>
        </w:rPr>
        <w:t>Gjat</w:t>
      </w:r>
      <w:r w:rsidRPr="00083CEB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7E55EB" w:rsidRPr="00083CEB">
        <w:rPr>
          <w:rFonts w:ascii="Times New Roman" w:hAnsi="Times New Roman"/>
          <w:sz w:val="24"/>
          <w:szCs w:val="24"/>
          <w:lang w:val="sq-AL"/>
        </w:rPr>
        <w:t xml:space="preserve">vitit 2020 </w:t>
      </w:r>
      <w:r w:rsidR="00C213DC" w:rsidRPr="00083CEB">
        <w:rPr>
          <w:rFonts w:ascii="Times New Roman" w:hAnsi="Times New Roman"/>
          <w:sz w:val="24"/>
          <w:szCs w:val="24"/>
          <w:lang w:val="sq-AL"/>
        </w:rPr>
        <w:t xml:space="preserve">janë regjistruar gjithsej </w:t>
      </w:r>
      <w:r w:rsidR="00083CEB" w:rsidRPr="0035681C">
        <w:rPr>
          <w:rFonts w:ascii="Times New Roman" w:hAnsi="Times New Roman"/>
          <w:b/>
          <w:sz w:val="24"/>
          <w:szCs w:val="24"/>
          <w:lang w:val="sq-AL"/>
        </w:rPr>
        <w:t>99</w:t>
      </w:r>
      <w:r w:rsidR="00C213DC" w:rsidRPr="0035681C">
        <w:rPr>
          <w:rFonts w:ascii="Times New Roman" w:hAnsi="Times New Roman"/>
          <w:b/>
          <w:sz w:val="24"/>
          <w:szCs w:val="24"/>
          <w:lang w:val="sq-AL"/>
        </w:rPr>
        <w:t xml:space="preserve"> kërkesa</w:t>
      </w:r>
      <w:r w:rsidR="0045089A">
        <w:rPr>
          <w:rFonts w:ascii="Times New Roman" w:hAnsi="Times New Roman"/>
          <w:sz w:val="24"/>
          <w:szCs w:val="24"/>
          <w:lang w:val="sq-AL"/>
        </w:rPr>
        <w:t>, nga k</w:t>
      </w:r>
      <w:r w:rsidR="0045089A" w:rsidRPr="0045089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5089A">
        <w:rPr>
          <w:rFonts w:ascii="Times New Roman" w:hAnsi="Times New Roman" w:cs="Times New Roman"/>
          <w:sz w:val="24"/>
          <w:szCs w:val="24"/>
          <w:lang w:val="sq-AL"/>
        </w:rPr>
        <w:t>to:</w:t>
      </w:r>
      <w:r w:rsidR="0031468F" w:rsidRPr="00083CE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E55EB" w:rsidRPr="00083CEB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31468F" w:rsidRPr="00083CEB" w:rsidRDefault="00083CEB" w:rsidP="00CE6BE7">
      <w:pPr>
        <w:numPr>
          <w:ilvl w:val="4"/>
          <w:numId w:val="4"/>
        </w:numPr>
        <w:spacing w:line="360" w:lineRule="auto"/>
        <w:ind w:left="1080" w:firstLine="0"/>
        <w:jc w:val="both"/>
        <w:rPr>
          <w:rFonts w:ascii="Times New Roman" w:hAnsi="Times New Roman"/>
          <w:sz w:val="24"/>
          <w:szCs w:val="24"/>
          <w:lang w:val="sq-AL"/>
        </w:rPr>
      </w:pPr>
      <w:r w:rsidRPr="0035681C">
        <w:rPr>
          <w:rFonts w:ascii="Times New Roman" w:hAnsi="Times New Roman"/>
          <w:b/>
          <w:sz w:val="24"/>
          <w:szCs w:val="24"/>
          <w:lang w:val="sq-AL"/>
        </w:rPr>
        <w:t>3</w:t>
      </w:r>
      <w:r w:rsidR="004A1F86" w:rsidRPr="0035681C">
        <w:rPr>
          <w:rFonts w:ascii="Times New Roman" w:hAnsi="Times New Roman"/>
          <w:b/>
          <w:sz w:val="24"/>
          <w:szCs w:val="24"/>
          <w:lang w:val="sq-AL"/>
        </w:rPr>
        <w:t xml:space="preserve">  </w:t>
      </w:r>
      <w:r w:rsidR="0031468F" w:rsidRPr="0035681C">
        <w:rPr>
          <w:rFonts w:ascii="Times New Roman" w:hAnsi="Times New Roman"/>
          <w:b/>
          <w:sz w:val="24"/>
          <w:szCs w:val="24"/>
          <w:lang w:val="sq-AL"/>
        </w:rPr>
        <w:t>kërkesë</w:t>
      </w:r>
      <w:r w:rsidR="0031468F" w:rsidRPr="00083CEB">
        <w:rPr>
          <w:rFonts w:ascii="Times New Roman" w:hAnsi="Times New Roman"/>
          <w:sz w:val="24"/>
          <w:szCs w:val="24"/>
          <w:lang w:val="sq-AL"/>
        </w:rPr>
        <w:t xml:space="preserve"> ka</w:t>
      </w:r>
      <w:r w:rsidR="0035681C">
        <w:rPr>
          <w:rFonts w:ascii="Times New Roman" w:hAnsi="Times New Roman"/>
          <w:sz w:val="24"/>
          <w:szCs w:val="24"/>
          <w:lang w:val="sq-AL"/>
        </w:rPr>
        <w:t>n</w:t>
      </w:r>
      <w:r w:rsidR="0035681C" w:rsidRPr="0035681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1468F" w:rsidRPr="00083CEB">
        <w:rPr>
          <w:rFonts w:ascii="Times New Roman" w:hAnsi="Times New Roman"/>
          <w:sz w:val="24"/>
          <w:szCs w:val="24"/>
          <w:lang w:val="sq-AL"/>
        </w:rPr>
        <w:t xml:space="preserve"> kaluar për shqyrtim në seancë plenare</w:t>
      </w:r>
      <w:r w:rsidR="00DD1C22" w:rsidRPr="00083CEB">
        <w:rPr>
          <w:rFonts w:ascii="Times New Roman" w:hAnsi="Times New Roman"/>
          <w:sz w:val="24"/>
          <w:szCs w:val="24"/>
          <w:lang w:val="sq-AL"/>
        </w:rPr>
        <w:t>;</w:t>
      </w:r>
    </w:p>
    <w:p w:rsidR="0031468F" w:rsidRPr="00083CEB" w:rsidRDefault="00083CEB" w:rsidP="00CE6BE7">
      <w:pPr>
        <w:numPr>
          <w:ilvl w:val="4"/>
          <w:numId w:val="4"/>
        </w:numPr>
        <w:spacing w:line="360" w:lineRule="auto"/>
        <w:ind w:left="1080" w:firstLine="0"/>
        <w:jc w:val="both"/>
        <w:rPr>
          <w:rFonts w:ascii="Times New Roman" w:hAnsi="Times New Roman"/>
          <w:sz w:val="24"/>
          <w:szCs w:val="24"/>
          <w:lang w:val="sq-AL"/>
        </w:rPr>
      </w:pPr>
      <w:r w:rsidRPr="0035681C">
        <w:rPr>
          <w:rFonts w:ascii="Times New Roman" w:hAnsi="Times New Roman"/>
          <w:b/>
          <w:sz w:val="24"/>
          <w:szCs w:val="24"/>
          <w:lang w:val="sq-AL"/>
        </w:rPr>
        <w:t>1</w:t>
      </w:r>
      <w:r w:rsidR="00061685" w:rsidRPr="0035681C">
        <w:rPr>
          <w:rFonts w:ascii="Times New Roman" w:hAnsi="Times New Roman"/>
          <w:b/>
          <w:sz w:val="24"/>
          <w:szCs w:val="24"/>
          <w:lang w:val="sq-AL"/>
        </w:rPr>
        <w:t>2</w:t>
      </w:r>
      <w:r w:rsidR="0031468F" w:rsidRPr="0035681C">
        <w:rPr>
          <w:rFonts w:ascii="Times New Roman" w:hAnsi="Times New Roman"/>
          <w:b/>
          <w:sz w:val="24"/>
          <w:szCs w:val="24"/>
          <w:lang w:val="sq-AL"/>
        </w:rPr>
        <w:t xml:space="preserve"> kërkesa</w:t>
      </w:r>
      <w:r w:rsidR="0031468F" w:rsidRPr="00083CEB">
        <w:rPr>
          <w:rFonts w:ascii="Times New Roman" w:hAnsi="Times New Roman"/>
          <w:sz w:val="24"/>
          <w:szCs w:val="24"/>
          <w:lang w:val="sq-AL"/>
        </w:rPr>
        <w:t xml:space="preserve"> kanë kaluar për shqyrtim paraprak në Mbledhjen e Gjyqtarëve</w:t>
      </w:r>
      <w:r w:rsidR="00DD1C22" w:rsidRPr="00083CEB">
        <w:rPr>
          <w:rFonts w:ascii="Times New Roman" w:hAnsi="Times New Roman"/>
          <w:sz w:val="24"/>
          <w:szCs w:val="24"/>
          <w:lang w:val="sq-AL"/>
        </w:rPr>
        <w:t>;</w:t>
      </w:r>
    </w:p>
    <w:p w:rsidR="00D74C99" w:rsidRPr="00083CEB" w:rsidRDefault="0035681C" w:rsidP="00CE6BE7">
      <w:pPr>
        <w:numPr>
          <w:ilvl w:val="4"/>
          <w:numId w:val="4"/>
        </w:numPr>
        <w:spacing w:line="360" w:lineRule="auto"/>
        <w:ind w:left="1080" w:firstLine="0"/>
        <w:jc w:val="both"/>
        <w:rPr>
          <w:rFonts w:ascii="Times New Roman" w:hAnsi="Times New Roman"/>
          <w:sz w:val="24"/>
          <w:szCs w:val="24"/>
          <w:lang w:val="sq-AL"/>
        </w:rPr>
      </w:pPr>
      <w:r w:rsidRPr="0035681C">
        <w:rPr>
          <w:rFonts w:ascii="Times New Roman" w:hAnsi="Times New Roman"/>
          <w:sz w:val="24"/>
          <w:szCs w:val="24"/>
          <w:lang w:val="sq-AL"/>
        </w:rPr>
        <w:t>P</w:t>
      </w:r>
      <w:r w:rsidRPr="0035681C">
        <w:rPr>
          <w:rFonts w:ascii="Times New Roman" w:hAnsi="Times New Roman" w:cs="Times New Roman"/>
          <w:sz w:val="24"/>
          <w:szCs w:val="24"/>
          <w:lang w:val="sq-AL"/>
        </w:rPr>
        <w:t>ër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048C6" w:rsidRPr="0035681C">
        <w:rPr>
          <w:rFonts w:ascii="Times New Roman" w:hAnsi="Times New Roman"/>
          <w:b/>
          <w:sz w:val="24"/>
          <w:szCs w:val="24"/>
          <w:lang w:val="sq-AL"/>
        </w:rPr>
        <w:t>5</w:t>
      </w:r>
      <w:r w:rsidR="00083CEB" w:rsidRPr="0035681C">
        <w:rPr>
          <w:rFonts w:ascii="Times New Roman" w:hAnsi="Times New Roman"/>
          <w:b/>
          <w:sz w:val="24"/>
          <w:szCs w:val="24"/>
          <w:lang w:val="sq-AL"/>
        </w:rPr>
        <w:t>4</w:t>
      </w:r>
      <w:r w:rsidRPr="0035681C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D74C99" w:rsidRPr="0035681C">
        <w:rPr>
          <w:rFonts w:ascii="Times New Roman" w:hAnsi="Times New Roman"/>
          <w:b/>
          <w:sz w:val="24"/>
          <w:szCs w:val="24"/>
          <w:lang w:val="sq-AL"/>
        </w:rPr>
        <w:t>kërkesa</w:t>
      </w:r>
      <w:r w:rsidR="00D74C99" w:rsidRPr="00083CEB">
        <w:rPr>
          <w:rFonts w:ascii="Times New Roman" w:hAnsi="Times New Roman"/>
          <w:sz w:val="24"/>
          <w:szCs w:val="24"/>
          <w:lang w:val="sq-AL"/>
        </w:rPr>
        <w:t xml:space="preserve"> është marrë vendim </w:t>
      </w:r>
      <w:proofErr w:type="spellStart"/>
      <w:r w:rsidR="00D74C99" w:rsidRPr="00083CEB">
        <w:rPr>
          <w:rFonts w:ascii="Times New Roman" w:hAnsi="Times New Roman"/>
          <w:sz w:val="24"/>
          <w:szCs w:val="24"/>
          <w:lang w:val="sq-AL"/>
        </w:rPr>
        <w:t>moskalimi</w:t>
      </w:r>
      <w:proofErr w:type="spellEnd"/>
      <w:r w:rsidR="008D4092" w:rsidRPr="00083CEB">
        <w:rPr>
          <w:rFonts w:ascii="Times New Roman" w:hAnsi="Times New Roman"/>
          <w:sz w:val="24"/>
          <w:szCs w:val="24"/>
          <w:lang w:val="sq-AL"/>
        </w:rPr>
        <w:t>;</w:t>
      </w:r>
    </w:p>
    <w:p w:rsidR="00CE6BE7" w:rsidRPr="00083CEB" w:rsidRDefault="00083CEB" w:rsidP="00CE6BE7">
      <w:pPr>
        <w:numPr>
          <w:ilvl w:val="4"/>
          <w:numId w:val="4"/>
        </w:numPr>
        <w:spacing w:line="360" w:lineRule="auto"/>
        <w:ind w:left="1080" w:firstLine="0"/>
        <w:jc w:val="both"/>
        <w:rPr>
          <w:rFonts w:ascii="Times New Roman" w:hAnsi="Times New Roman"/>
          <w:sz w:val="24"/>
          <w:szCs w:val="24"/>
          <w:lang w:val="sq-AL"/>
        </w:rPr>
      </w:pPr>
      <w:r w:rsidRPr="00083CEB">
        <w:rPr>
          <w:rFonts w:ascii="Times New Roman" w:hAnsi="Times New Roman"/>
          <w:sz w:val="24"/>
          <w:szCs w:val="24"/>
          <w:lang w:val="sq-AL"/>
        </w:rPr>
        <w:t>30</w:t>
      </w:r>
      <w:r w:rsidR="004A1F86" w:rsidRPr="00083CE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1468F" w:rsidRPr="00083CEB">
        <w:rPr>
          <w:rFonts w:ascii="Times New Roman" w:hAnsi="Times New Roman"/>
          <w:sz w:val="24"/>
          <w:szCs w:val="24"/>
          <w:lang w:val="sq-AL"/>
        </w:rPr>
        <w:t xml:space="preserve">kërkesa </w:t>
      </w:r>
      <w:r w:rsidR="00CE6BE7" w:rsidRPr="00083CEB">
        <w:rPr>
          <w:rFonts w:ascii="Times New Roman" w:hAnsi="Times New Roman"/>
          <w:sz w:val="24"/>
          <w:szCs w:val="24"/>
          <w:lang w:val="sq-AL"/>
        </w:rPr>
        <w:t>janë në fazën e shqyrtimit paraprak nga Kolegjet e Gjykatës Kushtetuese</w:t>
      </w:r>
      <w:r w:rsidR="00DD1C22" w:rsidRPr="00083CEB">
        <w:rPr>
          <w:rFonts w:ascii="Times New Roman" w:hAnsi="Times New Roman"/>
          <w:sz w:val="24"/>
          <w:szCs w:val="24"/>
          <w:lang w:val="sq-AL"/>
        </w:rPr>
        <w:t>;</w:t>
      </w:r>
      <w:r w:rsidR="00534894" w:rsidRPr="00083CEB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45089A" w:rsidRPr="00955D1C" w:rsidRDefault="0045089A" w:rsidP="00534894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D5E58" w:rsidRDefault="00BD5E58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</w:p>
    <w:p w:rsidR="00BD5E58" w:rsidRDefault="00BD5E58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</w:p>
    <w:p w:rsidR="00BD5E58" w:rsidRDefault="00BD5E58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</w:p>
    <w:p w:rsidR="000F0C48" w:rsidRPr="000E1140" w:rsidRDefault="000E1140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  <w:r w:rsidRPr="000E1140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lastRenderedPageBreak/>
        <w:t>KËRKESAT DREJTUAR GJYKATËS KUSHTETUESE</w:t>
      </w:r>
      <w:r w:rsidR="009D3325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 xml:space="preserve"> GJATË </w:t>
      </w:r>
      <w:r w:rsidR="007920BD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>VITI</w:t>
      </w:r>
      <w:r w:rsidR="00735642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>T</w:t>
      </w:r>
      <w:r w:rsidR="007920BD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 xml:space="preserve"> 2020</w:t>
      </w:r>
    </w:p>
    <w:p w:rsidR="000E1140" w:rsidRDefault="000E1140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  <w:r w:rsidRPr="000E1140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>(sipas nenit 27 të ligjit nr.8577/2000, të ndryshuar</w:t>
      </w:r>
      <w:r w:rsidR="00C62400" w:rsidRPr="00C6240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62400" w:rsidRPr="00C62400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>me ligjin nr.99/2016</w:t>
      </w:r>
      <w:r w:rsidRPr="000E1140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>)</w:t>
      </w:r>
    </w:p>
    <w:p w:rsidR="0055112A" w:rsidRPr="000E1140" w:rsidRDefault="0055112A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</w:p>
    <w:p w:rsidR="000422A3" w:rsidRPr="00955D1C" w:rsidRDefault="00F733E9" w:rsidP="0042046E">
      <w:pPr>
        <w:shd w:val="clear" w:color="auto" w:fill="D5DCE4" w:themeFill="text2" w:themeFillTint="33"/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Gjat</w:t>
      </w:r>
      <w:r w:rsidRPr="00F733E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7889">
        <w:rPr>
          <w:rFonts w:ascii="Times New Roman" w:hAnsi="Times New Roman"/>
          <w:sz w:val="24"/>
          <w:szCs w:val="24"/>
          <w:lang w:val="sq-AL"/>
        </w:rPr>
        <w:t xml:space="preserve"> vitit 2020</w:t>
      </w:r>
      <w:r w:rsidR="000422A3" w:rsidRPr="00955D1C">
        <w:rPr>
          <w:rFonts w:ascii="Times New Roman" w:hAnsi="Times New Roman"/>
          <w:sz w:val="24"/>
          <w:szCs w:val="24"/>
          <w:lang w:val="sq-AL"/>
        </w:rPr>
        <w:t xml:space="preserve">, në Gjykatën Kushtetuese të Republikës së Shqipërisë janë paraqitur dhe regjistruar në total </w:t>
      </w:r>
      <w:r w:rsidR="001F20C7">
        <w:rPr>
          <w:rFonts w:ascii="Times New Roman" w:hAnsi="Times New Roman"/>
          <w:b/>
          <w:sz w:val="24"/>
          <w:szCs w:val="24"/>
          <w:lang w:val="sq-AL"/>
        </w:rPr>
        <w:t>9</w:t>
      </w:r>
      <w:r>
        <w:rPr>
          <w:rFonts w:ascii="Times New Roman" w:hAnsi="Times New Roman"/>
          <w:b/>
          <w:sz w:val="24"/>
          <w:szCs w:val="24"/>
          <w:lang w:val="sq-AL"/>
        </w:rPr>
        <w:t>9</w:t>
      </w:r>
      <w:r w:rsidR="001F20C7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hAnsi="Times New Roman"/>
          <w:b/>
          <w:sz w:val="24"/>
          <w:szCs w:val="24"/>
          <w:lang w:val="sq-AL"/>
        </w:rPr>
        <w:t>kërkesa</w:t>
      </w:r>
      <w:r w:rsidR="000422A3" w:rsidRPr="00955D1C">
        <w:rPr>
          <w:rFonts w:ascii="Times New Roman" w:hAnsi="Times New Roman"/>
          <w:sz w:val="24"/>
          <w:szCs w:val="24"/>
          <w:lang w:val="sq-AL"/>
        </w:rPr>
        <w:t xml:space="preserve">, nga të cilat: </w:t>
      </w:r>
    </w:p>
    <w:p w:rsidR="00113F65" w:rsidRPr="00DD1C22" w:rsidRDefault="000422A3" w:rsidP="00113F65">
      <w:pPr>
        <w:tabs>
          <w:tab w:val="left" w:pos="720"/>
        </w:tabs>
        <w:spacing w:line="360" w:lineRule="auto"/>
        <w:ind w:left="810" w:hanging="81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8E0C88">
        <w:rPr>
          <w:rFonts w:ascii="Times New Roman" w:eastAsia="Times New Roman" w:hAnsi="Times New Roman"/>
          <w:color w:val="FF0000"/>
          <w:w w:val="95"/>
          <w:sz w:val="24"/>
          <w:szCs w:val="24"/>
          <w:lang w:val="sq-AL"/>
        </w:rPr>
        <w:tab/>
      </w:r>
      <w:r w:rsidR="00113F65" w:rsidRPr="00DD1C22">
        <w:rPr>
          <w:rFonts w:ascii="Times New Roman" w:eastAsia="Times New Roman" w:hAnsi="Times New Roman"/>
          <w:w w:val="95"/>
          <w:sz w:val="24"/>
          <w:szCs w:val="24"/>
          <w:lang w:val="sq-AL"/>
        </w:rPr>
        <w:t xml:space="preserve">- </w:t>
      </w:r>
      <w:r w:rsidR="00113F65">
        <w:rPr>
          <w:rFonts w:ascii="Times New Roman" w:hAnsi="Times New Roman"/>
          <w:b/>
          <w:sz w:val="24"/>
          <w:szCs w:val="24"/>
          <w:lang w:val="sq-AL"/>
        </w:rPr>
        <w:t>34</w:t>
      </w:r>
      <w:r w:rsidR="00113F65" w:rsidRPr="00DD1C22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113F65" w:rsidRPr="00DD1C22">
        <w:rPr>
          <w:rFonts w:ascii="Times New Roman" w:hAnsi="Times New Roman"/>
          <w:sz w:val="24"/>
          <w:szCs w:val="24"/>
          <w:lang w:val="sq-AL"/>
        </w:rPr>
        <w:t xml:space="preserve">kërkesa janë paraqitur nga </w:t>
      </w:r>
      <w:r w:rsidR="00113F65" w:rsidRPr="00DD1C22">
        <w:rPr>
          <w:rFonts w:ascii="Times New Roman" w:hAnsi="Times New Roman"/>
          <w:spacing w:val="-1"/>
          <w:sz w:val="24"/>
          <w:szCs w:val="24"/>
          <w:lang w:val="sq-AL"/>
        </w:rPr>
        <w:t xml:space="preserve">subjekte për </w:t>
      </w:r>
      <w:r w:rsidR="00113F65" w:rsidRPr="00DD1C22">
        <w:rPr>
          <w:rFonts w:ascii="Times New Roman" w:hAnsi="Times New Roman"/>
          <w:b/>
          <w:i/>
          <w:sz w:val="24"/>
          <w:szCs w:val="24"/>
          <w:lang w:val="sq-AL"/>
        </w:rPr>
        <w:t xml:space="preserve">proces </w:t>
      </w:r>
      <w:r w:rsidR="00113F65" w:rsidRPr="00DD1C22">
        <w:rPr>
          <w:rFonts w:ascii="Times New Roman" w:hAnsi="Times New Roman"/>
          <w:b/>
          <w:i/>
          <w:spacing w:val="1"/>
          <w:sz w:val="24"/>
          <w:szCs w:val="24"/>
          <w:lang w:val="sq-AL"/>
        </w:rPr>
        <w:t xml:space="preserve">të </w:t>
      </w:r>
      <w:r w:rsidR="00113F65" w:rsidRPr="00DD1C22">
        <w:rPr>
          <w:rFonts w:ascii="Times New Roman" w:hAnsi="Times New Roman"/>
          <w:b/>
          <w:i/>
          <w:spacing w:val="-1"/>
          <w:sz w:val="24"/>
          <w:szCs w:val="24"/>
          <w:lang w:val="sq-AL"/>
        </w:rPr>
        <w:t>parregullt (kundërshtim vendimeve të gjykatave të zakonshme)</w:t>
      </w:r>
      <w:r w:rsidR="00113F65" w:rsidRPr="00DD1C22">
        <w:rPr>
          <w:rFonts w:ascii="Times New Roman" w:hAnsi="Times New Roman"/>
          <w:spacing w:val="-1"/>
          <w:sz w:val="24"/>
          <w:szCs w:val="24"/>
          <w:lang w:val="sq-AL"/>
        </w:rPr>
        <w:t>;</w:t>
      </w:r>
    </w:p>
    <w:p w:rsidR="00113F65" w:rsidRPr="00DD1C22" w:rsidRDefault="00113F65" w:rsidP="00113F65">
      <w:pPr>
        <w:tabs>
          <w:tab w:val="left" w:pos="1080"/>
        </w:tabs>
        <w:spacing w:line="360" w:lineRule="auto"/>
        <w:ind w:left="720" w:right="-2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DD1C2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>23</w:t>
      </w:r>
      <w:r w:rsidRPr="00DD1C22">
        <w:rPr>
          <w:rFonts w:ascii="Times New Roman" w:eastAsia="Times New Roman" w:hAnsi="Times New Roman"/>
          <w:sz w:val="24"/>
          <w:szCs w:val="24"/>
          <w:lang w:val="sq-AL"/>
        </w:rPr>
        <w:t xml:space="preserve"> kërkesa janë paraqitur për </w:t>
      </w:r>
      <w:r w:rsidRPr="00DD1C22">
        <w:rPr>
          <w:rFonts w:ascii="Times New Roman" w:eastAsia="Times New Roman" w:hAnsi="Times New Roman"/>
          <w:b/>
          <w:i/>
          <w:sz w:val="24"/>
          <w:szCs w:val="24"/>
          <w:lang w:val="sq-AL"/>
        </w:rPr>
        <w:t>konstatim të cenimit të së drejtës për një proces të rregullt ligjor</w:t>
      </w:r>
      <w:r w:rsidRPr="00DD1C22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:rsidR="00113F65" w:rsidRPr="00DD1C22" w:rsidRDefault="00113F65" w:rsidP="00113F65">
      <w:pPr>
        <w:pStyle w:val="BodyText"/>
        <w:tabs>
          <w:tab w:val="left" w:pos="1040"/>
        </w:tabs>
        <w:spacing w:before="0" w:line="360" w:lineRule="auto"/>
        <w:ind w:left="720" w:right="10" w:firstLine="0"/>
        <w:jc w:val="both"/>
        <w:rPr>
          <w:lang w:val="sq-AL"/>
        </w:rPr>
      </w:pPr>
      <w:bookmarkStart w:id="1" w:name="_bookmark0"/>
      <w:bookmarkEnd w:id="1"/>
      <w:r w:rsidRPr="00DD1C22">
        <w:rPr>
          <w:b/>
          <w:lang w:val="sq-AL"/>
        </w:rPr>
        <w:t xml:space="preserve">- </w:t>
      </w:r>
      <w:r>
        <w:rPr>
          <w:b/>
          <w:lang w:val="sq-AL"/>
        </w:rPr>
        <w:t>20</w:t>
      </w:r>
      <w:r w:rsidRPr="00DD1C22">
        <w:rPr>
          <w:b/>
          <w:lang w:val="sq-AL"/>
        </w:rPr>
        <w:t xml:space="preserve"> </w:t>
      </w:r>
      <w:r w:rsidRPr="00DD1C22">
        <w:rPr>
          <w:spacing w:val="-1"/>
          <w:lang w:val="sq-AL"/>
        </w:rPr>
        <w:t xml:space="preserve">kërkesa </w:t>
      </w:r>
      <w:r w:rsidRPr="00DD1C22">
        <w:rPr>
          <w:lang w:val="sq-AL"/>
        </w:rPr>
        <w:t xml:space="preserve">janë paraqitur </w:t>
      </w:r>
      <w:r w:rsidRPr="00DD1C22">
        <w:rPr>
          <w:spacing w:val="-1"/>
          <w:lang w:val="sq-AL"/>
        </w:rPr>
        <w:t xml:space="preserve">për papajtueshmëri </w:t>
      </w:r>
      <w:r w:rsidRPr="00DD1C22">
        <w:rPr>
          <w:lang w:val="sq-AL"/>
        </w:rPr>
        <w:t xml:space="preserve">të </w:t>
      </w:r>
      <w:r w:rsidRPr="00DD1C22">
        <w:rPr>
          <w:b/>
          <w:i/>
          <w:spacing w:val="-1"/>
          <w:lang w:val="sq-AL"/>
        </w:rPr>
        <w:t xml:space="preserve">ligjeve </w:t>
      </w:r>
      <w:r w:rsidRPr="00DD1C22">
        <w:rPr>
          <w:lang w:val="sq-AL"/>
        </w:rPr>
        <w:t>(</w:t>
      </w:r>
      <w:r w:rsidRPr="00DD1C22">
        <w:rPr>
          <w:b/>
          <w:i/>
          <w:lang w:val="sq-AL"/>
        </w:rPr>
        <w:t xml:space="preserve">apo dispozitave të </w:t>
      </w:r>
      <w:r w:rsidRPr="00DD1C22">
        <w:rPr>
          <w:b/>
          <w:i/>
          <w:spacing w:val="-1"/>
          <w:lang w:val="sq-AL"/>
        </w:rPr>
        <w:t xml:space="preserve">veçanta </w:t>
      </w:r>
      <w:r w:rsidRPr="00DD1C22">
        <w:rPr>
          <w:b/>
          <w:i/>
          <w:spacing w:val="1"/>
          <w:lang w:val="sq-AL"/>
        </w:rPr>
        <w:t>të</w:t>
      </w:r>
      <w:r w:rsidRPr="00DD1C22">
        <w:rPr>
          <w:b/>
          <w:i/>
          <w:spacing w:val="-1"/>
          <w:lang w:val="sq-AL"/>
        </w:rPr>
        <w:t xml:space="preserve"> tyre) </w:t>
      </w:r>
      <w:r w:rsidRPr="00DD1C22">
        <w:rPr>
          <w:lang w:val="sq-AL"/>
        </w:rPr>
        <w:t xml:space="preserve">me </w:t>
      </w:r>
      <w:r w:rsidRPr="00DD1C22">
        <w:rPr>
          <w:spacing w:val="-1"/>
          <w:lang w:val="sq-AL"/>
        </w:rPr>
        <w:t>Kushtetutën;</w:t>
      </w:r>
    </w:p>
    <w:p w:rsidR="00113F65" w:rsidRPr="00DD1C22" w:rsidRDefault="00113F65" w:rsidP="00113F65">
      <w:pPr>
        <w:pStyle w:val="BodyText"/>
        <w:numPr>
          <w:ilvl w:val="0"/>
          <w:numId w:val="1"/>
        </w:numPr>
        <w:tabs>
          <w:tab w:val="left" w:pos="980"/>
        </w:tabs>
        <w:spacing w:before="0" w:line="360" w:lineRule="auto"/>
        <w:ind w:left="810" w:hanging="139"/>
        <w:jc w:val="both"/>
        <w:rPr>
          <w:b/>
          <w:i/>
          <w:lang w:val="sq-AL"/>
        </w:rPr>
      </w:pPr>
      <w:r>
        <w:rPr>
          <w:b/>
          <w:lang w:val="sq-AL"/>
        </w:rPr>
        <w:t>3</w:t>
      </w:r>
      <w:r w:rsidRPr="00DD1C22">
        <w:rPr>
          <w:b/>
          <w:lang w:val="sq-AL"/>
        </w:rPr>
        <w:t xml:space="preserve"> </w:t>
      </w:r>
      <w:r>
        <w:rPr>
          <w:spacing w:val="-1"/>
          <w:lang w:val="sq-AL"/>
        </w:rPr>
        <w:t>kërkesa jan</w:t>
      </w:r>
      <w:r w:rsidRPr="00113F65">
        <w:rPr>
          <w:rFonts w:cs="Times New Roman"/>
          <w:spacing w:val="-1"/>
          <w:lang w:val="sq-AL"/>
        </w:rPr>
        <w:t>ë</w:t>
      </w:r>
      <w:r>
        <w:rPr>
          <w:rFonts w:cs="Times New Roman"/>
          <w:spacing w:val="-1"/>
          <w:lang w:val="sq-AL"/>
        </w:rPr>
        <w:t xml:space="preserve"> </w:t>
      </w:r>
      <w:r w:rsidRPr="00DD1C22">
        <w:rPr>
          <w:spacing w:val="-1"/>
          <w:lang w:val="sq-AL"/>
        </w:rPr>
        <w:t xml:space="preserve">paraqitur për </w:t>
      </w:r>
      <w:r w:rsidR="00C62400">
        <w:rPr>
          <w:b/>
          <w:i/>
          <w:spacing w:val="-1"/>
          <w:lang w:val="sq-AL"/>
        </w:rPr>
        <w:t>v</w:t>
      </w:r>
      <w:r w:rsidRPr="00DD1C22">
        <w:rPr>
          <w:b/>
          <w:i/>
          <w:spacing w:val="-1"/>
          <w:lang w:val="sq-AL"/>
        </w:rPr>
        <w:t>endime të Këshillit të Ministrave</w:t>
      </w:r>
      <w:r w:rsidRPr="00DD1C22">
        <w:rPr>
          <w:lang w:val="sq-AL"/>
        </w:rPr>
        <w:t>;</w:t>
      </w:r>
    </w:p>
    <w:p w:rsidR="00113F65" w:rsidRPr="00DD1C22" w:rsidRDefault="00113F65" w:rsidP="00113F65">
      <w:pPr>
        <w:pStyle w:val="BodyText"/>
        <w:numPr>
          <w:ilvl w:val="0"/>
          <w:numId w:val="1"/>
        </w:numPr>
        <w:tabs>
          <w:tab w:val="left" w:pos="980"/>
        </w:tabs>
        <w:spacing w:before="0" w:line="360" w:lineRule="auto"/>
        <w:ind w:left="810" w:hanging="139"/>
        <w:jc w:val="both"/>
        <w:rPr>
          <w:b/>
          <w:i/>
          <w:lang w:val="sq-AL"/>
        </w:rPr>
      </w:pPr>
      <w:r w:rsidRPr="00DD1C22">
        <w:rPr>
          <w:b/>
          <w:lang w:val="sq-AL"/>
        </w:rPr>
        <w:t xml:space="preserve">3 </w:t>
      </w:r>
      <w:r>
        <w:rPr>
          <w:spacing w:val="-1"/>
          <w:lang w:val="sq-AL"/>
        </w:rPr>
        <w:t>kërkesa jan</w:t>
      </w:r>
      <w:r w:rsidRPr="00DD1C22">
        <w:rPr>
          <w:lang w:val="sq-AL"/>
        </w:rPr>
        <w:t xml:space="preserve">ë paraqitur </w:t>
      </w:r>
      <w:r w:rsidRPr="00DD1C22">
        <w:rPr>
          <w:spacing w:val="-1"/>
          <w:lang w:val="sq-AL"/>
        </w:rPr>
        <w:t>për</w:t>
      </w:r>
      <w:r w:rsidRPr="00DD1C22">
        <w:rPr>
          <w:lang w:val="sq-AL"/>
        </w:rPr>
        <w:t xml:space="preserve"> kundërshtim </w:t>
      </w:r>
      <w:r w:rsidR="00C62400">
        <w:rPr>
          <w:b/>
          <w:i/>
          <w:lang w:val="sq-AL"/>
        </w:rPr>
        <w:t>v</w:t>
      </w:r>
      <w:r w:rsidRPr="00DD1C22">
        <w:rPr>
          <w:b/>
          <w:i/>
          <w:lang w:val="sq-AL"/>
        </w:rPr>
        <w:t>endimi të Kuvendit të Republikës së Shqipërisë</w:t>
      </w:r>
      <w:r w:rsidRPr="00DD1C22">
        <w:rPr>
          <w:lang w:val="sq-AL"/>
        </w:rPr>
        <w:t>;</w:t>
      </w:r>
    </w:p>
    <w:p w:rsidR="00113F65" w:rsidRPr="00C62400" w:rsidRDefault="00113F65" w:rsidP="00113F65">
      <w:pPr>
        <w:tabs>
          <w:tab w:val="left" w:pos="1080"/>
        </w:tabs>
        <w:spacing w:line="360" w:lineRule="auto"/>
        <w:ind w:left="720" w:right="10"/>
        <w:jc w:val="both"/>
        <w:rPr>
          <w:rFonts w:ascii="Times New Roman" w:hAnsi="Times New Roman"/>
          <w:b/>
          <w:i/>
          <w:spacing w:val="-1"/>
          <w:sz w:val="24"/>
          <w:szCs w:val="24"/>
          <w:lang w:val="sq-AL"/>
        </w:rPr>
      </w:pPr>
      <w:r w:rsidRPr="00DD1C22">
        <w:rPr>
          <w:rFonts w:ascii="Times New Roman" w:hAnsi="Times New Roman"/>
          <w:b/>
          <w:sz w:val="24"/>
          <w:szCs w:val="24"/>
          <w:lang w:val="sq-AL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sq-AL"/>
        </w:rPr>
        <w:t>13</w:t>
      </w:r>
      <w:r w:rsidRPr="00DD1C22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DD1C22">
        <w:rPr>
          <w:rFonts w:ascii="Times New Roman" w:hAnsi="Times New Roman"/>
          <w:spacing w:val="-1"/>
          <w:sz w:val="24"/>
          <w:szCs w:val="24"/>
          <w:lang w:val="sq-AL"/>
        </w:rPr>
        <w:t xml:space="preserve">kërkesa </w:t>
      </w:r>
      <w:r w:rsidRPr="00DD1C22">
        <w:rPr>
          <w:rFonts w:ascii="Times New Roman" w:hAnsi="Times New Roman"/>
          <w:sz w:val="24"/>
          <w:szCs w:val="24"/>
          <w:lang w:val="sq-AL"/>
        </w:rPr>
        <w:t xml:space="preserve">janë paraqitur </w:t>
      </w:r>
      <w:r w:rsidRPr="00DD1C22">
        <w:rPr>
          <w:rFonts w:ascii="Times New Roman" w:hAnsi="Times New Roman"/>
          <w:spacing w:val="-1"/>
          <w:sz w:val="24"/>
          <w:szCs w:val="24"/>
          <w:lang w:val="sq-AL"/>
        </w:rPr>
        <w:t>për</w:t>
      </w:r>
      <w:r w:rsidRPr="00DD1C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C62400">
        <w:rPr>
          <w:rFonts w:ascii="Times New Roman" w:hAnsi="Times New Roman"/>
          <w:b/>
          <w:i/>
          <w:sz w:val="24"/>
          <w:szCs w:val="24"/>
          <w:lang w:val="sq-AL"/>
        </w:rPr>
        <w:t xml:space="preserve">kundërshtim/ rishikim të </w:t>
      </w:r>
      <w:r w:rsidR="00C62400">
        <w:rPr>
          <w:rFonts w:ascii="Times New Roman" w:hAnsi="Times New Roman"/>
          <w:b/>
          <w:i/>
          <w:sz w:val="24"/>
          <w:szCs w:val="24"/>
          <w:lang w:val="sq-AL"/>
        </w:rPr>
        <w:t>v</w:t>
      </w:r>
      <w:r w:rsidRPr="00C62400">
        <w:rPr>
          <w:rFonts w:ascii="Times New Roman" w:hAnsi="Times New Roman"/>
          <w:b/>
          <w:i/>
          <w:sz w:val="24"/>
          <w:szCs w:val="24"/>
          <w:lang w:val="sq-AL"/>
        </w:rPr>
        <w:t>endimeve të Gjykatës Kushtetuese</w:t>
      </w:r>
      <w:r w:rsidRPr="00C62400">
        <w:rPr>
          <w:rFonts w:ascii="Times New Roman" w:hAnsi="Times New Roman"/>
          <w:b/>
          <w:i/>
          <w:spacing w:val="-1"/>
          <w:sz w:val="24"/>
          <w:szCs w:val="24"/>
          <w:lang w:val="sq-AL"/>
        </w:rPr>
        <w:t>.</w:t>
      </w:r>
    </w:p>
    <w:p w:rsidR="00113F65" w:rsidRDefault="00113F65" w:rsidP="00113F65">
      <w:pPr>
        <w:tabs>
          <w:tab w:val="left" w:pos="1080"/>
        </w:tabs>
        <w:spacing w:line="360" w:lineRule="auto"/>
        <w:ind w:left="720" w:right="10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- 1 </w:t>
      </w:r>
      <w:r w:rsidRPr="00113F65">
        <w:rPr>
          <w:rFonts w:ascii="Times New Roman" w:hAnsi="Times New Roman"/>
          <w:sz w:val="24"/>
          <w:szCs w:val="24"/>
          <w:lang w:val="sq-AL"/>
        </w:rPr>
        <w:t>k</w:t>
      </w:r>
      <w:r w:rsidRPr="00113F65">
        <w:rPr>
          <w:rFonts w:ascii="Times New Roman" w:hAnsi="Times New Roman" w:cs="Times New Roman"/>
          <w:sz w:val="24"/>
          <w:szCs w:val="24"/>
          <w:lang w:val="sq-AL"/>
        </w:rPr>
        <w:t xml:space="preserve">ërkesë është paraqitur për kundërshtim </w:t>
      </w:r>
      <w:r w:rsidR="00C62400" w:rsidRPr="00C62400">
        <w:rPr>
          <w:rFonts w:ascii="Times New Roman" w:hAnsi="Times New Roman" w:cs="Times New Roman"/>
          <w:b/>
          <w:i/>
          <w:sz w:val="24"/>
          <w:szCs w:val="24"/>
          <w:lang w:val="sq-AL"/>
        </w:rPr>
        <w:t>U</w:t>
      </w:r>
      <w:r w:rsidRPr="00C62400">
        <w:rPr>
          <w:rFonts w:ascii="Times New Roman" w:hAnsi="Times New Roman" w:cs="Times New Roman"/>
          <w:b/>
          <w:i/>
          <w:sz w:val="24"/>
          <w:szCs w:val="24"/>
          <w:lang w:val="sq-AL"/>
        </w:rPr>
        <w:t>rdhri Ministri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113F65" w:rsidRPr="00DD1C22" w:rsidRDefault="00113F65" w:rsidP="00113F65">
      <w:pPr>
        <w:tabs>
          <w:tab w:val="left" w:pos="1080"/>
        </w:tabs>
        <w:spacing w:line="360" w:lineRule="auto"/>
        <w:ind w:left="720" w:right="1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- 2 </w:t>
      </w:r>
      <w:r w:rsidRPr="00F7316B">
        <w:rPr>
          <w:rFonts w:ascii="Times New Roman" w:hAnsi="Times New Roman"/>
          <w:sz w:val="24"/>
          <w:szCs w:val="24"/>
          <w:lang w:val="sq-AL"/>
        </w:rPr>
        <w:t xml:space="preserve">Kërkesa janë për kundërshtim të </w:t>
      </w:r>
      <w:r w:rsidRPr="00C62400">
        <w:rPr>
          <w:rFonts w:ascii="Times New Roman" w:hAnsi="Times New Roman"/>
          <w:b/>
          <w:i/>
          <w:sz w:val="24"/>
          <w:szCs w:val="24"/>
          <w:lang w:val="sq-AL"/>
        </w:rPr>
        <w:t>vendimeve të Këshillit të Lartë Gjyqësor</w:t>
      </w:r>
      <w:r w:rsidR="00C62400">
        <w:rPr>
          <w:rFonts w:ascii="Times New Roman" w:hAnsi="Times New Roman"/>
          <w:b/>
          <w:i/>
          <w:sz w:val="24"/>
          <w:szCs w:val="24"/>
          <w:lang w:val="sq-AL"/>
        </w:rPr>
        <w:t>.</w:t>
      </w:r>
    </w:p>
    <w:p w:rsidR="00037583" w:rsidRPr="00DD1C22" w:rsidRDefault="00037583" w:rsidP="00113F65">
      <w:pPr>
        <w:tabs>
          <w:tab w:val="left" w:pos="720"/>
        </w:tabs>
        <w:spacing w:line="360" w:lineRule="auto"/>
        <w:ind w:left="810" w:hanging="81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0422A3" w:rsidRPr="00D21097" w:rsidRDefault="00C62400" w:rsidP="000422A3">
      <w:pPr>
        <w:spacing w:line="360" w:lineRule="auto"/>
        <w:rPr>
          <w:rFonts w:ascii="Times New Roman" w:hAnsi="Times New Roman"/>
          <w:color w:val="FF0000"/>
          <w:lang w:val="sq-AL"/>
        </w:rPr>
      </w:pPr>
      <w:r w:rsidRPr="00955D1C">
        <w:rPr>
          <w:rFonts w:ascii="Times New Roman" w:eastAsia="Times New Roman" w:hAnsi="Times New Roman"/>
          <w:noProof/>
        </w:rPr>
        <w:lastRenderedPageBreak/>
        <w:drawing>
          <wp:inline distT="0" distB="0" distL="0" distR="0" wp14:anchorId="3A9E68DD" wp14:editId="6A29C31E">
            <wp:extent cx="5868238" cy="4752924"/>
            <wp:effectExtent l="0" t="0" r="18415" b="1016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22A3" w:rsidRPr="00955D1C" w:rsidRDefault="000422A3" w:rsidP="000422A3">
      <w:pPr>
        <w:spacing w:line="360" w:lineRule="auto"/>
        <w:rPr>
          <w:rFonts w:ascii="Times New Roman" w:hAnsi="Times New Roman"/>
          <w:lang w:val="sq-AL"/>
        </w:rPr>
      </w:pPr>
    </w:p>
    <w:p w:rsidR="000422A3" w:rsidRPr="00955D1C" w:rsidRDefault="000422A3" w:rsidP="000422A3">
      <w:pPr>
        <w:spacing w:line="360" w:lineRule="auto"/>
        <w:rPr>
          <w:rFonts w:ascii="Times New Roman" w:hAnsi="Times New Roman"/>
          <w:lang w:val="sq-AL"/>
        </w:rPr>
      </w:pPr>
    </w:p>
    <w:p w:rsidR="000422A3" w:rsidRPr="00955D1C" w:rsidRDefault="001B1614" w:rsidP="001B1614">
      <w:pPr>
        <w:tabs>
          <w:tab w:val="left" w:pos="839"/>
        </w:tabs>
        <w:spacing w:line="360" w:lineRule="auto"/>
        <w:ind w:right="10" w:firstLine="45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27633C">
        <w:rPr>
          <w:rFonts w:ascii="Wingdings" w:eastAsia="Wingdings" w:hAnsi="Wingdings" w:cs="Wingdings"/>
          <w:color w:val="943634"/>
          <w:w w:val="95"/>
          <w:sz w:val="32"/>
          <w:szCs w:val="32"/>
          <w:lang w:val="sq-AL"/>
        </w:rPr>
        <w:t></w:t>
      </w:r>
      <w:r w:rsidR="000422A3" w:rsidRPr="00955D1C">
        <w:rPr>
          <w:rFonts w:ascii="Times New Roman" w:eastAsia="Times New Roman" w:hAnsi="Times New Roman"/>
          <w:color w:val="943634"/>
          <w:w w:val="95"/>
          <w:sz w:val="32"/>
          <w:szCs w:val="32"/>
          <w:lang w:val="sq-AL"/>
        </w:rPr>
        <w:tab/>
      </w:r>
      <w:r w:rsidR="000422A3" w:rsidRPr="00955D1C">
        <w:rPr>
          <w:rFonts w:ascii="Times New Roman" w:eastAsia="Times New Roman" w:hAnsi="Times New Roman"/>
          <w:spacing w:val="-1"/>
          <w:sz w:val="24"/>
          <w:szCs w:val="24"/>
          <w:lang w:val="sq-AL"/>
        </w:rPr>
        <w:t>Sipas</w:t>
      </w:r>
      <w:r w:rsidR="00016C0C" w:rsidRPr="00955D1C">
        <w:rPr>
          <w:rFonts w:ascii="Times New Roman" w:eastAsia="Times New Roman" w:hAnsi="Times New Roman"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subjekteve</w:t>
      </w:r>
      <w:r w:rsidR="00016C0C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që</w:t>
      </w:r>
      <w:r w:rsidR="00016C0C" w:rsidRPr="00955D1C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vënë</w:t>
      </w:r>
      <w:r w:rsidR="00016C0C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në</w:t>
      </w:r>
      <w:r w:rsidR="00016C0C" w:rsidRPr="00955D1C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lëvizje</w:t>
      </w:r>
      <w:r w:rsidR="00016C0C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Gjykatën</w:t>
      </w:r>
      <w:r w:rsidR="00016C0C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Kushtetuese</w:t>
      </w:r>
      <w:r w:rsidR="00016C0C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23"/>
          <w:sz w:val="24"/>
          <w:szCs w:val="24"/>
          <w:lang w:val="sq-AL"/>
        </w:rPr>
        <w:t>(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sipas</w:t>
      </w:r>
      <w:r w:rsidR="00325993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nenit</w:t>
      </w:r>
      <w:r w:rsidR="00016C0C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134</w:t>
      </w:r>
      <w:r w:rsidR="00016C0C" w:rsidRPr="00955D1C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të</w:t>
      </w:r>
      <w:r w:rsidR="00016C0C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42046E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Kushtetutës)</w:t>
      </w:r>
      <w:r w:rsidR="000422A3" w:rsidRPr="00955D1C">
        <w:rPr>
          <w:rFonts w:ascii="Times New Roman" w:eastAsia="Times New Roman" w:hAnsi="Times New Roman"/>
          <w:spacing w:val="-1"/>
          <w:sz w:val="24"/>
          <w:szCs w:val="24"/>
          <w:lang w:val="sq-AL"/>
        </w:rPr>
        <w:t>,</w:t>
      </w:r>
      <w:r w:rsidR="00016C0C" w:rsidRPr="00955D1C">
        <w:rPr>
          <w:rFonts w:ascii="Times New Roman" w:eastAsia="Times New Roman" w:hAnsi="Times New Roman"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spacing w:val="-1"/>
          <w:sz w:val="24"/>
          <w:szCs w:val="24"/>
          <w:lang w:val="sq-AL"/>
        </w:rPr>
        <w:t xml:space="preserve">gjatë </w:t>
      </w:r>
      <w:r w:rsidR="0035681C">
        <w:rPr>
          <w:rFonts w:ascii="Times New Roman" w:eastAsia="Times New Roman" w:hAnsi="Times New Roman"/>
          <w:sz w:val="24"/>
          <w:szCs w:val="24"/>
          <w:lang w:val="sq-AL"/>
        </w:rPr>
        <w:t xml:space="preserve">vitit </w:t>
      </w:r>
      <w:r w:rsidR="00B36129">
        <w:rPr>
          <w:rFonts w:ascii="Times New Roman" w:eastAsia="Times New Roman" w:hAnsi="Times New Roman"/>
          <w:sz w:val="24"/>
          <w:szCs w:val="24"/>
          <w:lang w:val="sq-AL"/>
        </w:rPr>
        <w:t>2020</w:t>
      </w:r>
      <w:r w:rsidR="00016C0C"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spacing w:val="-1"/>
          <w:sz w:val="24"/>
          <w:szCs w:val="24"/>
          <w:lang w:val="sq-AL"/>
        </w:rPr>
        <w:t>janë paraqitur:</w:t>
      </w:r>
    </w:p>
    <w:p w:rsidR="000422A3" w:rsidRPr="00DD1C22" w:rsidRDefault="00016C0C" w:rsidP="00016C0C">
      <w:pPr>
        <w:pStyle w:val="BodyText"/>
        <w:tabs>
          <w:tab w:val="left" w:pos="1220"/>
        </w:tabs>
        <w:spacing w:before="0" w:line="360" w:lineRule="auto"/>
        <w:ind w:right="10"/>
        <w:jc w:val="both"/>
        <w:rPr>
          <w:lang w:val="sq-AL"/>
        </w:rPr>
      </w:pPr>
      <w:r w:rsidRPr="00DD1C22">
        <w:rPr>
          <w:b/>
          <w:lang w:val="sq-AL"/>
        </w:rPr>
        <w:t xml:space="preserve">- 1 </w:t>
      </w:r>
      <w:r w:rsidR="000422A3" w:rsidRPr="00DD1C22">
        <w:rPr>
          <w:lang w:val="sq-AL"/>
        </w:rPr>
        <w:t>k</w:t>
      </w:r>
      <w:r w:rsidR="00BE02AB">
        <w:rPr>
          <w:spacing w:val="-1"/>
          <w:lang w:val="sq-AL"/>
        </w:rPr>
        <w:t>ërkes</w:t>
      </w:r>
      <w:r w:rsidR="00BE02AB" w:rsidRPr="00BE02AB">
        <w:rPr>
          <w:rFonts w:cs="Times New Roman"/>
          <w:spacing w:val="-1"/>
          <w:lang w:val="sq-AL"/>
        </w:rPr>
        <w:t>ë</w:t>
      </w:r>
      <w:r w:rsidR="00BE02AB">
        <w:rPr>
          <w:rFonts w:cs="Times New Roman"/>
          <w:spacing w:val="-1"/>
          <w:lang w:val="sq-AL"/>
        </w:rPr>
        <w:t xml:space="preserve"> </w:t>
      </w:r>
      <w:r w:rsidR="00BE02AB" w:rsidRPr="00BE02AB">
        <w:rPr>
          <w:rFonts w:cs="Times New Roman"/>
          <w:spacing w:val="-1"/>
          <w:lang w:val="sq-AL"/>
        </w:rPr>
        <w:t>ë</w:t>
      </w:r>
      <w:r w:rsidR="00BE02AB">
        <w:rPr>
          <w:rFonts w:cs="Times New Roman"/>
          <w:spacing w:val="-1"/>
          <w:lang w:val="sq-AL"/>
        </w:rPr>
        <w:t>sht</w:t>
      </w:r>
      <w:r w:rsidR="00BE02AB" w:rsidRPr="00BE02AB">
        <w:rPr>
          <w:rFonts w:cs="Times New Roman"/>
          <w:spacing w:val="-1"/>
          <w:lang w:val="sq-AL"/>
        </w:rPr>
        <w:t>ë</w:t>
      </w:r>
      <w:r w:rsidR="00BE02AB">
        <w:rPr>
          <w:rFonts w:cs="Times New Roman"/>
          <w:spacing w:val="-1"/>
          <w:lang w:val="sq-AL"/>
        </w:rPr>
        <w:t xml:space="preserve"> paraqitur </w:t>
      </w:r>
      <w:r w:rsidR="000422A3" w:rsidRPr="00DD1C22">
        <w:rPr>
          <w:spacing w:val="-1"/>
          <w:lang w:val="sq-AL"/>
        </w:rPr>
        <w:t>nga Presidenti i Republikës së Shqipërisë;</w:t>
      </w:r>
    </w:p>
    <w:p w:rsidR="000422A3" w:rsidRPr="00EF4D68" w:rsidRDefault="00E232F4" w:rsidP="00016C0C">
      <w:pPr>
        <w:pStyle w:val="BodyText"/>
        <w:tabs>
          <w:tab w:val="left" w:pos="1220"/>
        </w:tabs>
        <w:spacing w:before="0" w:line="360" w:lineRule="auto"/>
        <w:ind w:left="840" w:right="10" w:firstLine="0"/>
        <w:jc w:val="both"/>
        <w:rPr>
          <w:lang w:val="sq-AL"/>
        </w:rPr>
      </w:pPr>
      <w:r w:rsidRPr="00EF4D68">
        <w:rPr>
          <w:b/>
          <w:lang w:val="sq-AL"/>
        </w:rPr>
        <w:t xml:space="preserve"> </w:t>
      </w:r>
      <w:r w:rsidR="00016C0C" w:rsidRPr="00EF4D68">
        <w:rPr>
          <w:b/>
          <w:spacing w:val="-1"/>
          <w:lang w:val="sq-AL"/>
        </w:rPr>
        <w:t>-</w:t>
      </w:r>
      <w:r w:rsidR="00113F65" w:rsidRPr="00EF4D68">
        <w:rPr>
          <w:b/>
          <w:spacing w:val="-1"/>
          <w:lang w:val="sq-AL"/>
        </w:rPr>
        <w:t>10</w:t>
      </w:r>
      <w:r w:rsidR="000422A3" w:rsidRPr="00EF4D68">
        <w:rPr>
          <w:spacing w:val="-1"/>
          <w:lang w:val="sq-AL"/>
        </w:rPr>
        <w:t xml:space="preserve"> kërkesa</w:t>
      </w:r>
      <w:r w:rsidR="00BE02AB">
        <w:rPr>
          <w:spacing w:val="-1"/>
          <w:lang w:val="sq-AL"/>
        </w:rPr>
        <w:t xml:space="preserve"> jan</w:t>
      </w:r>
      <w:r w:rsidR="00BE02AB" w:rsidRPr="00BE02AB">
        <w:rPr>
          <w:rFonts w:cs="Times New Roman"/>
          <w:spacing w:val="-1"/>
          <w:lang w:val="sq-AL"/>
        </w:rPr>
        <w:t>ë</w:t>
      </w:r>
      <w:r w:rsidR="00BE02AB">
        <w:rPr>
          <w:rFonts w:cs="Times New Roman"/>
          <w:spacing w:val="-1"/>
          <w:lang w:val="sq-AL"/>
        </w:rPr>
        <w:t xml:space="preserve"> paraqitur</w:t>
      </w:r>
      <w:r w:rsidR="000422A3" w:rsidRPr="00EF4D68">
        <w:rPr>
          <w:spacing w:val="-1"/>
          <w:lang w:val="sq-AL"/>
        </w:rPr>
        <w:t xml:space="preserve"> </w:t>
      </w:r>
      <w:r w:rsidR="00BE02AB">
        <w:rPr>
          <w:spacing w:val="-1"/>
          <w:lang w:val="sq-AL"/>
        </w:rPr>
        <w:t xml:space="preserve">nga </w:t>
      </w:r>
      <w:r w:rsidR="00C62400" w:rsidRPr="00EF4D68">
        <w:rPr>
          <w:spacing w:val="-1"/>
          <w:lang w:val="sq-AL"/>
        </w:rPr>
        <w:t>Gjykatat e sistemit t</w:t>
      </w:r>
      <w:r w:rsidR="00C62400" w:rsidRPr="00EF4D68">
        <w:rPr>
          <w:rFonts w:cs="Times New Roman"/>
          <w:spacing w:val="-1"/>
          <w:lang w:val="sq-AL"/>
        </w:rPr>
        <w:t>ë zakonshëm</w:t>
      </w:r>
      <w:r w:rsidR="00BE02AB">
        <w:rPr>
          <w:rFonts w:cs="Times New Roman"/>
          <w:spacing w:val="-1"/>
          <w:lang w:val="sq-AL"/>
        </w:rPr>
        <w:t xml:space="preserve"> (kontroll </w:t>
      </w:r>
      <w:proofErr w:type="spellStart"/>
      <w:r w:rsidR="00BE02AB">
        <w:rPr>
          <w:rFonts w:cs="Times New Roman"/>
          <w:spacing w:val="-1"/>
          <w:lang w:val="sq-AL"/>
        </w:rPr>
        <w:t>incidental</w:t>
      </w:r>
      <w:proofErr w:type="spellEnd"/>
      <w:r w:rsidR="00BE02AB">
        <w:rPr>
          <w:rFonts w:cs="Times New Roman"/>
          <w:spacing w:val="-1"/>
          <w:lang w:val="sq-AL"/>
        </w:rPr>
        <w:t>)</w:t>
      </w:r>
      <w:r w:rsidR="000422A3" w:rsidRPr="00EF4D68">
        <w:rPr>
          <w:spacing w:val="-1"/>
          <w:lang w:val="sq-AL"/>
        </w:rPr>
        <w:t>;</w:t>
      </w:r>
    </w:p>
    <w:p w:rsidR="000422A3" w:rsidRPr="00DD1C22" w:rsidRDefault="00016C0C" w:rsidP="00016C0C">
      <w:pPr>
        <w:pStyle w:val="BodyText"/>
        <w:tabs>
          <w:tab w:val="left" w:pos="1220"/>
        </w:tabs>
        <w:spacing w:before="0" w:line="360" w:lineRule="auto"/>
        <w:ind w:left="839" w:right="10" w:firstLine="0"/>
        <w:jc w:val="both"/>
        <w:rPr>
          <w:lang w:val="sq-AL"/>
        </w:rPr>
      </w:pPr>
      <w:r w:rsidRPr="00DD1C22">
        <w:rPr>
          <w:b/>
          <w:spacing w:val="-1"/>
          <w:lang w:val="sq-AL"/>
        </w:rPr>
        <w:t xml:space="preserve">- </w:t>
      </w:r>
      <w:r w:rsidR="0035681C">
        <w:rPr>
          <w:b/>
          <w:spacing w:val="-1"/>
          <w:lang w:val="sq-AL"/>
        </w:rPr>
        <w:t>4</w:t>
      </w:r>
      <w:r w:rsidR="000422A3" w:rsidRPr="00DD1C22">
        <w:rPr>
          <w:b/>
          <w:spacing w:val="-1"/>
          <w:lang w:val="sq-AL"/>
        </w:rPr>
        <w:t xml:space="preserve"> </w:t>
      </w:r>
      <w:r w:rsidR="000422A3" w:rsidRPr="00DD1C22">
        <w:rPr>
          <w:spacing w:val="-1"/>
          <w:lang w:val="sq-AL"/>
        </w:rPr>
        <w:t xml:space="preserve">kërkesë nga </w:t>
      </w:r>
      <w:r w:rsidR="00E232F4" w:rsidRPr="00DD1C22">
        <w:rPr>
          <w:spacing w:val="-1"/>
          <w:lang w:val="sq-AL"/>
        </w:rPr>
        <w:t>Partitë Politike</w:t>
      </w:r>
      <w:r w:rsidR="000422A3" w:rsidRPr="00DD1C22">
        <w:rPr>
          <w:spacing w:val="-1"/>
          <w:lang w:val="sq-AL"/>
        </w:rPr>
        <w:t>;</w:t>
      </w:r>
    </w:p>
    <w:p w:rsidR="000422A3" w:rsidRPr="00DD1C22" w:rsidRDefault="00113F65" w:rsidP="000422A3">
      <w:pPr>
        <w:pStyle w:val="BodyText"/>
        <w:numPr>
          <w:ilvl w:val="0"/>
          <w:numId w:val="2"/>
        </w:numPr>
        <w:tabs>
          <w:tab w:val="left" w:pos="960"/>
        </w:tabs>
        <w:spacing w:before="0" w:line="360" w:lineRule="auto"/>
        <w:ind w:right="10"/>
        <w:jc w:val="both"/>
        <w:rPr>
          <w:lang w:val="sq-AL"/>
        </w:rPr>
      </w:pPr>
      <w:r>
        <w:rPr>
          <w:b/>
          <w:lang w:val="sq-AL"/>
        </w:rPr>
        <w:t>84</w:t>
      </w:r>
      <w:r w:rsidR="000422A3" w:rsidRPr="00DD1C22">
        <w:rPr>
          <w:b/>
          <w:lang w:val="sq-AL"/>
        </w:rPr>
        <w:t xml:space="preserve"> </w:t>
      </w:r>
      <w:r w:rsidR="000422A3" w:rsidRPr="00DD1C22">
        <w:rPr>
          <w:spacing w:val="-1"/>
          <w:lang w:val="sq-AL"/>
        </w:rPr>
        <w:t>kërkesa nga individët;</w:t>
      </w:r>
    </w:p>
    <w:p w:rsidR="000422A3" w:rsidRPr="00DD1C22" w:rsidRDefault="000422A3" w:rsidP="000422A3">
      <w:pPr>
        <w:spacing w:line="360" w:lineRule="auto"/>
        <w:rPr>
          <w:rFonts w:ascii="Times New Roman" w:hAnsi="Times New Roman"/>
        </w:rPr>
      </w:pPr>
    </w:p>
    <w:p w:rsidR="000422A3" w:rsidRPr="00955D1C" w:rsidRDefault="000422A3" w:rsidP="000422A3">
      <w:pPr>
        <w:spacing w:line="360" w:lineRule="auto"/>
        <w:ind w:right="27"/>
        <w:rPr>
          <w:rFonts w:ascii="Times New Roman" w:hAnsi="Times New Roman"/>
        </w:rPr>
      </w:pPr>
      <w:r w:rsidRPr="00955D1C">
        <w:rPr>
          <w:rFonts w:ascii="Times New Roman" w:hAnsi="Times New Roman"/>
          <w:noProof/>
        </w:rPr>
        <w:lastRenderedPageBreak/>
        <w:drawing>
          <wp:inline distT="0" distB="0" distL="0" distR="0">
            <wp:extent cx="5954573" cy="5069434"/>
            <wp:effectExtent l="0" t="0" r="46355" b="17145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3325" w:rsidRDefault="009D3325" w:rsidP="000422A3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C62400" w:rsidRDefault="00C62400" w:rsidP="000422A3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0422A3" w:rsidRDefault="009D3325" w:rsidP="000422A3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 w:rsidRPr="009D3325">
        <w:rPr>
          <w:rFonts w:ascii="Times New Roman" w:hAnsi="Times New Roman"/>
          <w:b/>
          <w:color w:val="1F3864" w:themeColor="accent5" w:themeShade="80"/>
          <w:sz w:val="24"/>
          <w:szCs w:val="24"/>
        </w:rPr>
        <w:t>VENDIMET E DHËNA NGA GJYKATA KUSHTETUESE GJAT</w:t>
      </w:r>
      <w:r>
        <w:rPr>
          <w:rFonts w:ascii="Times New Roman" w:hAnsi="Times New Roman"/>
          <w:b/>
          <w:color w:val="1F3864" w:themeColor="accent5" w:themeShade="80"/>
          <w:sz w:val="24"/>
          <w:szCs w:val="24"/>
        </w:rPr>
        <w:t>Ë</w:t>
      </w:r>
      <w:r w:rsidRPr="009D332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</w:t>
      </w:r>
      <w:r w:rsidR="008A50CA">
        <w:rPr>
          <w:rFonts w:ascii="Times New Roman" w:hAnsi="Times New Roman"/>
          <w:b/>
          <w:color w:val="1F3864" w:themeColor="accent5" w:themeShade="80"/>
          <w:sz w:val="24"/>
          <w:szCs w:val="24"/>
        </w:rPr>
        <w:t>VITIT 2020</w:t>
      </w:r>
    </w:p>
    <w:p w:rsidR="009D3325" w:rsidRPr="009D3325" w:rsidRDefault="009D3325" w:rsidP="000422A3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6E4426" w:rsidRDefault="006E4426" w:rsidP="006E4426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Referuar vendimeve të dhëna nga Gjykata Kushtetuese gjatë </w:t>
      </w:r>
      <w:r>
        <w:rPr>
          <w:rFonts w:ascii="Times New Roman" w:eastAsia="Times New Roman" w:hAnsi="Times New Roman"/>
          <w:sz w:val="24"/>
          <w:szCs w:val="24"/>
          <w:lang w:val="sq-AL"/>
        </w:rPr>
        <w:t>vitit 2020</w:t>
      </w:r>
      <w:r w:rsidRPr="00955D1C">
        <w:rPr>
          <w:rFonts w:ascii="Times New Roman" w:eastAsia="Times New Roman" w:hAnsi="Times New Roman"/>
          <w:sz w:val="24"/>
          <w:szCs w:val="24"/>
          <w:lang w:val="sq-AL"/>
        </w:rPr>
        <w:t>, Kolegjet e kësaj Gjykat</w:t>
      </w:r>
      <w:r w:rsidR="006D125D" w:rsidRPr="006D125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 janë shprehur me vendim për </w:t>
      </w:r>
      <w:r w:rsidR="006D125D">
        <w:rPr>
          <w:rFonts w:ascii="Times New Roman" w:eastAsia="Times New Roman" w:hAnsi="Times New Roman"/>
          <w:b/>
          <w:sz w:val="24"/>
          <w:szCs w:val="24"/>
          <w:lang w:val="sq-AL"/>
        </w:rPr>
        <w:t>103</w:t>
      </w:r>
      <w:r w:rsidRPr="00955D1C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kërkesa</w:t>
      </w:r>
      <w:r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 (vendime për </w:t>
      </w:r>
      <w:proofErr w:type="spellStart"/>
      <w:r w:rsidRPr="00955D1C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plenare),  bazuar në nenin 31/a, pika 2, të ligjit nr. 8577, datë 10.02.2000 “Për organizimin dhe funksionimin e Gjykatës Kushtetuese të Republikës së Shqipërisë”, </w:t>
      </w:r>
      <w:r w:rsidR="0035681C" w:rsidRPr="0035681C">
        <w:rPr>
          <w:rFonts w:ascii="Times New Roman" w:eastAsia="Times New Roman" w:hAnsi="Times New Roman"/>
          <w:sz w:val="24"/>
          <w:szCs w:val="24"/>
          <w:lang w:val="sq-AL"/>
        </w:rPr>
        <w:t>ndryshuar me ligjin nr.99/2016</w:t>
      </w:r>
      <w:r>
        <w:rPr>
          <w:rFonts w:ascii="Times New Roman" w:eastAsia="Times New Roman" w:hAnsi="Times New Roman"/>
          <w:sz w:val="24"/>
          <w:szCs w:val="24"/>
          <w:lang w:val="sq-AL"/>
        </w:rPr>
        <w:t>.</w:t>
      </w:r>
      <w:r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 Nga këto, sipas rasteve t</w:t>
      </w:r>
      <w:r w:rsidR="00C62400">
        <w:rPr>
          <w:rFonts w:ascii="Times New Roman" w:eastAsia="Times New Roman" w:hAnsi="Times New Roman"/>
          <w:sz w:val="24"/>
          <w:szCs w:val="24"/>
          <w:lang w:val="sq-AL"/>
        </w:rPr>
        <w:t>ë parashikuara në nenin 31, pikat 1 dhe 2</w:t>
      </w:r>
      <w:r>
        <w:rPr>
          <w:rFonts w:ascii="Times New Roman" w:eastAsia="Times New Roman" w:hAnsi="Times New Roman"/>
          <w:sz w:val="24"/>
          <w:szCs w:val="24"/>
          <w:lang w:val="sq-AL"/>
        </w:rPr>
        <w:t>,</w:t>
      </w:r>
    </w:p>
    <w:p w:rsidR="006D125D" w:rsidRDefault="006E4426" w:rsidP="00A5595B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6D125D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për 8 kërkesa 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që janë paraqitur nga gjyqtari/gjykata e zakonshme, Kolegji, pasi ka verifikuar plotësimin e kritereve ligjore për vënien në lëvizje të kontrollit kushtetues 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incidental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, ka vendosur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plenare”, bazuar në 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lastRenderedPageBreak/>
        <w:t>nenin 145</w:t>
      </w:r>
      <w:r w:rsidR="00C62400">
        <w:rPr>
          <w:rFonts w:ascii="Times New Roman" w:eastAsia="Times New Roman" w:hAnsi="Times New Roman"/>
          <w:sz w:val="24"/>
          <w:szCs w:val="24"/>
          <w:lang w:val="sq-AL"/>
        </w:rPr>
        <w:t xml:space="preserve">, pika 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>2 të Kushtetutës dhe nenit 68 i ligjit nr.8577/2000.</w:t>
      </w:r>
    </w:p>
    <w:p w:rsidR="006D125D" w:rsidRPr="006D125D" w:rsidRDefault="006E4426" w:rsidP="00650C18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për </w:t>
      </w:r>
      <w:r w:rsidRPr="006D125D">
        <w:rPr>
          <w:rFonts w:ascii="Times New Roman" w:eastAsia="Times New Roman" w:hAnsi="Times New Roman"/>
          <w:b/>
          <w:sz w:val="24"/>
          <w:szCs w:val="24"/>
          <w:lang w:val="sq-AL"/>
        </w:rPr>
        <w:t>6 kërkesa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Kolegji ka vendosur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plenare”, bazuar në nenin 31/a, pika 2, shkronja “a” të ligjit nr.8577/2000 sipas të cilës, </w:t>
      </w:r>
      <w:r w:rsidRPr="006D125D">
        <w:rPr>
          <w:rFonts w:ascii="Times New Roman" w:hAnsi="Times New Roman"/>
          <w:sz w:val="24"/>
          <w:szCs w:val="24"/>
          <w:lang w:val="sq-AL"/>
        </w:rPr>
        <w:t>kërkimet e paraqitura nuk hyjnë në kompetencën e Gjykatës Kushtetuese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:rsidR="006D125D" w:rsidRDefault="006E4426" w:rsidP="00B726E8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për </w:t>
      </w:r>
      <w:r w:rsidRPr="006D125D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2 kërkesë 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>Kolegji ka vendosur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plenare” ,bazuar në nenin 31/a, pika 2, shkronja “b” të ligjit nr.8577/2000, kur </w:t>
      </w:r>
      <w:r w:rsidRPr="006D125D">
        <w:rPr>
          <w:rFonts w:ascii="Times New Roman" w:hAnsi="Times New Roman"/>
          <w:sz w:val="24"/>
          <w:szCs w:val="24"/>
          <w:lang w:val="sq-AL"/>
        </w:rPr>
        <w:t>kërkesa nuk është paraqitur nga subjekti që legjitimohet;</w:t>
      </w:r>
    </w:p>
    <w:p w:rsidR="006D125D" w:rsidRDefault="006E4426" w:rsidP="00E01F58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6D125D">
        <w:rPr>
          <w:rFonts w:ascii="Times New Roman" w:eastAsia="Times New Roman" w:hAnsi="Times New Roman"/>
          <w:sz w:val="24"/>
          <w:szCs w:val="24"/>
          <w:lang w:val="sq-AL"/>
        </w:rPr>
        <w:t>për</w:t>
      </w:r>
      <w:r w:rsidRPr="006D125D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26 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>kërkesa Kolegji ka vendosur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plenare”, bazuar në nenin 31/a, pika 2, shkronja “ç” të ligjit nr.8577/2000,</w:t>
      </w:r>
      <w:r w:rsidRPr="006D125D">
        <w:rPr>
          <w:rFonts w:ascii="Times New Roman" w:hAnsi="Times New Roman"/>
          <w:sz w:val="24"/>
          <w:szCs w:val="24"/>
          <w:lang w:val="sq-AL"/>
        </w:rPr>
        <w:t xml:space="preserve"> sipas të cilës, kur vërtetohet se kërkesa është paraqitur jashtë afatit ligjor;</w:t>
      </w:r>
    </w:p>
    <w:p w:rsidR="006D125D" w:rsidRDefault="006E4426" w:rsidP="00DD1C67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për </w:t>
      </w:r>
      <w:r w:rsidRPr="006D125D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24 kërkesa 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>Kolegji ka vendosur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plenare”, bazuar në nenin 31/a, pika 2, shkronja “d” të ligjit nr.8577/2000, sipas të cilit, </w:t>
      </w:r>
      <w:r w:rsidRPr="006D125D">
        <w:rPr>
          <w:rFonts w:ascii="Times New Roman" w:hAnsi="Times New Roman"/>
          <w:sz w:val="24"/>
          <w:szCs w:val="24"/>
          <w:lang w:val="sq-AL"/>
        </w:rPr>
        <w:t xml:space="preserve"> kërkuesi nuk ka shteruar mjetet juridike efektive para se t’i drejtohet Gjykatës Kushtetuese, ose legjislacioni në fuqi parashikon mjete efektive në dispozicion;</w:t>
      </w:r>
    </w:p>
    <w:p w:rsidR="006D125D" w:rsidRDefault="006E4426" w:rsidP="00D3781E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për </w:t>
      </w:r>
      <w:r w:rsidRPr="006D125D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5 kërkesa 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>Kolegji ka vendosur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plenare”, bazuar në nenin 31/a, pika 2, shkronja “dh” të ligjit nr.8577/2000, sipas të cilit, kërkimet e paraqitura në kërkesë janë objekt i një vendimi të mëparshëm të Gjykatës Kushtetuese, ose rivendosja në vend e së drejtës së shkelur nuk është e mundur;</w:t>
      </w:r>
    </w:p>
    <w:p w:rsidR="006D125D" w:rsidRPr="006D125D" w:rsidRDefault="006E4426" w:rsidP="006D125D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për </w:t>
      </w:r>
      <w:r w:rsidRPr="006D125D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11 kërkesa 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>Kolegji ka vendosur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plenare”, bazuar në nenin 31/a, pika 2, shkronja “e” të ligjit nr.8577/2000,</w:t>
      </w:r>
      <w:r w:rsidRPr="006D125D">
        <w:rPr>
          <w:rFonts w:ascii="Times New Roman" w:hAnsi="Times New Roman"/>
          <w:sz w:val="24"/>
          <w:szCs w:val="24"/>
          <w:lang w:val="sq-AL"/>
        </w:rPr>
        <w:t xml:space="preserve"> sipas të cilit, kërkesa është haptazi e pabazuar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:rsidR="006D125D" w:rsidRDefault="006E4426" w:rsidP="00BF46C7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6D125D">
        <w:rPr>
          <w:rFonts w:ascii="Times New Roman" w:eastAsia="Times New Roman" w:hAnsi="Times New Roman"/>
          <w:b/>
          <w:sz w:val="24"/>
          <w:szCs w:val="24"/>
          <w:lang w:val="sq-AL"/>
        </w:rPr>
        <w:t>për 2 kërkesa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Kolegji ka vendosur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plenare”, bazuar në nenin 31/a, pika 2, shkronjat “a” dhe “b” të ligjit nr.8577/2000, sipas të cilave </w:t>
      </w:r>
      <w:r w:rsidRPr="006D125D">
        <w:rPr>
          <w:rFonts w:ascii="Times New Roman" w:hAnsi="Times New Roman"/>
          <w:sz w:val="24"/>
          <w:szCs w:val="24"/>
          <w:lang w:val="sq-AL"/>
        </w:rPr>
        <w:t>kërkimet e paraqitura nuk hyjnë në kompetencën e Gjykatës Kushtetuese; si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dhe kur </w:t>
      </w:r>
      <w:r w:rsidRPr="006D125D">
        <w:rPr>
          <w:rFonts w:ascii="Times New Roman" w:hAnsi="Times New Roman"/>
          <w:sz w:val="24"/>
          <w:szCs w:val="24"/>
          <w:lang w:val="sq-AL"/>
        </w:rPr>
        <w:t>kërkesa nuk është paraqitur nga subjekti që legjitimohet;</w:t>
      </w:r>
    </w:p>
    <w:p w:rsidR="006D125D" w:rsidRDefault="006E4426" w:rsidP="00F968DC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6D125D">
        <w:rPr>
          <w:rFonts w:ascii="Times New Roman" w:eastAsia="Times New Roman" w:hAnsi="Times New Roman"/>
          <w:b/>
          <w:sz w:val="24"/>
          <w:szCs w:val="24"/>
          <w:lang w:val="sq-AL"/>
        </w:rPr>
        <w:t>për 1 kërkesa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Kolegji ka vendosur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plenare”, bazuar në nenin 31/a, pika 2, shkronjat “a” dhe “d” të ligjit nr.8577/2000, sipas të cilave </w:t>
      </w:r>
      <w:r w:rsidRPr="006D125D">
        <w:rPr>
          <w:rFonts w:ascii="Times New Roman" w:hAnsi="Times New Roman"/>
          <w:sz w:val="24"/>
          <w:szCs w:val="24"/>
          <w:lang w:val="sq-AL"/>
        </w:rPr>
        <w:t>kërkimet e paraqitura nuk hyjnë në kompetencën e Gjykatës Kushtetuese</w:t>
      </w:r>
      <w:r w:rsidR="006D125D" w:rsidRPr="006D125D">
        <w:rPr>
          <w:rFonts w:ascii="Times New Roman" w:hAnsi="Times New Roman"/>
          <w:sz w:val="24"/>
          <w:szCs w:val="24"/>
          <w:lang w:val="sq-AL"/>
        </w:rPr>
        <w:t>;</w:t>
      </w:r>
    </w:p>
    <w:p w:rsidR="006D125D" w:rsidRPr="006D125D" w:rsidRDefault="006E4426" w:rsidP="00917939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për </w:t>
      </w:r>
      <w:r w:rsidRPr="006D125D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4 kërkesë 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>Kolegji ka vendosur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plenare”, bazuar në nenin 31/a, pika 2, shkronjat “a” dhe “ç” të ligjit nr.8577/2000, sipas të cilave </w:t>
      </w:r>
      <w:r w:rsidRPr="006D125D">
        <w:rPr>
          <w:rFonts w:ascii="Times New Roman" w:hAnsi="Times New Roman"/>
          <w:sz w:val="24"/>
          <w:szCs w:val="24"/>
          <w:lang w:val="sq-AL"/>
        </w:rPr>
        <w:t>kërkimet e paraqitura nuk hyjnë në kompetencën e Gjykatës Kushtetuese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; si dhe </w:t>
      </w:r>
      <w:r w:rsidRPr="006D125D">
        <w:rPr>
          <w:rFonts w:ascii="Times New Roman" w:hAnsi="Times New Roman"/>
          <w:sz w:val="24"/>
          <w:szCs w:val="24"/>
          <w:lang w:val="sq-AL"/>
        </w:rPr>
        <w:t>kur vërtetohet se kërkesa është paraqitur jashtë afatit ligjor;</w:t>
      </w:r>
    </w:p>
    <w:p w:rsidR="006D125D" w:rsidRDefault="006E4426" w:rsidP="004602F2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për </w:t>
      </w:r>
      <w:r w:rsidRPr="006D125D">
        <w:rPr>
          <w:rFonts w:ascii="Times New Roman" w:eastAsia="Times New Roman" w:hAnsi="Times New Roman"/>
          <w:b/>
          <w:sz w:val="24"/>
          <w:szCs w:val="24"/>
          <w:lang w:val="sq-AL"/>
        </w:rPr>
        <w:t>2 kërkesë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Kolegji ka vendosur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plenare”, bazuar në nenin 31/a, pika 2, shkronjat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a”,dhe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“e” të ligjit nr.8577/2000, sipas 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lastRenderedPageBreak/>
        <w:t xml:space="preserve">të cilave </w:t>
      </w:r>
      <w:r w:rsidRPr="006D125D">
        <w:rPr>
          <w:rFonts w:ascii="Times New Roman" w:hAnsi="Times New Roman"/>
          <w:sz w:val="24"/>
          <w:szCs w:val="24"/>
          <w:lang w:val="sq-AL"/>
        </w:rPr>
        <w:t>kërkimet e paraqitura nuk hyjnë në kompetencën e Gjykatës Kushtetuese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; si dhe kur </w:t>
      </w:r>
      <w:r w:rsidRPr="006D125D">
        <w:rPr>
          <w:rFonts w:ascii="Times New Roman" w:hAnsi="Times New Roman"/>
          <w:sz w:val="24"/>
          <w:szCs w:val="24"/>
          <w:lang w:val="sq-AL"/>
        </w:rPr>
        <w:t>kërkesa është haptazi e pabazuar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:rsidR="006D125D" w:rsidRDefault="006E4426" w:rsidP="00E81F0C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për </w:t>
      </w:r>
      <w:r w:rsidRPr="006D125D">
        <w:rPr>
          <w:rFonts w:ascii="Times New Roman" w:eastAsia="Times New Roman" w:hAnsi="Times New Roman"/>
          <w:b/>
          <w:sz w:val="24"/>
          <w:szCs w:val="24"/>
          <w:lang w:val="sq-AL"/>
        </w:rPr>
        <w:t>1 kërkesë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Kolegji ka vendosur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plenare”, bazuar në nenin 31/a, pika 2, shkronjat “a” , “d” dhe “e” të ligjit nr.8577/2000, sipas të cilave </w:t>
      </w:r>
      <w:r w:rsidRPr="006D125D">
        <w:rPr>
          <w:rFonts w:ascii="Times New Roman" w:hAnsi="Times New Roman"/>
          <w:sz w:val="24"/>
          <w:szCs w:val="24"/>
          <w:lang w:val="sq-AL"/>
        </w:rPr>
        <w:t xml:space="preserve">kërkimet e paraqitura nuk hyjnë në kompetencën e Gjykatës Kushtetuese; kërkuesi nuk ka shteruar mjetet juridike efektive para se t’i drejtohet Gjykatës Kushtetuese, ose legjislacioni në fuqi parashikon mjete efektive në dispozicion; 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si dhe kur </w:t>
      </w:r>
      <w:r w:rsidRPr="006D125D">
        <w:rPr>
          <w:rFonts w:ascii="Times New Roman" w:hAnsi="Times New Roman"/>
          <w:sz w:val="24"/>
          <w:szCs w:val="24"/>
          <w:lang w:val="sq-AL"/>
        </w:rPr>
        <w:t>kërkesa është haptazi e pabazuar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>;</w:t>
      </w:r>
      <w:r w:rsidR="006D125D"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</w:p>
    <w:p w:rsidR="006D125D" w:rsidRDefault="006E4426" w:rsidP="00241A87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6D125D">
        <w:rPr>
          <w:rFonts w:ascii="Times New Roman" w:hAnsi="Times New Roman"/>
          <w:sz w:val="24"/>
          <w:szCs w:val="24"/>
          <w:lang w:val="sq-AL"/>
        </w:rPr>
        <w:t xml:space="preserve">për </w:t>
      </w:r>
      <w:r w:rsidRPr="006D125D">
        <w:rPr>
          <w:rFonts w:ascii="Times New Roman" w:hAnsi="Times New Roman"/>
          <w:b/>
          <w:sz w:val="24"/>
          <w:szCs w:val="24"/>
          <w:lang w:val="sq-AL"/>
        </w:rPr>
        <w:t>2 kërkesë</w:t>
      </w:r>
      <w:r w:rsidRPr="006D125D">
        <w:rPr>
          <w:rFonts w:ascii="Times New Roman" w:hAnsi="Times New Roman"/>
          <w:sz w:val="24"/>
          <w:szCs w:val="24"/>
          <w:lang w:val="sq-AL"/>
        </w:rPr>
        <w:t xml:space="preserve"> Kolegji 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Kolegji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ka vendosur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plenare”, bazuar në nenin 31/a, pika 2, shkronjat “d” dhe “e” të ligjit nr.8577/2000, sipas të cilave </w:t>
      </w:r>
      <w:r w:rsidRPr="006D125D">
        <w:rPr>
          <w:rFonts w:ascii="Times New Roman" w:hAnsi="Times New Roman"/>
          <w:sz w:val="24"/>
          <w:szCs w:val="24"/>
          <w:lang w:val="sq-AL"/>
        </w:rPr>
        <w:t xml:space="preserve">kërkuesi nuk ka shteruar mjetet juridike efektive para se t’i drejtohet Gjykatës Kushtetuese, ose legjislacioni në fuqi parashikon mjete efektive në dispozicion; 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si dhe kur </w:t>
      </w:r>
      <w:r w:rsidRPr="006D125D">
        <w:rPr>
          <w:rFonts w:ascii="Times New Roman" w:hAnsi="Times New Roman"/>
          <w:sz w:val="24"/>
          <w:szCs w:val="24"/>
          <w:lang w:val="sq-AL"/>
        </w:rPr>
        <w:t>kërkesa është haptazi e pabazuar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:rsidR="006D125D" w:rsidRDefault="006E4426" w:rsidP="00E9579D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për </w:t>
      </w:r>
      <w:r w:rsidRPr="006D125D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4 kërkesë 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>Kolegji ka vendosur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plenare”, bazuar në nenin 31/a, pika 2, shkronjat “ç” dhe “d” të ligjit nr.8577/2000, </w:t>
      </w:r>
      <w:r w:rsidRPr="006D125D">
        <w:rPr>
          <w:rFonts w:ascii="Times New Roman" w:hAnsi="Times New Roman"/>
          <w:b/>
          <w:sz w:val="24"/>
          <w:szCs w:val="24"/>
          <w:lang w:val="sq-AL"/>
        </w:rPr>
        <w:t>kur vërtetohet se kërkesa është paraqitur jashtë afatit ligjor;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si dhe kur </w:t>
      </w:r>
      <w:r w:rsidRPr="006D125D">
        <w:rPr>
          <w:rFonts w:ascii="Times New Roman" w:hAnsi="Times New Roman"/>
          <w:sz w:val="24"/>
          <w:szCs w:val="24"/>
          <w:lang w:val="sq-AL"/>
        </w:rPr>
        <w:t>kërkesa është haptazi e pabazuar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:rsidR="006D125D" w:rsidRDefault="006E4426" w:rsidP="003A22FD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6D125D">
        <w:rPr>
          <w:rFonts w:ascii="Times New Roman" w:hAnsi="Times New Roman"/>
          <w:sz w:val="24"/>
          <w:szCs w:val="24"/>
          <w:lang w:val="sq-AL"/>
        </w:rPr>
        <w:t xml:space="preserve">për </w:t>
      </w:r>
      <w:r w:rsidRPr="006D125D">
        <w:rPr>
          <w:rFonts w:ascii="Times New Roman" w:hAnsi="Times New Roman"/>
          <w:b/>
          <w:sz w:val="24"/>
          <w:szCs w:val="24"/>
          <w:lang w:val="sq-AL"/>
        </w:rPr>
        <w:t>1  kërkesë</w:t>
      </w:r>
      <w:r w:rsidRPr="006D125D">
        <w:rPr>
          <w:rFonts w:ascii="Times New Roman" w:hAnsi="Times New Roman"/>
          <w:sz w:val="24"/>
          <w:szCs w:val="24"/>
          <w:lang w:val="sq-AL"/>
        </w:rPr>
        <w:t xml:space="preserve"> Kolegji 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Kolegji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ka vendosur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plenare”, bazuar në nenin 31/a, pika 2, shkronjat “d” dhe “dh” të ligjit nr.8577/2000, sipas të cilave </w:t>
      </w:r>
      <w:r w:rsidRPr="006D125D">
        <w:rPr>
          <w:rFonts w:ascii="Times New Roman" w:hAnsi="Times New Roman"/>
          <w:sz w:val="24"/>
          <w:szCs w:val="24"/>
          <w:lang w:val="sq-AL"/>
        </w:rPr>
        <w:t>kërkuesi nuk ka shteruar mjetet juridike efektive para se t’i drejtohet Gjykatës Kushtetuese</w:t>
      </w:r>
      <w:r w:rsidR="006D125D" w:rsidRPr="006D125D">
        <w:rPr>
          <w:rFonts w:ascii="Times New Roman" w:hAnsi="Times New Roman"/>
          <w:sz w:val="24"/>
          <w:szCs w:val="24"/>
          <w:lang w:val="sq-AL"/>
        </w:rPr>
        <w:t>;</w:t>
      </w:r>
    </w:p>
    <w:p w:rsidR="006E4426" w:rsidRPr="006D125D" w:rsidRDefault="006E4426" w:rsidP="003A22FD">
      <w:pPr>
        <w:pStyle w:val="ListParagraph"/>
        <w:widowControl w:val="0"/>
        <w:numPr>
          <w:ilvl w:val="0"/>
          <w:numId w:val="6"/>
        </w:numPr>
        <w:spacing w:before="0"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për </w:t>
      </w:r>
      <w:r w:rsidRPr="006D125D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2 kërkesa 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>Kolegji ka vendosur “</w:t>
      </w:r>
      <w:proofErr w:type="spellStart"/>
      <w:r w:rsidRPr="006D125D">
        <w:rPr>
          <w:rFonts w:ascii="Times New Roman" w:eastAsia="Times New Roman" w:hAnsi="Times New Roman"/>
          <w:sz w:val="24"/>
          <w:szCs w:val="24"/>
          <w:lang w:val="sq-AL"/>
        </w:rPr>
        <w:t>Moskalimin</w:t>
      </w:r>
      <w:proofErr w:type="spellEnd"/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e shqyrtimit të çështjes në seancë plenare”, bazuar në nenin 31/a, pika 2, shkronjat “ç”, “d” dhe “e” të ligjit nr.8577/2000, sipas të cilave </w:t>
      </w:r>
      <w:r w:rsidRPr="006D125D">
        <w:rPr>
          <w:rFonts w:ascii="Times New Roman" w:hAnsi="Times New Roman"/>
          <w:sz w:val="24"/>
          <w:szCs w:val="24"/>
          <w:lang w:val="sq-AL"/>
        </w:rPr>
        <w:t>vërtetohet se kërkesa është paraqitur jashtë afatit ligjor;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6D125D">
        <w:rPr>
          <w:rFonts w:ascii="Times New Roman" w:hAnsi="Times New Roman"/>
          <w:sz w:val="24"/>
          <w:szCs w:val="24"/>
          <w:lang w:val="sq-AL"/>
        </w:rPr>
        <w:t>kërkuesi nuk ka shteruar mjetet juridike efektive para se t’i drejtohet Gjykatës Kushtetuese, ose legjislacioni në fuqi parashikon mjete efektive në dispozicion; si dhe kërkesa është haptazi e pabazuar</w:t>
      </w:r>
      <w:r w:rsidRPr="006D125D">
        <w:rPr>
          <w:rFonts w:ascii="Times New Roman" w:eastAsia="Times New Roman" w:hAnsi="Times New Roman"/>
          <w:sz w:val="24"/>
          <w:szCs w:val="24"/>
          <w:lang w:val="sq-AL"/>
        </w:rPr>
        <w:t xml:space="preserve">; </w:t>
      </w:r>
    </w:p>
    <w:p w:rsidR="006E4426" w:rsidRPr="006E4426" w:rsidRDefault="006E4426" w:rsidP="006E4426">
      <w:pPr>
        <w:spacing w:before="0"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6E4426">
        <w:rPr>
          <w:rFonts w:ascii="Times New Roman" w:eastAsia="Times New Roman" w:hAnsi="Times New Roman"/>
          <w:sz w:val="24"/>
          <w:szCs w:val="24"/>
          <w:lang w:val="sq-AL"/>
        </w:rPr>
        <w:t xml:space="preserve">- për </w:t>
      </w:r>
      <w:r w:rsidRPr="006E4426">
        <w:rPr>
          <w:rFonts w:ascii="Times New Roman" w:eastAsia="Times New Roman" w:hAnsi="Times New Roman"/>
          <w:b/>
          <w:sz w:val="24"/>
          <w:szCs w:val="24"/>
          <w:lang w:val="sq-AL"/>
        </w:rPr>
        <w:t>2 kërkesa</w:t>
      </w:r>
      <w:r w:rsidRPr="006E4426">
        <w:rPr>
          <w:rFonts w:ascii="Times New Roman" w:eastAsia="Times New Roman" w:hAnsi="Times New Roman"/>
          <w:sz w:val="24"/>
          <w:szCs w:val="24"/>
          <w:lang w:val="sq-AL"/>
        </w:rPr>
        <w:t xml:space="preserve"> Kolegji ka vendosur “Kthimin e kërkesës për plotësim”, bazuar në nenin 31 pika 2 të ligjit nr.8577/2000.</w:t>
      </w:r>
    </w:p>
    <w:p w:rsidR="000422A3" w:rsidRPr="00955D1C" w:rsidRDefault="0055112A" w:rsidP="0055112A">
      <w:pPr>
        <w:spacing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1C25EE50" wp14:editId="76342470">
            <wp:simplePos x="0" y="0"/>
            <wp:positionH relativeFrom="column">
              <wp:posOffset>-731520</wp:posOffset>
            </wp:positionH>
            <wp:positionV relativeFrom="paragraph">
              <wp:posOffset>254</wp:posOffset>
            </wp:positionV>
            <wp:extent cx="7028180" cy="6810375"/>
            <wp:effectExtent l="0" t="0" r="1270" b="0"/>
            <wp:wrapSquare wrapText="bothSides"/>
            <wp:docPr id="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2A3"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Nga totali i vendimeve të dhëna gjatë </w:t>
      </w:r>
      <w:r w:rsidR="00DB7AAA">
        <w:rPr>
          <w:rFonts w:ascii="Times New Roman" w:eastAsia="Times New Roman" w:hAnsi="Times New Roman"/>
          <w:sz w:val="24"/>
          <w:szCs w:val="24"/>
          <w:lang w:val="sq-AL"/>
        </w:rPr>
        <w:t>vitit 2020</w:t>
      </w:r>
      <w:r w:rsidR="000422A3" w:rsidRPr="00955D1C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sz w:val="24"/>
          <w:szCs w:val="24"/>
          <w:lang w:val="sq-AL"/>
        </w:rPr>
        <w:t>(</w:t>
      </w:r>
      <w:r w:rsidR="006D125D">
        <w:rPr>
          <w:rFonts w:ascii="Times New Roman" w:eastAsia="Times New Roman" w:hAnsi="Times New Roman"/>
          <w:sz w:val="24"/>
          <w:szCs w:val="24"/>
          <w:lang w:val="sq-AL"/>
        </w:rPr>
        <w:t>103</w:t>
      </w:r>
      <w:r w:rsidR="000422A3"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 vendime);</w:t>
      </w:r>
      <w:r w:rsidR="00DB7AAA">
        <w:rPr>
          <w:rFonts w:ascii="Times New Roman" w:eastAsia="Times New Roman" w:hAnsi="Times New Roman"/>
          <w:sz w:val="24"/>
          <w:szCs w:val="24"/>
          <w:lang w:val="sq-AL"/>
        </w:rPr>
        <w:t>22</w:t>
      </w:r>
      <w:r w:rsidR="000422A3"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 vendime u përkasin kërkesave të paraqitura në vitin 2018;</w:t>
      </w:r>
    </w:p>
    <w:p w:rsidR="000422A3" w:rsidRDefault="00DB7AAA" w:rsidP="0055112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27</w:t>
      </w:r>
      <w:r w:rsidR="000422A3"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 vendime u përkasin kërkesave të paraqitura në vitin 2019;</w:t>
      </w:r>
    </w:p>
    <w:p w:rsidR="00DB7AAA" w:rsidRDefault="006D125D" w:rsidP="0055112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54</w:t>
      </w:r>
      <w:r w:rsidR="00DB7AA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DB7AAA" w:rsidRPr="00955D1C">
        <w:rPr>
          <w:rFonts w:ascii="Times New Roman" w:eastAsia="Times New Roman" w:hAnsi="Times New Roman"/>
          <w:sz w:val="24"/>
          <w:szCs w:val="24"/>
          <w:lang w:val="sq-AL"/>
        </w:rPr>
        <w:t>vendime u përkasin kërkesave të paraqitura në vitin 20</w:t>
      </w:r>
      <w:r w:rsidR="00C918EF">
        <w:rPr>
          <w:rFonts w:ascii="Times New Roman" w:eastAsia="Times New Roman" w:hAnsi="Times New Roman"/>
          <w:sz w:val="24"/>
          <w:szCs w:val="24"/>
          <w:lang w:val="sq-AL"/>
        </w:rPr>
        <w:t>20</w:t>
      </w:r>
      <w:r w:rsidR="00DB7AAA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:rsidR="0055112A" w:rsidRDefault="00991E95" w:rsidP="0055112A">
      <w:pPr>
        <w:spacing w:line="24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991E95">
        <w:rPr>
          <w:rFonts w:ascii="Times New Roman" w:hAnsi="Times New Roman"/>
          <w:b/>
          <w:sz w:val="24"/>
          <w:szCs w:val="24"/>
          <w:lang w:val="sq-AL"/>
        </w:rPr>
        <w:t>Përgatiti:</w:t>
      </w:r>
    </w:p>
    <w:p w:rsidR="00991E95" w:rsidRDefault="00991E95" w:rsidP="0055112A">
      <w:pPr>
        <w:spacing w:line="24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991E95">
        <w:rPr>
          <w:rFonts w:ascii="Times New Roman" w:hAnsi="Times New Roman"/>
          <w:b/>
          <w:sz w:val="24"/>
          <w:szCs w:val="24"/>
          <w:lang w:val="sq-AL"/>
        </w:rPr>
        <w:t>Drejtoria Gjyqësore dhe e Dokumentacionit</w:t>
      </w:r>
    </w:p>
    <w:sectPr w:rsidR="00991E95" w:rsidSect="007F5E47">
      <w:footerReference w:type="default" r:id="rId12"/>
      <w:pgSz w:w="11907" w:h="16839" w:code="9"/>
      <w:pgMar w:top="1170" w:right="1107" w:bottom="90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14" w:rsidRDefault="00912314" w:rsidP="000422A3">
      <w:r>
        <w:separator/>
      </w:r>
    </w:p>
  </w:endnote>
  <w:endnote w:type="continuationSeparator" w:id="0">
    <w:p w:rsidR="00912314" w:rsidRDefault="00912314" w:rsidP="000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093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837" w:rsidRDefault="0096115E">
        <w:pPr>
          <w:pStyle w:val="Footer"/>
          <w:jc w:val="right"/>
        </w:pPr>
        <w:r>
          <w:fldChar w:fldCharType="begin"/>
        </w:r>
        <w:r w:rsidR="00606837">
          <w:instrText xml:space="preserve"> PAGE   \* MERGEFORMAT </w:instrText>
        </w:r>
        <w:r>
          <w:fldChar w:fldCharType="separate"/>
        </w:r>
        <w:r w:rsidR="0042046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06837" w:rsidRDefault="006068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14" w:rsidRDefault="00912314" w:rsidP="000422A3">
      <w:r>
        <w:separator/>
      </w:r>
    </w:p>
  </w:footnote>
  <w:footnote w:type="continuationSeparator" w:id="0">
    <w:p w:rsidR="00912314" w:rsidRDefault="00912314" w:rsidP="000422A3">
      <w:r>
        <w:continuationSeparator/>
      </w:r>
    </w:p>
  </w:footnote>
  <w:footnote w:id="1">
    <w:p w:rsidR="006D69C7" w:rsidRDefault="006D69C7" w:rsidP="006D69C7">
      <w:pPr>
        <w:pStyle w:val="FootnoteText"/>
        <w:spacing w:before="0" w:after="0" w:line="240" w:lineRule="auto"/>
      </w:pPr>
      <w:r>
        <w:rPr>
          <w:rStyle w:val="FootnoteReference"/>
        </w:rPr>
        <w:footnoteRef/>
      </w:r>
      <w:r>
        <w:t xml:space="preserve"> 3 </w:t>
      </w:r>
      <w:proofErr w:type="spellStart"/>
      <w:r>
        <w:t>k</w:t>
      </w:r>
      <w:r w:rsidRPr="002209BD">
        <w:rPr>
          <w:rFonts w:cs="Times New Roman"/>
        </w:rPr>
        <w:t>ë</w:t>
      </w:r>
      <w:r>
        <w:rPr>
          <w:rFonts w:cs="Times New Roman"/>
        </w:rPr>
        <w:t>rkesa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jan</w:t>
      </w:r>
      <w:r w:rsidRPr="00BC3CCF">
        <w:rPr>
          <w:rFonts w:cs="Times New Roman"/>
        </w:rPr>
        <w:t>ë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</w:t>
      </w:r>
      <w:r w:rsidRPr="00BC3CCF">
        <w:rPr>
          <w:rFonts w:cs="Times New Roman"/>
        </w:rPr>
        <w:t>ë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mbartuara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viti</w:t>
      </w:r>
      <w:proofErr w:type="spellEnd"/>
      <w:r>
        <w:rPr>
          <w:rFonts w:cs="Times New Roman"/>
        </w:rPr>
        <w:t xml:space="preserve"> 2017; 9 </w:t>
      </w:r>
      <w:proofErr w:type="spellStart"/>
      <w:r>
        <w:rPr>
          <w:rFonts w:cs="Times New Roman"/>
        </w:rPr>
        <w:t>k</w:t>
      </w:r>
      <w:r w:rsidRPr="006D69C7">
        <w:rPr>
          <w:rFonts w:cs="Times New Roman"/>
        </w:rPr>
        <w:t>ë</w:t>
      </w:r>
      <w:r>
        <w:rPr>
          <w:rFonts w:cs="Times New Roman"/>
        </w:rPr>
        <w:t>rkesa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viti</w:t>
      </w:r>
      <w:proofErr w:type="spellEnd"/>
      <w:r>
        <w:rPr>
          <w:rFonts w:cs="Times New Roman"/>
        </w:rPr>
        <w:t xml:space="preserve"> 2018; 8 </w:t>
      </w:r>
      <w:proofErr w:type="spellStart"/>
      <w:r>
        <w:rPr>
          <w:rFonts w:cs="Times New Roman"/>
        </w:rPr>
        <w:t>k</w:t>
      </w:r>
      <w:r w:rsidRPr="006D69C7">
        <w:rPr>
          <w:rFonts w:cs="Times New Roman"/>
        </w:rPr>
        <w:t>ë</w:t>
      </w:r>
      <w:r>
        <w:rPr>
          <w:rFonts w:cs="Times New Roman"/>
        </w:rPr>
        <w:t>rkesa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viti</w:t>
      </w:r>
      <w:proofErr w:type="spellEnd"/>
      <w:r>
        <w:rPr>
          <w:rFonts w:cs="Times New Roman"/>
        </w:rPr>
        <w:t xml:space="preserve"> 2019 </w:t>
      </w:r>
      <w:proofErr w:type="spellStart"/>
      <w:r>
        <w:rPr>
          <w:rFonts w:cs="Times New Roman"/>
        </w:rPr>
        <w:t>dhe</w:t>
      </w:r>
      <w:proofErr w:type="spellEnd"/>
      <w:r>
        <w:rPr>
          <w:rFonts w:cs="Times New Roman"/>
        </w:rPr>
        <w:t xml:space="preserve"> 12 </w:t>
      </w:r>
      <w:proofErr w:type="spellStart"/>
      <w:r>
        <w:rPr>
          <w:rFonts w:cs="Times New Roman"/>
        </w:rPr>
        <w:t>k</w:t>
      </w:r>
      <w:r w:rsidRPr="006D69C7">
        <w:rPr>
          <w:rFonts w:cs="Times New Roman"/>
        </w:rPr>
        <w:t>ë</w:t>
      </w:r>
      <w:r>
        <w:rPr>
          <w:rFonts w:cs="Times New Roman"/>
        </w:rPr>
        <w:t>rkesa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viti</w:t>
      </w:r>
      <w:proofErr w:type="spellEnd"/>
      <w:r>
        <w:rPr>
          <w:rFonts w:cs="Times New Roman"/>
        </w:rPr>
        <w:t xml:space="preserve"> 2020.</w:t>
      </w:r>
    </w:p>
  </w:footnote>
  <w:footnote w:id="2">
    <w:p w:rsidR="006D69C7" w:rsidRDefault="006D69C7" w:rsidP="006D69C7">
      <w:pPr>
        <w:pStyle w:val="FootnoteText"/>
        <w:spacing w:before="0" w:after="0" w:line="240" w:lineRule="auto"/>
      </w:pPr>
      <w:r>
        <w:rPr>
          <w:rStyle w:val="FootnoteReference"/>
        </w:rPr>
        <w:footnoteRef/>
      </w:r>
      <w:r>
        <w:t xml:space="preserve"> 5 </w:t>
      </w:r>
      <w:proofErr w:type="spellStart"/>
      <w:r>
        <w:t>k</w:t>
      </w:r>
      <w:r w:rsidRPr="002209BD">
        <w:rPr>
          <w:rFonts w:cs="Times New Roman"/>
        </w:rPr>
        <w:t>ë</w:t>
      </w:r>
      <w:r>
        <w:rPr>
          <w:rFonts w:cs="Times New Roman"/>
        </w:rPr>
        <w:t>rkesa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jan</w:t>
      </w:r>
      <w:r w:rsidRPr="00BC3CCF">
        <w:rPr>
          <w:rFonts w:cs="Times New Roman"/>
        </w:rPr>
        <w:t>ë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</w:t>
      </w:r>
      <w:r w:rsidRPr="00BC3CCF">
        <w:rPr>
          <w:rFonts w:cs="Times New Roman"/>
        </w:rPr>
        <w:t>ë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mbartura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viti</w:t>
      </w:r>
      <w:proofErr w:type="spellEnd"/>
      <w:r>
        <w:rPr>
          <w:rFonts w:cs="Times New Roman"/>
        </w:rPr>
        <w:t xml:space="preserve"> 2017; 10 </w:t>
      </w:r>
      <w:proofErr w:type="spellStart"/>
      <w:r>
        <w:rPr>
          <w:rFonts w:cs="Times New Roman"/>
        </w:rPr>
        <w:t>k</w:t>
      </w:r>
      <w:r w:rsidRPr="006D69C7">
        <w:rPr>
          <w:rFonts w:cs="Times New Roman"/>
        </w:rPr>
        <w:t>ë</w:t>
      </w:r>
      <w:r>
        <w:rPr>
          <w:rFonts w:cs="Times New Roman"/>
        </w:rPr>
        <w:t>rkesa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viti</w:t>
      </w:r>
      <w:proofErr w:type="spellEnd"/>
      <w:r>
        <w:rPr>
          <w:rFonts w:cs="Times New Roman"/>
        </w:rPr>
        <w:t xml:space="preserve"> 2018; 7 </w:t>
      </w:r>
      <w:proofErr w:type="spellStart"/>
      <w:r>
        <w:rPr>
          <w:rFonts w:cs="Times New Roman"/>
        </w:rPr>
        <w:t>k</w:t>
      </w:r>
      <w:r w:rsidRPr="006D69C7">
        <w:rPr>
          <w:rFonts w:cs="Times New Roman"/>
        </w:rPr>
        <w:t>ë</w:t>
      </w:r>
      <w:r>
        <w:rPr>
          <w:rFonts w:cs="Times New Roman"/>
        </w:rPr>
        <w:t>rkesa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viti</w:t>
      </w:r>
      <w:proofErr w:type="spellEnd"/>
      <w:r>
        <w:rPr>
          <w:rFonts w:cs="Times New Roman"/>
        </w:rPr>
        <w:t xml:space="preserve"> 2019 </w:t>
      </w:r>
      <w:proofErr w:type="spellStart"/>
      <w:r>
        <w:rPr>
          <w:rFonts w:cs="Times New Roman"/>
        </w:rPr>
        <w:t>dhe</w:t>
      </w:r>
      <w:proofErr w:type="spellEnd"/>
      <w:r>
        <w:rPr>
          <w:rFonts w:cs="Times New Roman"/>
        </w:rPr>
        <w:t xml:space="preserve"> 3 </w:t>
      </w:r>
      <w:proofErr w:type="spellStart"/>
      <w:r>
        <w:rPr>
          <w:rFonts w:cs="Times New Roman"/>
        </w:rPr>
        <w:t>k</w:t>
      </w:r>
      <w:r w:rsidRPr="006D69C7">
        <w:rPr>
          <w:rFonts w:cs="Times New Roman"/>
        </w:rPr>
        <w:t>ë</w:t>
      </w:r>
      <w:r>
        <w:rPr>
          <w:rFonts w:cs="Times New Roman"/>
        </w:rPr>
        <w:t>rkesa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nga</w:t>
      </w:r>
      <w:proofErr w:type="spellEnd"/>
      <w:r>
        <w:rPr>
          <w:rFonts w:cs="Times New Roman"/>
        </w:rPr>
        <w:t xml:space="preserve"> 2020.</w:t>
      </w:r>
    </w:p>
  </w:footnote>
  <w:footnote w:id="3">
    <w:p w:rsidR="006D69C7" w:rsidRDefault="006D69C7" w:rsidP="006D69C7">
      <w:pPr>
        <w:pStyle w:val="FootnoteText"/>
        <w:spacing w:before="0" w:after="0" w:line="240" w:lineRule="auto"/>
      </w:pPr>
      <w:r>
        <w:rPr>
          <w:rStyle w:val="FootnoteReference"/>
        </w:rPr>
        <w:footnoteRef/>
      </w:r>
      <w:r>
        <w:t xml:space="preserve"> 30 </w:t>
      </w:r>
      <w:proofErr w:type="spellStart"/>
      <w:r>
        <w:t>k</w:t>
      </w:r>
      <w:r w:rsidRPr="002209BD">
        <w:rPr>
          <w:rFonts w:cs="Times New Roman"/>
        </w:rPr>
        <w:t>ë</w:t>
      </w:r>
      <w:r>
        <w:rPr>
          <w:rFonts w:cs="Times New Roman"/>
        </w:rPr>
        <w:t>rkesat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jan</w:t>
      </w:r>
      <w:r w:rsidRPr="006D69C7">
        <w:rPr>
          <w:rFonts w:cs="Times New Roman"/>
        </w:rPr>
        <w:t>ë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</w:t>
      </w:r>
      <w:r w:rsidRPr="006D69C7">
        <w:rPr>
          <w:rFonts w:cs="Times New Roman"/>
        </w:rPr>
        <w:t>ë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mbartura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nga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viti</w:t>
      </w:r>
      <w:proofErr w:type="spellEnd"/>
      <w:r>
        <w:rPr>
          <w:rFonts w:cs="Times New Roman"/>
        </w:rPr>
        <w:t xml:space="preserve"> 2020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B1D0D"/>
    <w:multiLevelType w:val="hybridMultilevel"/>
    <w:tmpl w:val="4BC42BE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314AC7"/>
    <w:multiLevelType w:val="hybridMultilevel"/>
    <w:tmpl w:val="559E0CA6"/>
    <w:lvl w:ilvl="0" w:tplc="B954519C">
      <w:start w:val="1"/>
      <w:numFmt w:val="bullet"/>
      <w:lvlText w:val="-"/>
      <w:lvlJc w:val="left"/>
      <w:pPr>
        <w:ind w:left="1219" w:hanging="380"/>
      </w:pPr>
      <w:rPr>
        <w:rFonts w:ascii="Times New Roman" w:eastAsia="Times New Roman" w:hAnsi="Times New Roman" w:hint="default"/>
        <w:sz w:val="24"/>
        <w:szCs w:val="24"/>
      </w:rPr>
    </w:lvl>
    <w:lvl w:ilvl="1" w:tplc="1C66CF0A">
      <w:start w:val="1"/>
      <w:numFmt w:val="bullet"/>
      <w:lvlText w:val="•"/>
      <w:lvlJc w:val="left"/>
      <w:pPr>
        <w:ind w:left="2069" w:hanging="380"/>
      </w:pPr>
      <w:rPr>
        <w:rFonts w:hint="default"/>
      </w:rPr>
    </w:lvl>
    <w:lvl w:ilvl="2" w:tplc="59604A9A">
      <w:start w:val="1"/>
      <w:numFmt w:val="bullet"/>
      <w:lvlText w:val="•"/>
      <w:lvlJc w:val="left"/>
      <w:pPr>
        <w:ind w:left="2919" w:hanging="380"/>
      </w:pPr>
      <w:rPr>
        <w:rFonts w:hint="default"/>
      </w:rPr>
    </w:lvl>
    <w:lvl w:ilvl="3" w:tplc="6F743D68">
      <w:start w:val="1"/>
      <w:numFmt w:val="bullet"/>
      <w:lvlText w:val="•"/>
      <w:lvlJc w:val="left"/>
      <w:pPr>
        <w:ind w:left="3769" w:hanging="380"/>
      </w:pPr>
      <w:rPr>
        <w:rFonts w:hint="default"/>
      </w:rPr>
    </w:lvl>
    <w:lvl w:ilvl="4" w:tplc="11CC322C">
      <w:start w:val="1"/>
      <w:numFmt w:val="bullet"/>
      <w:lvlText w:val="•"/>
      <w:lvlJc w:val="left"/>
      <w:pPr>
        <w:ind w:left="4619" w:hanging="380"/>
      </w:pPr>
      <w:rPr>
        <w:rFonts w:hint="default"/>
      </w:rPr>
    </w:lvl>
    <w:lvl w:ilvl="5" w:tplc="24CC05AE">
      <w:start w:val="1"/>
      <w:numFmt w:val="bullet"/>
      <w:lvlText w:val="•"/>
      <w:lvlJc w:val="left"/>
      <w:pPr>
        <w:ind w:left="5469" w:hanging="380"/>
      </w:pPr>
      <w:rPr>
        <w:rFonts w:hint="default"/>
      </w:rPr>
    </w:lvl>
    <w:lvl w:ilvl="6" w:tplc="585A0B64">
      <w:start w:val="1"/>
      <w:numFmt w:val="bullet"/>
      <w:lvlText w:val="•"/>
      <w:lvlJc w:val="left"/>
      <w:pPr>
        <w:ind w:left="6319" w:hanging="380"/>
      </w:pPr>
      <w:rPr>
        <w:rFonts w:hint="default"/>
      </w:rPr>
    </w:lvl>
    <w:lvl w:ilvl="7" w:tplc="361E8DC6">
      <w:start w:val="1"/>
      <w:numFmt w:val="bullet"/>
      <w:lvlText w:val="•"/>
      <w:lvlJc w:val="left"/>
      <w:pPr>
        <w:ind w:left="7169" w:hanging="380"/>
      </w:pPr>
      <w:rPr>
        <w:rFonts w:hint="default"/>
      </w:rPr>
    </w:lvl>
    <w:lvl w:ilvl="8" w:tplc="59D23FD0">
      <w:start w:val="1"/>
      <w:numFmt w:val="bullet"/>
      <w:lvlText w:val="•"/>
      <w:lvlJc w:val="left"/>
      <w:pPr>
        <w:ind w:left="8019" w:hanging="380"/>
      </w:pPr>
      <w:rPr>
        <w:rFonts w:hint="default"/>
      </w:rPr>
    </w:lvl>
  </w:abstractNum>
  <w:abstractNum w:abstractNumId="2">
    <w:nsid w:val="186F7E85"/>
    <w:multiLevelType w:val="hybridMultilevel"/>
    <w:tmpl w:val="22C2E2DA"/>
    <w:lvl w:ilvl="0" w:tplc="617C62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00009E"/>
    <w:multiLevelType w:val="hybridMultilevel"/>
    <w:tmpl w:val="BB1221FE"/>
    <w:lvl w:ilvl="0" w:tplc="617C62E4">
      <w:start w:val="1"/>
      <w:numFmt w:val="bullet"/>
      <w:lvlText w:val="-"/>
      <w:lvlJc w:val="left"/>
      <w:pPr>
        <w:ind w:left="1560" w:hanging="159"/>
      </w:pPr>
      <w:rPr>
        <w:rFonts w:ascii="Times New Roman" w:eastAsia="Times New Roman" w:hAnsi="Times New Roman" w:hint="default"/>
        <w:sz w:val="24"/>
        <w:szCs w:val="24"/>
      </w:rPr>
    </w:lvl>
    <w:lvl w:ilvl="1" w:tplc="27DA4908">
      <w:start w:val="1"/>
      <w:numFmt w:val="bullet"/>
      <w:lvlText w:val="•"/>
      <w:lvlJc w:val="left"/>
      <w:pPr>
        <w:ind w:left="2520" w:hanging="159"/>
      </w:pPr>
      <w:rPr>
        <w:rFonts w:hint="default"/>
      </w:rPr>
    </w:lvl>
    <w:lvl w:ilvl="2" w:tplc="162CDB2C">
      <w:start w:val="1"/>
      <w:numFmt w:val="bullet"/>
      <w:lvlText w:val="•"/>
      <w:lvlJc w:val="left"/>
      <w:pPr>
        <w:ind w:left="3480" w:hanging="159"/>
      </w:pPr>
      <w:rPr>
        <w:rFonts w:hint="default"/>
      </w:rPr>
    </w:lvl>
    <w:lvl w:ilvl="3" w:tplc="CAE678CC">
      <w:start w:val="1"/>
      <w:numFmt w:val="bullet"/>
      <w:lvlText w:val="•"/>
      <w:lvlJc w:val="left"/>
      <w:pPr>
        <w:ind w:left="4440" w:hanging="159"/>
      </w:pPr>
      <w:rPr>
        <w:rFonts w:hint="default"/>
      </w:rPr>
    </w:lvl>
    <w:lvl w:ilvl="4" w:tplc="A5D8ED3C">
      <w:start w:val="1"/>
      <w:numFmt w:val="bullet"/>
      <w:lvlText w:val="•"/>
      <w:lvlJc w:val="left"/>
      <w:pPr>
        <w:ind w:left="5400" w:hanging="159"/>
      </w:pPr>
      <w:rPr>
        <w:rFonts w:hint="default"/>
      </w:rPr>
    </w:lvl>
    <w:lvl w:ilvl="5" w:tplc="DB8C403A">
      <w:start w:val="1"/>
      <w:numFmt w:val="bullet"/>
      <w:lvlText w:val="•"/>
      <w:lvlJc w:val="left"/>
      <w:pPr>
        <w:ind w:left="6360" w:hanging="159"/>
      </w:pPr>
      <w:rPr>
        <w:rFonts w:hint="default"/>
      </w:rPr>
    </w:lvl>
    <w:lvl w:ilvl="6" w:tplc="6C903920">
      <w:start w:val="1"/>
      <w:numFmt w:val="bullet"/>
      <w:lvlText w:val="•"/>
      <w:lvlJc w:val="left"/>
      <w:pPr>
        <w:ind w:left="7320" w:hanging="159"/>
      </w:pPr>
      <w:rPr>
        <w:rFonts w:hint="default"/>
      </w:rPr>
    </w:lvl>
    <w:lvl w:ilvl="7" w:tplc="EB0484EE">
      <w:start w:val="1"/>
      <w:numFmt w:val="bullet"/>
      <w:lvlText w:val="•"/>
      <w:lvlJc w:val="left"/>
      <w:pPr>
        <w:ind w:left="8280" w:hanging="159"/>
      </w:pPr>
      <w:rPr>
        <w:rFonts w:hint="default"/>
      </w:rPr>
    </w:lvl>
    <w:lvl w:ilvl="8" w:tplc="147AE49E">
      <w:start w:val="1"/>
      <w:numFmt w:val="bullet"/>
      <w:lvlText w:val="•"/>
      <w:lvlJc w:val="left"/>
      <w:pPr>
        <w:ind w:left="9240" w:hanging="159"/>
      </w:pPr>
      <w:rPr>
        <w:rFonts w:hint="default"/>
      </w:rPr>
    </w:lvl>
  </w:abstractNum>
  <w:abstractNum w:abstractNumId="4">
    <w:nsid w:val="54DF321C"/>
    <w:multiLevelType w:val="multilevel"/>
    <w:tmpl w:val="041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E5C4609"/>
    <w:multiLevelType w:val="hybridMultilevel"/>
    <w:tmpl w:val="28665EC6"/>
    <w:lvl w:ilvl="0" w:tplc="041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0097E7B"/>
    <w:multiLevelType w:val="hybridMultilevel"/>
    <w:tmpl w:val="CF9053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D2206F"/>
    <w:multiLevelType w:val="hybridMultilevel"/>
    <w:tmpl w:val="D3DC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A3"/>
    <w:rsid w:val="00016C0C"/>
    <w:rsid w:val="00034409"/>
    <w:rsid w:val="00037583"/>
    <w:rsid w:val="000422A3"/>
    <w:rsid w:val="0004453D"/>
    <w:rsid w:val="00061685"/>
    <w:rsid w:val="000723A2"/>
    <w:rsid w:val="00083CEB"/>
    <w:rsid w:val="00091133"/>
    <w:rsid w:val="000A33DF"/>
    <w:rsid w:val="000A4DB2"/>
    <w:rsid w:val="000C1912"/>
    <w:rsid w:val="000D6352"/>
    <w:rsid w:val="000D70E6"/>
    <w:rsid w:val="000D7599"/>
    <w:rsid w:val="000E1140"/>
    <w:rsid w:val="000E2C37"/>
    <w:rsid w:val="000F0C48"/>
    <w:rsid w:val="00101CA0"/>
    <w:rsid w:val="00113F65"/>
    <w:rsid w:val="0013021C"/>
    <w:rsid w:val="00160BEC"/>
    <w:rsid w:val="00172CE5"/>
    <w:rsid w:val="00180263"/>
    <w:rsid w:val="00181C28"/>
    <w:rsid w:val="001942BA"/>
    <w:rsid w:val="00196E7F"/>
    <w:rsid w:val="001A11A3"/>
    <w:rsid w:val="001A4660"/>
    <w:rsid w:val="001B1614"/>
    <w:rsid w:val="001D7854"/>
    <w:rsid w:val="001F20C7"/>
    <w:rsid w:val="00200D64"/>
    <w:rsid w:val="00202642"/>
    <w:rsid w:val="002037CB"/>
    <w:rsid w:val="0021458F"/>
    <w:rsid w:val="00217590"/>
    <w:rsid w:val="002601B4"/>
    <w:rsid w:val="0028500F"/>
    <w:rsid w:val="002915CB"/>
    <w:rsid w:val="002951EF"/>
    <w:rsid w:val="0029541B"/>
    <w:rsid w:val="002A62BC"/>
    <w:rsid w:val="002B704A"/>
    <w:rsid w:val="002C25EF"/>
    <w:rsid w:val="002C2DC5"/>
    <w:rsid w:val="002D0A4D"/>
    <w:rsid w:val="002D74C8"/>
    <w:rsid w:val="0031468F"/>
    <w:rsid w:val="00325973"/>
    <w:rsid w:val="00325993"/>
    <w:rsid w:val="00355AC2"/>
    <w:rsid w:val="0035681C"/>
    <w:rsid w:val="00362F8B"/>
    <w:rsid w:val="003835BD"/>
    <w:rsid w:val="003A6C12"/>
    <w:rsid w:val="003B326B"/>
    <w:rsid w:val="003D380F"/>
    <w:rsid w:val="003D62F2"/>
    <w:rsid w:val="003E37D1"/>
    <w:rsid w:val="0042046E"/>
    <w:rsid w:val="00421F8E"/>
    <w:rsid w:val="004221D5"/>
    <w:rsid w:val="00422DE6"/>
    <w:rsid w:val="0043220B"/>
    <w:rsid w:val="004343A2"/>
    <w:rsid w:val="00435507"/>
    <w:rsid w:val="0045089A"/>
    <w:rsid w:val="00453451"/>
    <w:rsid w:val="004645A6"/>
    <w:rsid w:val="00483762"/>
    <w:rsid w:val="00496C9E"/>
    <w:rsid w:val="004A1F86"/>
    <w:rsid w:val="004B20B7"/>
    <w:rsid w:val="004B63AC"/>
    <w:rsid w:val="004C4D8F"/>
    <w:rsid w:val="004C546D"/>
    <w:rsid w:val="004C63E4"/>
    <w:rsid w:val="004E7D70"/>
    <w:rsid w:val="004F6FF2"/>
    <w:rsid w:val="005025AB"/>
    <w:rsid w:val="00534894"/>
    <w:rsid w:val="00537070"/>
    <w:rsid w:val="005443B5"/>
    <w:rsid w:val="00546583"/>
    <w:rsid w:val="0055112A"/>
    <w:rsid w:val="00552136"/>
    <w:rsid w:val="00560A9C"/>
    <w:rsid w:val="00574723"/>
    <w:rsid w:val="00574A4D"/>
    <w:rsid w:val="00583676"/>
    <w:rsid w:val="005D025C"/>
    <w:rsid w:val="005D1192"/>
    <w:rsid w:val="005D7B64"/>
    <w:rsid w:val="00606837"/>
    <w:rsid w:val="0061306B"/>
    <w:rsid w:val="0064555A"/>
    <w:rsid w:val="0065035D"/>
    <w:rsid w:val="00651659"/>
    <w:rsid w:val="00655FC0"/>
    <w:rsid w:val="006B27AE"/>
    <w:rsid w:val="006D08D2"/>
    <w:rsid w:val="006D125D"/>
    <w:rsid w:val="006D1629"/>
    <w:rsid w:val="006D69C7"/>
    <w:rsid w:val="006E4426"/>
    <w:rsid w:val="006E6C3A"/>
    <w:rsid w:val="007048C6"/>
    <w:rsid w:val="00727D74"/>
    <w:rsid w:val="00735642"/>
    <w:rsid w:val="00742067"/>
    <w:rsid w:val="00743234"/>
    <w:rsid w:val="007920BD"/>
    <w:rsid w:val="00795875"/>
    <w:rsid w:val="007970DE"/>
    <w:rsid w:val="007A0B04"/>
    <w:rsid w:val="007A4DCF"/>
    <w:rsid w:val="007B0D04"/>
    <w:rsid w:val="007D01CF"/>
    <w:rsid w:val="007E5175"/>
    <w:rsid w:val="007E51ED"/>
    <w:rsid w:val="007E55EB"/>
    <w:rsid w:val="007F0B34"/>
    <w:rsid w:val="007F5E47"/>
    <w:rsid w:val="00804C5F"/>
    <w:rsid w:val="0084160E"/>
    <w:rsid w:val="0084319C"/>
    <w:rsid w:val="0085080C"/>
    <w:rsid w:val="00873CDE"/>
    <w:rsid w:val="008867F4"/>
    <w:rsid w:val="00887CE5"/>
    <w:rsid w:val="008A361A"/>
    <w:rsid w:val="008A50CA"/>
    <w:rsid w:val="008B3F6E"/>
    <w:rsid w:val="008B5003"/>
    <w:rsid w:val="008D4092"/>
    <w:rsid w:val="008E0C88"/>
    <w:rsid w:val="00901C51"/>
    <w:rsid w:val="0090553E"/>
    <w:rsid w:val="00905DE7"/>
    <w:rsid w:val="00912314"/>
    <w:rsid w:val="0091511F"/>
    <w:rsid w:val="009264A0"/>
    <w:rsid w:val="00945C8C"/>
    <w:rsid w:val="00951BDB"/>
    <w:rsid w:val="00955D1C"/>
    <w:rsid w:val="0096115E"/>
    <w:rsid w:val="00963C6A"/>
    <w:rsid w:val="00991E95"/>
    <w:rsid w:val="009A7BB4"/>
    <w:rsid w:val="009A7C3C"/>
    <w:rsid w:val="009B0012"/>
    <w:rsid w:val="009B22D8"/>
    <w:rsid w:val="009D3325"/>
    <w:rsid w:val="009D5CFC"/>
    <w:rsid w:val="009D62EF"/>
    <w:rsid w:val="009F7FF7"/>
    <w:rsid w:val="00A36CBF"/>
    <w:rsid w:val="00A43D7B"/>
    <w:rsid w:val="00A5620E"/>
    <w:rsid w:val="00A576D0"/>
    <w:rsid w:val="00A73064"/>
    <w:rsid w:val="00A91B33"/>
    <w:rsid w:val="00AA04D4"/>
    <w:rsid w:val="00AA154E"/>
    <w:rsid w:val="00AB0C1C"/>
    <w:rsid w:val="00AB3776"/>
    <w:rsid w:val="00AB40F4"/>
    <w:rsid w:val="00AF4854"/>
    <w:rsid w:val="00B131C8"/>
    <w:rsid w:val="00B20255"/>
    <w:rsid w:val="00B21F2B"/>
    <w:rsid w:val="00B26ECF"/>
    <w:rsid w:val="00B30886"/>
    <w:rsid w:val="00B30D14"/>
    <w:rsid w:val="00B36129"/>
    <w:rsid w:val="00B361D6"/>
    <w:rsid w:val="00B4198F"/>
    <w:rsid w:val="00B550F1"/>
    <w:rsid w:val="00B60AE0"/>
    <w:rsid w:val="00B75CEC"/>
    <w:rsid w:val="00B85CAE"/>
    <w:rsid w:val="00B91ECA"/>
    <w:rsid w:val="00BA42C0"/>
    <w:rsid w:val="00BA7B4D"/>
    <w:rsid w:val="00BC3CCF"/>
    <w:rsid w:val="00BC7075"/>
    <w:rsid w:val="00BD070C"/>
    <w:rsid w:val="00BD5E58"/>
    <w:rsid w:val="00BE02AB"/>
    <w:rsid w:val="00BF09C7"/>
    <w:rsid w:val="00BF3D6B"/>
    <w:rsid w:val="00C0588B"/>
    <w:rsid w:val="00C13B18"/>
    <w:rsid w:val="00C213DC"/>
    <w:rsid w:val="00C579F9"/>
    <w:rsid w:val="00C62400"/>
    <w:rsid w:val="00C646B6"/>
    <w:rsid w:val="00C74C89"/>
    <w:rsid w:val="00C918EF"/>
    <w:rsid w:val="00C91DCC"/>
    <w:rsid w:val="00CB58BA"/>
    <w:rsid w:val="00CE6BE7"/>
    <w:rsid w:val="00CF6AC7"/>
    <w:rsid w:val="00D01893"/>
    <w:rsid w:val="00D03D10"/>
    <w:rsid w:val="00D17B9C"/>
    <w:rsid w:val="00D21097"/>
    <w:rsid w:val="00D40924"/>
    <w:rsid w:val="00D711D9"/>
    <w:rsid w:val="00D745D4"/>
    <w:rsid w:val="00D74C99"/>
    <w:rsid w:val="00D75F67"/>
    <w:rsid w:val="00D77502"/>
    <w:rsid w:val="00DA4B77"/>
    <w:rsid w:val="00DB6E72"/>
    <w:rsid w:val="00DB7AAA"/>
    <w:rsid w:val="00DB7BE6"/>
    <w:rsid w:val="00DD1C22"/>
    <w:rsid w:val="00DF754C"/>
    <w:rsid w:val="00E232F4"/>
    <w:rsid w:val="00E358E3"/>
    <w:rsid w:val="00E40589"/>
    <w:rsid w:val="00E522E0"/>
    <w:rsid w:val="00E525B8"/>
    <w:rsid w:val="00E56FB2"/>
    <w:rsid w:val="00E8631D"/>
    <w:rsid w:val="00E87C5E"/>
    <w:rsid w:val="00EA0D01"/>
    <w:rsid w:val="00EB57DF"/>
    <w:rsid w:val="00ED0831"/>
    <w:rsid w:val="00EE3827"/>
    <w:rsid w:val="00EF4D68"/>
    <w:rsid w:val="00F25305"/>
    <w:rsid w:val="00F300D5"/>
    <w:rsid w:val="00F55B52"/>
    <w:rsid w:val="00F717A1"/>
    <w:rsid w:val="00F7316B"/>
    <w:rsid w:val="00F733E9"/>
    <w:rsid w:val="00F810BA"/>
    <w:rsid w:val="00F93A54"/>
    <w:rsid w:val="00F954DD"/>
    <w:rsid w:val="00FB7889"/>
    <w:rsid w:val="00FC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BCEB0-99D6-4D78-9DBD-872C86C6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D4"/>
  </w:style>
  <w:style w:type="paragraph" w:styleId="Heading1">
    <w:name w:val="heading 1"/>
    <w:basedOn w:val="Normal"/>
    <w:next w:val="Normal"/>
    <w:link w:val="Heading1Char"/>
    <w:uiPriority w:val="9"/>
    <w:qFormat/>
    <w:rsid w:val="00AA04D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4D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4D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4D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4D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4D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4D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4D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4D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0422A3"/>
    <w:pPr>
      <w:spacing w:before="137"/>
      <w:ind w:left="1219" w:hanging="37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22A3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A04D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422A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2A3"/>
    <w:rPr>
      <w:rFonts w:ascii="Calibri" w:eastAsia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2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16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61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16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614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48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A04D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4D4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4D4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4D4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4D4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4D4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4D4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4D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4D4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A04D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04D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4D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A04D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A04D4"/>
    <w:rPr>
      <w:b/>
      <w:bCs/>
    </w:rPr>
  </w:style>
  <w:style w:type="character" w:styleId="Emphasis">
    <w:name w:val="Emphasis"/>
    <w:uiPriority w:val="20"/>
    <w:qFormat/>
    <w:rsid w:val="00AA04D4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AA04D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04D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04D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4D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4D4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A04D4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A04D4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AA04D4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AA04D4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A04D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04D4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A04D4"/>
    <w:rPr>
      <w:b/>
      <w:bCs/>
      <w:color w:val="2E74B5" w:themeColor="accent1" w:themeShade="BF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CCF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CCF"/>
  </w:style>
  <w:style w:type="character" w:styleId="EndnoteReference">
    <w:name w:val="endnote reference"/>
    <w:basedOn w:val="DefaultParagraphFont"/>
    <w:uiPriority w:val="99"/>
    <w:semiHidden/>
    <w:unhideWhenUsed/>
    <w:rsid w:val="00BC3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Kërkesa të paraqitura gjatë</a:t>
            </a:r>
            <a:r>
              <a:rPr lang="en-US" baseline="0"/>
              <a:t> vitit 2020</a:t>
            </a:r>
            <a:endParaRPr lang="en-US"/>
          </a:p>
          <a:p>
            <a:pPr>
              <a:defRPr/>
            </a:pPr>
            <a:r>
              <a:rPr lang="en-US"/>
              <a:t>Ndarja</a:t>
            </a:r>
            <a:r>
              <a:rPr lang="en-US" baseline="0"/>
              <a:t> sipas objektit të kërkesës</a:t>
            </a:r>
            <a:endParaRPr lang="en-US"/>
          </a:p>
        </c:rich>
      </c:tx>
      <c:layout>
        <c:manualLayout>
          <c:xMode val="edge"/>
          <c:yMode val="edge"/>
          <c:x val="0.19511650931274041"/>
          <c:y val="1.2398592668791757E-3"/>
        </c:manualLayout>
      </c:layout>
      <c:overlay val="0"/>
    </c:title>
    <c:autoTitleDeleted val="0"/>
    <c:view3D>
      <c:rotX val="30"/>
      <c:rotY val="25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Kerkesa te paraqitura gjate vitit 2020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Për procese të parregullta</c:v>
                </c:pt>
                <c:pt idx="1">
                  <c:v>Konstatim  cenimi</c:v>
                </c:pt>
                <c:pt idx="2">
                  <c:v>Papajtueshmëri të ligjeve </c:v>
                </c:pt>
                <c:pt idx="3">
                  <c:v>VKM</c:v>
                </c:pt>
                <c:pt idx="4">
                  <c:v>Vendim te Kuvendit te R.Sh</c:v>
                </c:pt>
                <c:pt idx="5">
                  <c:v>Kundershtim/ rishikim te vendimeve te GJ. Kushtetuese</c:v>
                </c:pt>
                <c:pt idx="6">
                  <c:v>Vendime te KLGJ-se</c:v>
                </c:pt>
                <c:pt idx="7">
                  <c:v>Urdher Ministri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34</c:v>
                </c:pt>
                <c:pt idx="1">
                  <c:v>23</c:v>
                </c:pt>
                <c:pt idx="2">
                  <c:v>20</c:v>
                </c:pt>
                <c:pt idx="3">
                  <c:v>3</c:v>
                </c:pt>
                <c:pt idx="4">
                  <c:v>3</c:v>
                </c:pt>
                <c:pt idx="5">
                  <c:v>13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25-4D66-8A24-E06538DE04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l"/>
      <c:overlay val="0"/>
      <c:txPr>
        <a:bodyPr/>
        <a:lstStyle/>
        <a:p>
          <a:pPr>
            <a:defRPr baseline="0"/>
          </a:pPr>
          <a:endParaRPr lang="en-US"/>
        </a:p>
      </c:txPr>
    </c:legend>
    <c:plotVisOnly val="1"/>
    <c:dispBlanksAs val="zero"/>
    <c:showDLblsOverMax val="0"/>
  </c:chart>
  <c:spPr>
    <a:solidFill>
      <a:srgbClr val="BC92A7"/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Subjektet (drejtuar Gjykatës</a:t>
            </a:r>
            <a:r>
              <a:rPr lang="en-US" b="1" baseline="0"/>
              <a:t> Kushtetuese) </a:t>
            </a:r>
          </a:p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sipas nenit 134 të Kushtetutës</a:t>
            </a:r>
          </a:p>
        </c:rich>
      </c:tx>
      <c:layout>
        <c:manualLayout>
          <c:xMode val="edge"/>
          <c:yMode val="edge"/>
          <c:x val="0.24318499138323141"/>
          <c:y val="1.951219512195122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13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185337723086681"/>
          <c:y val="0.24478125600153641"/>
          <c:w val="0.82836531761033849"/>
          <c:h val="0.6154940144677036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Subjektet sipas nenit 134 të Kushtetutës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D08-43FC-B8A3-F4FBD75BB4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D08-43FC-B8A3-F4FBD75BB4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D08-43FC-B8A3-F4FBD75BB4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D08-43FC-B8A3-F4FBD75BB4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Presidenti i Republikës së Shqipërisë </c:v>
                </c:pt>
                <c:pt idx="1">
                  <c:v>Gjykata </c:v>
                </c:pt>
                <c:pt idx="2">
                  <c:v>Partite Politike </c:v>
                </c:pt>
                <c:pt idx="3">
                  <c:v>Individë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10</c:v>
                </c:pt>
                <c:pt idx="2">
                  <c:v>4</c:v>
                </c:pt>
                <c:pt idx="3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D08-43FC-B8A3-F4FBD75BB4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accent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VENDIMET E DHËNA</a:t>
            </a:r>
            <a:r>
              <a:rPr lang="en-US" baseline="0"/>
              <a:t> NGA GJK GJAT</a:t>
            </a:r>
            <a:r>
              <a:rPr lang="en-US" sz="1600" b="1" i="0" u="none" strike="noStrike" baseline="0">
                <a:effectLst/>
              </a:rPr>
              <a:t>Ë</a:t>
            </a:r>
            <a:r>
              <a:rPr lang="en-US" baseline="0"/>
              <a:t> VITIT 2020</a:t>
            </a:r>
            <a:endParaRPr lang="sq-AL"/>
          </a:p>
        </c:rich>
      </c:tx>
      <c:layout>
        <c:manualLayout>
          <c:xMode val="edge"/>
          <c:yMode val="edge"/>
          <c:x val="0.14789135733033401"/>
          <c:y val="1.290760673264465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2517408489822411E-2"/>
          <c:y val="8.5157259801809562E-2"/>
          <c:w val="0.93760546827201341"/>
          <c:h val="0.527995840782719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neni 145/Kushtetutes dhe neni 68 I ligjit 8577/2000.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1"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85-44F2-98A7-822AED9FEC1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neni 31/a, pika 2, shkronja “a” të ligjit nr.8577/2000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2"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85-44F2-98A7-822AED9FEC1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neni 31/a, pika 2, shkronja “b”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3"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85-44F2-98A7-822AED9FEC1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neni 31/a, pika 2, shkronja “ç” 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4"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B85-44F2-98A7-822AED9FEC1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 neni 31/a, pika 2, shkronja “d”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5"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85-44F2-98A7-822AED9FEC14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neni 31/a, pika 2, shkronja “dh” 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6"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B85-44F2-98A7-822AED9FEC14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neni 31/a, pika 2, shkronja “e”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1">
                    <a:lumMod val="60000"/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B85-44F2-98A7-822AED9FEC14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neni 31/a, pika 2, shkronjat “a” dhe “b”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2">
                    <a:lumMod val="60000"/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B85-44F2-98A7-822AED9FEC14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neni 31/a, pika 2, shkronjat “a” dhe “D”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3">
                    <a:lumMod val="60000"/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B85-44F2-98A7-822AED9FEC14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neni 31/a, pika 2, shkronjat “a” dhe “ç” 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4">
                    <a:lumMod val="60000"/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Sheet1!$K$2:$K$3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B85-44F2-98A7-822AED9FEC14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neni 31/a, pika 2, shkronjat “a”,dhe “e”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neni 31/a, pika 2, shkronjat “a” , “d” dhe “e”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 neni 31/a, pika 2, shkronjat “d” dhe “e”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 nenin 31/a, pika 2, shkronjat “ç” dhe “d”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</c:ser>
        <c:ser>
          <c:idx val="14"/>
          <c:order val="14"/>
          <c:tx>
            <c:strRef>
              <c:f>Sheet1!$P$1</c:f>
              <c:strCache>
                <c:ptCount val="1"/>
                <c:pt idx="0">
                  <c:v>nenin 31/a, pika 2, shkronjat “d” dhe “dh”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Sheet1!$P$2:$P$3</c:f>
              <c:numCache>
                <c:formatCode>General</c:formatCode>
                <c:ptCount val="2"/>
                <c:pt idx="0">
                  <c:v>1</c:v>
                </c:pt>
              </c:numCache>
            </c:numRef>
          </c:val>
        </c:ser>
        <c:ser>
          <c:idx val="15"/>
          <c:order val="15"/>
          <c:tx>
            <c:strRef>
              <c:f>Sheet1!$Q$1</c:f>
              <c:strCache>
                <c:ptCount val="1"/>
                <c:pt idx="0">
                  <c:v>nenin 31/a, pika 2, shkronjat “ç”, “d” dhe “e”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Sheet1!$Q$2:$Q$3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ser>
          <c:idx val="16"/>
          <c:order val="16"/>
          <c:tx>
            <c:strRef>
              <c:f>Sheet1!$R$1</c:f>
              <c:strCache>
                <c:ptCount val="1"/>
                <c:pt idx="0">
                  <c:v>neni 31 pika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Sheet1!$R$2:$R$3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ser>
          <c:idx val="17"/>
          <c:order val="17"/>
          <c:tx>
            <c:strRef>
              <c:f>Sheet1!$S$1</c:f>
              <c:strCache>
                <c:ptCount val="1"/>
                <c:pt idx="0">
                  <c:v>Totali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Sheet1!$A$2:$A$3</c:f>
              <c:strCache>
                <c:ptCount val="1"/>
                <c:pt idx="0">
                  <c:v>Moskalime per vitin 2020</c:v>
                </c:pt>
              </c:strCache>
            </c:strRef>
          </c:cat>
          <c:val>
            <c:numRef>
              <c:f>Sheet1!$S$2:$S$3</c:f>
              <c:numCache>
                <c:formatCode>General</c:formatCode>
                <c:ptCount val="2"/>
                <c:pt idx="0">
                  <c:v>103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031487248"/>
        <c:axId val="-1031483440"/>
      </c:barChart>
      <c:catAx>
        <c:axId val="-103148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31483440"/>
        <c:crosses val="autoZero"/>
        <c:auto val="1"/>
        <c:lblAlgn val="ctr"/>
        <c:lblOffset val="100"/>
        <c:noMultiLvlLbl val="0"/>
      </c:catAx>
      <c:valAx>
        <c:axId val="-1031483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31487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65761679790026251"/>
          <c:w val="0.91185968486862889"/>
          <c:h val="0.32394671045266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tx1">
        <a:lumMod val="65000"/>
        <a:lumOff val="35000"/>
      </a:schemeClr>
    </a:soli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Solstice">
    <a:dk1>
      <a:sysClr val="windowText" lastClr="000000"/>
    </a:dk1>
    <a:lt1>
      <a:sysClr val="window" lastClr="FFFFFF"/>
    </a:lt1>
    <a:dk2>
      <a:srgbClr val="4F271C"/>
    </a:dk2>
    <a:lt2>
      <a:srgbClr val="E7DEC9"/>
    </a:lt2>
    <a:accent1>
      <a:srgbClr val="3891A7"/>
    </a:accent1>
    <a:accent2>
      <a:srgbClr val="FEB80A"/>
    </a:accent2>
    <a:accent3>
      <a:srgbClr val="C32D2E"/>
    </a:accent3>
    <a:accent4>
      <a:srgbClr val="84AA33"/>
    </a:accent4>
    <a:accent5>
      <a:srgbClr val="964305"/>
    </a:accent5>
    <a:accent6>
      <a:srgbClr val="475A8D"/>
    </a:accent6>
    <a:hlink>
      <a:srgbClr val="8DC765"/>
    </a:hlink>
    <a:folHlink>
      <a:srgbClr val="AA8A14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2DA1-5D59-486A-A956-1EA963A4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STATISTIKA 6 MUJORE 2020</vt:lpstr>
    </vt:vector>
  </TitlesOfParts>
  <Company/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STATISTIKA 6 MUJORE 2020</dc:title>
  <dc:creator>Drejtoria Gjyqësore</dc:creator>
  <cp:lastModifiedBy>User</cp:lastModifiedBy>
  <cp:revision>3</cp:revision>
  <cp:lastPrinted>2021-01-12T14:20:00Z</cp:lastPrinted>
  <dcterms:created xsi:type="dcterms:W3CDTF">2021-01-13T10:40:00Z</dcterms:created>
  <dcterms:modified xsi:type="dcterms:W3CDTF">2021-01-13T10:43:00Z</dcterms:modified>
</cp:coreProperties>
</file>